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500380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5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29" w:lineRule="exact"/>
        <w:rPr>
          <w:sz w:val="24"/>
          <w:szCs w:val="24"/>
          <w:color w:val="auto"/>
        </w:rPr>
      </w:pPr>
    </w:p>
    <w:p>
      <w:pPr>
        <w:ind w:left="4160" w:right="1620" w:hanging="2696"/>
        <w:spacing w:after="0" w:line="222" w:lineRule="auto"/>
        <w:tabs>
          <w:tab w:leader="none" w:pos="2068" w:val="left"/>
        </w:tabs>
        <w:numPr>
          <w:ilvl w:val="0"/>
          <w:numId w:val="1"/>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2023</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0" w:lineRule="exact"/>
        <w:rPr>
          <w:sz w:val="24"/>
          <w:szCs w:val="24"/>
          <w:color w:val="auto"/>
        </w:rPr>
      </w:pPr>
    </w:p>
    <w:p>
      <w:pPr>
        <w:ind w:left="1920" w:hanging="323"/>
        <w:spacing w:after="0"/>
        <w:tabs>
          <w:tab w:leader="none" w:pos="19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83" w:lineRule="exact"/>
        <w:rPr>
          <w:rFonts w:ascii="MS PGothic" w:cs="MS PGothic" w:eastAsia="MS PGothic" w:hAnsi="MS PGothic"/>
          <w:sz w:val="17"/>
          <w:szCs w:val="17"/>
          <w:color w:val="auto"/>
        </w:rPr>
      </w:pPr>
    </w:p>
    <w:p>
      <w:pPr>
        <w:ind w:left="43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For the transition period from ____ to 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001-39021</w:t>
      </w:r>
    </w:p>
    <w:p>
      <w:pPr>
        <w:spacing w:after="0" w:line="2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WM TECHNOLOGY,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230"/>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41 Discovery</w:t>
            </w:r>
          </w:p>
        </w:tc>
        <w:tc>
          <w:tcPr>
            <w:tcW w:w="24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182"/>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9"/>
              </w:rPr>
              <w:t>Irvine, California</w:t>
            </w:r>
          </w:p>
        </w:tc>
        <w:tc>
          <w:tcPr>
            <w:tcW w:w="2420" w:type="dxa"/>
            <w:vAlign w:val="bottom"/>
          </w:tcPr>
          <w:p>
            <w:pPr>
              <w:spacing w:after="0"/>
              <w:rPr>
                <w:sz w:val="15"/>
                <w:szCs w:val="15"/>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b w:val="1"/>
                <w:bCs w:val="1"/>
                <w:color w:val="auto"/>
              </w:rPr>
              <w:t>92618</w:t>
            </w:r>
          </w:p>
        </w:tc>
      </w:tr>
      <w:tr>
        <w:trPr>
          <w:trHeight w:val="206"/>
        </w:trPr>
        <w:tc>
          <w:tcPr>
            <w:tcW w:w="506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420" w:type="dxa"/>
            <w:vAlign w:val="bottom"/>
          </w:tcPr>
          <w:p>
            <w:pPr>
              <w:spacing w:after="0"/>
              <w:rPr>
                <w:sz w:val="17"/>
                <w:szCs w:val="17"/>
                <w:color w:val="auto"/>
              </w:rPr>
            </w:pPr>
          </w:p>
        </w:tc>
        <w:tc>
          <w:tcPr>
            <w:tcW w:w="3760" w:type="dxa"/>
            <w:vAlign w:val="bottom"/>
          </w:tcPr>
          <w:p>
            <w:pPr>
              <w:jc w:val="center"/>
              <w:ind w:right="133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50"/>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Times New Roman" w:cs="Times New Roman" w:eastAsia="Times New Roman" w:hAnsi="Times New Roman"/>
                <w:sz w:val="14"/>
                <w:szCs w:val="14"/>
                <w:b w:val="1"/>
                <w:bCs w:val="1"/>
                <w:color w:val="auto"/>
                <w:w w:val="98"/>
              </w:rPr>
              <w:t>(844) 933-3627</w:t>
            </w:r>
          </w:p>
        </w:tc>
        <w:tc>
          <w:tcPr>
            <w:tcW w:w="3760" w:type="dxa"/>
            <w:vAlign w:val="bottom"/>
          </w:tcPr>
          <w:p>
            <w:pPr>
              <w:spacing w:after="0"/>
              <w:rPr>
                <w:sz w:val="24"/>
                <w:szCs w:val="24"/>
                <w:color w:val="auto"/>
              </w:rPr>
            </w:pPr>
          </w:p>
        </w:tc>
      </w:tr>
      <w:tr>
        <w:trPr>
          <w:trHeight w:val="178"/>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3760" w:type="dxa"/>
            <w:vAlign w:val="bottom"/>
          </w:tcPr>
          <w:p>
            <w:pPr>
              <w:spacing w:after="0"/>
              <w:rPr>
                <w:sz w:val="15"/>
                <w:szCs w:val="15"/>
                <w:color w:val="auto"/>
              </w:rPr>
            </w:pPr>
          </w:p>
        </w:tc>
      </w:tr>
      <w:tr>
        <w:trPr>
          <w:trHeight w:val="271"/>
        </w:trPr>
        <w:tc>
          <w:tcPr>
            <w:tcW w:w="7480" w:type="dxa"/>
            <w:vAlign w:val="bottom"/>
            <w:gridSpan w:val="2"/>
          </w:tcPr>
          <w:p>
            <w:pPr>
              <w:jc w:val="center"/>
              <w:ind w:left="369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3760" w:type="dxa"/>
            <w:vAlign w:val="bottom"/>
          </w:tcPr>
          <w:p>
            <w:pPr>
              <w:spacing w:after="0"/>
              <w:rPr>
                <w:sz w:val="23"/>
                <w:szCs w:val="23"/>
                <w:color w:val="auto"/>
              </w:rPr>
            </w:pPr>
          </w:p>
        </w:tc>
      </w:tr>
      <w:tr>
        <w:trPr>
          <w:trHeight w:val="309"/>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50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177"/>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 A Common Stock, $0.0001 par value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9"/>
              </w:rPr>
              <w:t>MAPS</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r>
        <w:trPr>
          <w:trHeight w:val="183"/>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Warrants, each whole warrant exercisable for one share of Class A Common Stock at an</w:t>
            </w:r>
          </w:p>
        </w:tc>
        <w:tc>
          <w:tcPr>
            <w:tcW w:w="24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78"/>
        </w:trPr>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exercise price of $11.50 per share</w:t>
            </w:r>
          </w:p>
        </w:tc>
        <w:tc>
          <w:tcPr>
            <w:tcW w:w="2420" w:type="dxa"/>
            <w:vAlign w:val="bottom"/>
          </w:tcPr>
          <w:p>
            <w:pPr>
              <w:jc w:val="center"/>
              <w:ind w:right="691"/>
              <w:spacing w:after="0"/>
              <w:rPr>
                <w:sz w:val="20"/>
                <w:szCs w:val="20"/>
                <w:color w:val="auto"/>
              </w:rPr>
            </w:pPr>
            <w:r>
              <w:rPr>
                <w:rFonts w:ascii="Times New Roman" w:cs="Times New Roman" w:eastAsia="Times New Roman" w:hAnsi="Times New Roman"/>
                <w:sz w:val="14"/>
                <w:szCs w:val="14"/>
                <w:color w:val="auto"/>
                <w:w w:val="97"/>
              </w:rPr>
              <w:t>MAPSW</w:t>
            </w:r>
          </w:p>
        </w:tc>
        <w:tc>
          <w:tcPr>
            <w:tcW w:w="3760" w:type="dxa"/>
            <w:vAlign w:val="bottom"/>
          </w:tcPr>
          <w:p>
            <w:pPr>
              <w:jc w:val="center"/>
              <w:ind w:right="65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bl>
    <w:p>
      <w:pPr>
        <w:spacing w:after="0" w:line="3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ind w:left="20"/>
        <w:spacing w:after="0" w:line="161" w:lineRule="exact"/>
        <w:tabs>
          <w:tab w:leader="none" w:pos="3080" w:val="left"/>
          <w:tab w:leader="none" w:pos="3740" w:val="left"/>
          <w:tab w:leader="none" w:pos="68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1"/>
          <w:szCs w:val="11"/>
          <w:color w:val="auto"/>
        </w:rPr>
        <w:t>☒</w:t>
      </w:r>
    </w:p>
    <w:p>
      <w:pPr>
        <w:spacing w:after="0" w:line="69" w:lineRule="exact"/>
        <w:rPr>
          <w:sz w:val="24"/>
          <w:szCs w:val="24"/>
          <w:color w:val="auto"/>
        </w:rPr>
      </w:pPr>
    </w:p>
    <w:p>
      <w:pPr>
        <w:ind w:left="20"/>
        <w:spacing w:after="0" w:line="161" w:lineRule="exact"/>
        <w:tabs>
          <w:tab w:leader="none" w:pos="3080" w:val="left"/>
          <w:tab w:leader="none" w:pos="3740" w:val="left"/>
          <w:tab w:leader="none" w:pos="6840" w:val="left"/>
          <w:tab w:leader="none" w:pos="7500" w:val="left"/>
          <w:tab w:leader="none" w:pos="10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1"/>
          <w:szCs w:val="11"/>
          <w:color w:val="auto"/>
        </w:rPr>
        <w:t>☐</w:t>
      </w:r>
    </w:p>
    <w:p>
      <w:pPr>
        <w:spacing w:after="0" w:line="92"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197"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r>
        <w:rPr>
          <w:rFonts w:ascii="MS PGothic" w:cs="MS PGothic" w:eastAsia="MS PGothic" w:hAnsi="MS PGothic"/>
          <w:sz w:val="17"/>
          <w:szCs w:val="17"/>
          <w:color w:val="auto"/>
        </w:rPr>
        <w:t>☒</w:t>
      </w:r>
    </w:p>
    <w:p>
      <w:pPr>
        <w:spacing w:after="0" w:line="58"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60"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tabs>
          <w:tab w:leader="none" w:pos="5820" w:val="left"/>
          <w:tab w:leader="none" w:pos="6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2023, the last business day of the registrant’s most recently completed second fiscal quarter, was approximately $69.4 million based upon the closing price reported for such date on the Nasdaq Global Select Market.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13, 2024, there were 95,051,735 shares of the registrant’s Class A common stock outstanding and 55,486,361 shares of Class V common stock outstanding.</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ectPr>
          <w:pgSz w:w="11900" w:h="16838" w:orient="portrait"/>
          <w:cols w:equalWidth="0" w:num="1">
            <w:col w:w="11240"/>
          </w:cols>
          <w:pgMar w:left="320" w:top="226" w:right="339" w:bottom="1440" w:gutter="0" w:footer="0" w:header="0"/>
        </w:sectPr>
      </w:pP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the 2024 Annual Meeting of Stockholders are incorporated herein by reference in Part III of this Annual Report on Form 10-K to the extent stated herein.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554355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40" w:type="dxa"/>
            <w:vAlign w:val="bottom"/>
            <w:gridSpan w:val="9"/>
          </w:tcPr>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WM TECHNOLOGY,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9"/>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60" w:type="dxa"/>
            <w:vAlign w:val="bottom"/>
            <w:gridSpan w:val="26"/>
            <w:vMerge w:val="restart"/>
          </w:tcPr>
          <w:p>
            <w:pPr>
              <w:spacing w:after="0"/>
              <w:rPr>
                <w:sz w:val="20"/>
                <w:szCs w:val="20"/>
                <w:color w:val="auto"/>
              </w:rPr>
            </w:pPr>
            <w:r>
              <w:rPr>
                <w:rFonts w:ascii="Times New Roman" w:cs="Times New Roman" w:eastAsia="Times New Roman" w:hAnsi="Times New Roman"/>
                <w:sz w:val="17"/>
                <w:szCs w:val="17"/>
                <w:color w:val="0000FF"/>
              </w:rPr>
              <w:t>Forward-Looking Statements</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60" w:type="dxa"/>
            <w:vAlign w:val="bottom"/>
            <w:gridSpan w:val="26"/>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Risk Factor Summary</w:t>
            </w:r>
          </w:p>
        </w:tc>
        <w:tc>
          <w:tcPr>
            <w:tcW w:w="7240" w:type="dxa"/>
            <w:vAlign w:val="bottom"/>
            <w:gridSpan w:val="17"/>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w:t>
            </w:r>
          </w:p>
        </w:tc>
        <w:tc>
          <w:tcPr>
            <w:tcW w:w="1460" w:type="dxa"/>
            <w:vAlign w:val="bottom"/>
            <w:tcBorders>
              <w:top w:val="single" w:sz="8" w:color="0000FF"/>
            </w:tcBorders>
            <w:gridSpan w:val="4"/>
          </w:tcPr>
          <w:p>
            <w:pPr>
              <w:spacing w:after="0"/>
              <w:rPr>
                <w:sz w:val="24"/>
                <w:szCs w:val="24"/>
                <w:color w:val="auto"/>
              </w:rPr>
            </w:pPr>
          </w:p>
        </w:tc>
        <w:tc>
          <w:tcPr>
            <w:tcW w:w="7740" w:type="dxa"/>
            <w:vAlign w:val="bottom"/>
            <w:gridSpan w:val="2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 Business</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u w:val="single" w:color="auto"/>
                <w:color w:val="0000FF"/>
              </w:rPr>
              <w:t>Item</w:t>
            </w:r>
            <w:r>
              <w:rPr>
                <w:rFonts w:ascii="Times New Roman" w:cs="Times New Roman" w:eastAsia="Times New Roman" w:hAnsi="Times New Roman"/>
                <w:sz w:val="17"/>
                <w:szCs w:val="17"/>
                <w:color w:val="0000FF"/>
              </w:rPr>
              <w:t xml:space="preserve"> 1C. Cybersecurity</w:t>
            </w:r>
          </w:p>
        </w:tc>
        <w:tc>
          <w:tcPr>
            <w:tcW w:w="6660" w:type="dxa"/>
            <w:vAlign w:val="bottom"/>
            <w:gridSpan w:val="12"/>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Item 2. Properties</w:t>
            </w:r>
          </w:p>
        </w:tc>
        <w:tc>
          <w:tcPr>
            <w:tcW w:w="40" w:type="dxa"/>
            <w:vAlign w:val="bottom"/>
            <w:tcBorders>
              <w:top w:val="single" w:sz="8" w:color="0000FF"/>
              <w:bottom w:val="single" w:sz="8" w:color="0000FF"/>
            </w:tcBorders>
          </w:tcPr>
          <w:p>
            <w:pPr>
              <w:spacing w:after="0"/>
              <w:rPr>
                <w:sz w:val="17"/>
                <w:szCs w:val="17"/>
                <w:color w:val="auto"/>
              </w:rPr>
            </w:pPr>
          </w:p>
        </w:tc>
        <w:tc>
          <w:tcPr>
            <w:tcW w:w="520" w:type="dxa"/>
            <w:vAlign w:val="bottom"/>
            <w:tcBorders>
              <w:top w:val="single" w:sz="8" w:color="0000FF"/>
            </w:tcBorders>
            <w:gridSpan w:val="3"/>
          </w:tcPr>
          <w:p>
            <w:pPr>
              <w:spacing w:after="0"/>
              <w:rPr>
                <w:sz w:val="17"/>
                <w:szCs w:val="17"/>
                <w:color w:val="auto"/>
              </w:rPr>
            </w:pPr>
          </w:p>
        </w:tc>
        <w:tc>
          <w:tcPr>
            <w:tcW w:w="7460" w:type="dxa"/>
            <w:vAlign w:val="bottom"/>
            <w:gridSpan w:val="19"/>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II</w:t>
            </w:r>
          </w:p>
        </w:tc>
        <w:tc>
          <w:tcPr>
            <w:tcW w:w="2160" w:type="dxa"/>
            <w:vAlign w:val="bottom"/>
            <w:tcBorders>
              <w:top w:val="single" w:sz="8" w:color="0000FF"/>
            </w:tcBorders>
            <w:gridSpan w:val="10"/>
          </w:tcPr>
          <w:p>
            <w:pPr>
              <w:spacing w:after="0"/>
              <w:rPr>
                <w:sz w:val="17"/>
                <w:szCs w:val="17"/>
                <w:color w:val="auto"/>
              </w:rPr>
            </w:pPr>
          </w:p>
        </w:tc>
        <w:tc>
          <w:tcPr>
            <w:tcW w:w="704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Item 5. Market for Registrant’s Common Equity, Related Stockholder Matters and Issuer Purchases of Equity Securities</w:t>
            </w: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6. [Reserved]</w:t>
            </w:r>
          </w:p>
        </w:tc>
        <w:tc>
          <w:tcPr>
            <w:tcW w:w="7360" w:type="dxa"/>
            <w:vAlign w:val="bottom"/>
            <w:gridSpan w:val="18"/>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2560" w:type="dxa"/>
            <w:vAlign w:val="bottom"/>
            <w:gridSpan w:val="4"/>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Item 7A. Quantitative and Qualitative Disclosures About Market Risk</w:t>
            </w:r>
          </w:p>
        </w:tc>
        <w:tc>
          <w:tcPr>
            <w:tcW w:w="4440" w:type="dxa"/>
            <w:vAlign w:val="bottom"/>
            <w:gridSpan w:val="7"/>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5540" w:type="dxa"/>
            <w:vAlign w:val="bottom"/>
            <w:gridSpan w:val="9"/>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168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6900" w:type="dxa"/>
            <w:vAlign w:val="bottom"/>
            <w:gridSpan w:val="13"/>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8"/>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III</w:t>
            </w:r>
          </w:p>
        </w:tc>
        <w:tc>
          <w:tcPr>
            <w:tcW w:w="5260" w:type="dxa"/>
            <w:vAlign w:val="bottom"/>
            <w:tcBorders>
              <w:top w:val="single" w:sz="8" w:color="0000FF"/>
            </w:tcBorders>
            <w:gridSpan w:val="19"/>
          </w:tcPr>
          <w:p>
            <w:pPr>
              <w:spacing w:after="0"/>
              <w:rPr>
                <w:sz w:val="17"/>
                <w:szCs w:val="17"/>
                <w:color w:val="auto"/>
              </w:rPr>
            </w:pPr>
          </w:p>
        </w:tc>
        <w:tc>
          <w:tcPr>
            <w:tcW w:w="394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2180" w:type="dxa"/>
            <w:vAlign w:val="bottom"/>
            <w:tcBorders>
              <w:top w:val="single" w:sz="8" w:color="0000FF"/>
            </w:tcBorders>
            <w:gridSpan w:val="6"/>
          </w:tcPr>
          <w:p>
            <w:pPr>
              <w:spacing w:after="0"/>
              <w:rPr>
                <w:sz w:val="17"/>
                <w:szCs w:val="17"/>
                <w:color w:val="auto"/>
              </w:rPr>
            </w:pPr>
          </w:p>
        </w:tc>
        <w:tc>
          <w:tcPr>
            <w:tcW w:w="4740" w:type="dxa"/>
            <w:vAlign w:val="bottom"/>
            <w:gridSpan w:val="8"/>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Stockholder Matters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168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Item 14. Principal Accounting Fees and Services</w:t>
            </w:r>
          </w:p>
        </w:tc>
        <w:tc>
          <w:tcPr>
            <w:tcW w:w="3480" w:type="dxa"/>
            <w:vAlign w:val="bottom"/>
            <w:gridSpan w:val="5"/>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Part IV</w:t>
            </w:r>
          </w:p>
        </w:tc>
        <w:tc>
          <w:tcPr>
            <w:tcW w:w="3300" w:type="dxa"/>
            <w:vAlign w:val="bottom"/>
            <w:tcBorders>
              <w:top w:val="single" w:sz="8" w:color="0000FF"/>
            </w:tcBorders>
            <w:gridSpan w:val="14"/>
          </w:tcPr>
          <w:p>
            <w:pPr>
              <w:spacing w:after="0"/>
              <w:rPr>
                <w:sz w:val="17"/>
                <w:szCs w:val="17"/>
                <w:color w:val="auto"/>
              </w:rPr>
            </w:pPr>
          </w:p>
        </w:tc>
        <w:tc>
          <w:tcPr>
            <w:tcW w:w="590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5620" w:type="dxa"/>
            <w:vAlign w:val="bottom"/>
            <w:gridSpan w:val="10"/>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060" w:type="dxa"/>
            <w:vAlign w:val="bottom"/>
            <w:gridSpan w:val="9"/>
          </w:tcPr>
          <w:p>
            <w:pPr>
              <w:spacing w:after="0"/>
              <w:rPr>
                <w:sz w:val="17"/>
                <w:szCs w:val="17"/>
                <w:color w:val="auto"/>
              </w:rPr>
            </w:pPr>
          </w:p>
        </w:tc>
        <w:tc>
          <w:tcPr>
            <w:tcW w:w="7140" w:type="dxa"/>
            <w:vAlign w:val="bottom"/>
            <w:gridSpan w:val="16"/>
          </w:tcPr>
          <w:p>
            <w:pPr>
              <w:spacing w:after="0"/>
              <w:rPr>
                <w:sz w:val="17"/>
                <w:szCs w:val="17"/>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100</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2410460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22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Restatement Background</w:t>
      </w:r>
    </w:p>
    <w:p>
      <w:pPr>
        <w:spacing w:after="0" w:line="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described in the Current Report on Form 8-K filed with the Securities and Exchange Commission (“SEC”), on May 24, 2024, WM Technology, Inc. (the “Company”, “we” or “us”) discovered that in 2023, it had an inadequate policy associated with its revenue recognition related to the cash collection of a certain subset of its customers that had been placed on a cash basis. The Company determined that it improperly recognized revenue related to satisfied performance</w:t>
      </w:r>
    </w:p>
    <w:p>
      <w:pPr>
        <w:jc w:val="both"/>
        <w:spacing w:after="0" w:line="264" w:lineRule="auto"/>
        <w:rPr>
          <w:sz w:val="20"/>
          <w:szCs w:val="20"/>
          <w:color w:val="auto"/>
        </w:rPr>
      </w:pPr>
      <w:r>
        <w:rPr>
          <w:rFonts w:ascii="Times New Roman" w:cs="Times New Roman" w:eastAsia="Times New Roman" w:hAnsi="Times New Roman"/>
          <w:sz w:val="17"/>
          <w:szCs w:val="17"/>
          <w:color w:val="auto"/>
        </w:rPr>
        <w:t>obligations and should have instead recognized a credit loss recovery related to these cash receipts. As a result of these errors, management and the audit committee of our board of directors (“Audit Committee”) concluded that our previously issued unaudited condensed consolidated financial statements as of and for the three months ended March 31, 2023, six months ended June 30, 2023 and nine months ended September 30, 2023 were materially misstated. Accordingly, our unaudited condensed consolidated financial statements for the foregoing periods require restatement and should no longer be relied upon.</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Note 2, “Summary of Significant Accounting Policies” to the consolidated financial statements included in Part II, Item 8 of this Annual Report on Form 10-K provides restated unaudited financial information as of and for the three months ended March 31, 2023, six months ended June 30, 2023 and nine months ended September 30, 2023, including the impact on the specific accounts. The financial information included in Note 2 supersedes the financial information that has been previously filed or otherwise reported as of and for the three months ended March 31, 2023, six months ended June 30, 2023 and nine months ended September 30, 2023 in our Quarterly Reports on Form 10-Q filed with the SEC on May 9, 2023, August 9, 2023 and November 8, 2023, respectively. We have not filed, and do not intend to file, amendments to the previously filed Quarterly Reports on Form 10-Q. We will effect the restatements to our 2023 unaudited condensed consolidated quarterly financial statements in our future filings of Quarterly Reports on Form 10-Q in 2024. Accordingly, investors should rely only on the financial information and other disclosures regarding the restated periods in this Annual Report on Form 10-K or in future filings with the SEC (as applicable), and not on any previously issued or filed reports, earnings releases or similar communications relating to these periods.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Considerations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course of preparing the Company’s annual financial statements for 2023, management determined that the material weakness related to the design and maintenance of effective process-level controls related to the order-to-cash cycle resulted in the misapplication of the Company’s revenue recognition policies related to the cash collection of a certain subset of its customers that had been placed on a cash basis and, in turn, the restatement of our unaudited condensed consolidated financial statements as of and for the three months ended March 31, 2023, six months ended June 30, 2023 and nine months ended September 30,</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2023</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For a discussion of management’s considerations of our disclosure controls and procedures, internal control over financial reporting, and material weaknesses identified, refer to Part II, Item 9A included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1736725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76"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and business performance, including key business metrics and any underlying assumptions thereunder;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clients and retain existing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timing related to commercial product launches;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go-to-market strategy;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scale our business and expand our offerings;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advantages and growth strategies;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capital requirements and sources and uses of cash;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future operations;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material weaknesses in our internal controls and our ability to remediate any such material weakness on the timing we anticipate, or at all;</w:t>
      </w:r>
    </w:p>
    <w:p>
      <w:pPr>
        <w:spacing w:after="0" w:line="6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the restatement on our reputation and investor confidence in us and the increased possibility of legal proceedings and regulatory inquiries;</w:t>
      </w:r>
    </w:p>
    <w:p>
      <w:pPr>
        <w:spacing w:after="0" w:line="34"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foreign business, market, financial, political and legal conditions;</w:t>
      </w:r>
    </w:p>
    <w:p>
      <w:pPr>
        <w:spacing w:after="0" w:line="101" w:lineRule="exact"/>
        <w:rPr>
          <w:rFonts w:ascii="Times New Roman" w:cs="Times New Roman" w:eastAsia="Times New Roman" w:hAnsi="Times New Roman"/>
          <w:sz w:val="17"/>
          <w:szCs w:val="17"/>
          <w:color w:val="auto"/>
        </w:rPr>
      </w:pPr>
    </w:p>
    <w:p>
      <w:pPr>
        <w:jc w:val="both"/>
        <w:ind w:left="620" w:hanging="307"/>
        <w:spacing w:after="0" w:line="241" w:lineRule="auto"/>
        <w:tabs>
          <w:tab w:leader="none" w:pos="61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 of 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w:t>
      </w:r>
    </w:p>
    <w:p>
      <w:pPr>
        <w:spacing w:after="0" w:line="35"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global, regional or local economic and market conditions affecting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capitalize on new and existing cannabis markets, including our ability to successfully monetize our solutions in those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future growth;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anticipate and address changes in the end-user market in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on our future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retaining or recruiting, or changes required in, officers, key employees or directors;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and security vulnerabilities;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be adversely affected by other economic, business or competitive factors.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598805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forward-looking statements may not be achieved or occur, and actual results, events, or circumstances could differ materially from those described in the forward-looking statements.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534035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as well as elsewhere in this Annual Report on Form 10-K and our other filings with the SEC. The below summary is qualified in its entirety by that more complete discussion of such risks and uncertainties. You should consider carefully the risks and uncertainties described under the section titled “Risk Factors” as part of your evaluation of an investment in our securities:</w:t>
      </w:r>
    </w:p>
    <w:p>
      <w:pPr>
        <w:spacing w:after="0" w:line="72"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our costs increase, we may not be able to generate sufficient revenue to achieve profitability in the future.</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retain our existing clients and consumers or to acquire new clients and consumers in a cost-effective manner, our revenue may decrease and our business may be harmed.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offer the optimal pricing of our products and solutions.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expand effectively into new markets, our revenue and business will be adversely affected.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the illicit cannabis market could impact our ability to succeed.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concentrated in California, and, as a result, our performance may be affected by factors unique to the California market.</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9"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U.S. state laws and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our business is dependent, in part, upon continued market acceptance of cannabis by consumers, any negative trends could adversely affect our business operations.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our business is dependent on the continued legalization of cannabis.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clients and consumers using our platform fail to provide high-quality content that attracts consumers, we may not be able to generate sufficient consumer traffic to remain competitive.</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upon our brand recognition and reputation, and the erosion or degradation of our brand recognition or reputation would likely adversely affect our business and operating results.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face intense competition in the cannabis information market, and we expect competition to further intensify as the cannabis industry continues to evolve.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employee operations and organization effectively, our brand, business and operating results could be harmed.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recruit, train, retain and motivate key personnel, we may not achieve our business objectives.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7"/>
          <w:szCs w:val="17"/>
          <w:color w:val="auto"/>
        </w:rPr>
        <w:t>engines and paid digital advertising, or increase the profile of our company brand through social media engagement, our ability to attract new clients may be impaired.</w:t>
      </w:r>
    </w:p>
    <w:p>
      <w:pPr>
        <w:spacing w:after="0" w:line="1" w:lineRule="exact"/>
        <w:rPr>
          <w:sz w:val="20"/>
          <w:szCs w:val="20"/>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current marketing model is not effective in attracting new clients, we may need to employ higher-cost sales and marketing methods to attract and retain clients, which could adversely affect our profitability.</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payment system and the payment systems of our clients depend on third-party providers and are subject to evolving laws and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our banking relations, and we may have difficulty accessing or consistently maintaining banking or other financial services due to our connection with the cannabis industry.</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drive engagement on our platform, as well as changes to our user engagement and advertising strategy and practices, pose risks to our business.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 of the internet continues to develop, and unfavorable changes could substantially harm our business and operating results.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a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6"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of our Class A Common Stock and certain of our Public Warrants have been, and may continue to be, volatile, and the value of our Class A Common Stock and such Warrants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83" w:lineRule="exact"/>
        <w:rPr>
          <w:sz w:val="20"/>
          <w:szCs w:val="20"/>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Strategically reach prospective cannabis consumers.</w:t>
      </w:r>
    </w:p>
    <w:p>
      <w:pPr>
        <w:spacing w:after="0" w:line="5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Manage pickup, delivery and inventory in compliance with local regulations.</w:t>
      </w:r>
    </w:p>
    <w:p>
      <w:pPr>
        <w:spacing w:after="0" w:line="73" w:lineRule="exact"/>
        <w:rPr>
          <w:rFonts w:ascii="Arial" w:cs="Arial" w:eastAsia="Arial" w:hAnsi="Arial"/>
          <w:sz w:val="21"/>
          <w:szCs w:val="21"/>
          <w:color w:val="auto"/>
        </w:rPr>
      </w:pPr>
    </w:p>
    <w:p>
      <w:pPr>
        <w:ind w:left="620" w:hanging="307"/>
        <w:spacing w:after="0"/>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Help improve the customer experience by creating online browsing and ordering functionality on a brand or retailer (including delivery) operator’s website.</w:t>
      </w:r>
    </w:p>
    <w:p>
      <w:pPr>
        <w:spacing w:after="0" w:line="255" w:lineRule="exact"/>
        <w:rPr>
          <w:rFonts w:ascii="Arial" w:cs="Arial" w:eastAsia="Arial" w:hAnsi="Arial"/>
          <w:sz w:val="21"/>
          <w:szCs w:val="21"/>
          <w:color w:val="auto"/>
        </w:rPr>
      </w:pPr>
    </w:p>
    <w:p>
      <w:pPr>
        <w:ind w:left="620" w:hanging="307"/>
        <w:spacing w:after="0"/>
        <w:tabs>
          <w:tab w:leader="none" w:pos="620"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Foster customer loyalty and re-engage with segments of consumers.</w:t>
      </w:r>
    </w:p>
    <w:p>
      <w:pPr>
        <w:spacing w:after="0" w:line="73"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Leverage the Weedmaps for Business products in conjunction with any other preferred software solutions via integrations and application programming interfaces (“APIs”).</w:t>
      </w:r>
    </w:p>
    <w:p>
      <w:pPr>
        <w:spacing w:after="0" w:line="74"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Make informed marketing and merchandising decisions using performance analytics and consumer and brand insights to promote products to specific consumer groups.</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w:t>
      </w:r>
    </w:p>
    <w:p>
      <w:pPr>
        <w:jc w:val="both"/>
        <w:ind w:firstLine="3"/>
        <w:spacing w:after="0" w:line="253" w:lineRule="auto"/>
        <w:tabs>
          <w:tab w:leader="none" w:pos="27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reserve products for pickup by consumers or delivery to consumers (either through weedmaps.com, on a white labeled WM Store website or third-party websites through our orders and menu embed product), (iii) customizable menus for brands, retailers and delivery operators to embed on their website,</w:t>
      </w:r>
    </w:p>
    <w:p>
      <w:pPr>
        <w:ind w:firstLine="3"/>
        <w:spacing w:after="0" w:line="266" w:lineRule="auto"/>
        <w:tabs>
          <w:tab w:leader="none" w:pos="3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state-legal cannabis industry in the United States has grown consistently in recent years and was estimated to be between approximately $27-$28 billion in 2023, according to Wall Street analyst estimates, and is expected by some estimates to grow to $40 billion by 2027, assuming a continued pace of new state legalization, with 70%</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U.S. adults since 2020 in support of having legal access to cannabis.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 older, population today (and less than 16% for those that consumed in the past month)</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w:t>
      </w:r>
    </w:p>
    <w:p>
      <w:pPr>
        <w:spacing w:after="0" w:line="3" w:lineRule="exact"/>
        <w:rPr>
          <w:sz w:val="20"/>
          <w:szCs w:val="20"/>
          <w:color w:val="auto"/>
        </w:rPr>
      </w:pPr>
    </w:p>
    <w:p>
      <w:pPr>
        <w:jc w:val="both"/>
        <w:ind w:firstLine="3"/>
        <w:spacing w:after="0" w:line="257" w:lineRule="auto"/>
        <w:tabs>
          <w:tab w:leader="none" w:pos="26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637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2" w:lineRule="exact"/>
        <w:rPr>
          <w:sz w:val="20"/>
          <w:szCs w:val="20"/>
          <w:color w:val="auto"/>
        </w:rPr>
      </w:pPr>
    </w:p>
    <w:p>
      <w:pPr>
        <w:ind w:left="100" w:hanging="97"/>
        <w:spacing w:after="0"/>
        <w:tabs>
          <w:tab w:leader="none" w:pos="1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news.gallup.com - Grassroots Support for Legalizing Marijuana Hits Record 70%</w:t>
      </w:r>
    </w:p>
    <w:p>
      <w:pPr>
        <w:spacing w:after="0" w:line="97" w:lineRule="exact"/>
        <w:rPr>
          <w:sz w:val="20"/>
          <w:szCs w:val="20"/>
          <w:color w:val="auto"/>
        </w:rPr>
      </w:pPr>
    </w:p>
    <w:p>
      <w:pPr>
        <w:ind w:right="280" w:firstLine="3"/>
        <w:spacing w:after="0"/>
        <w:tabs>
          <w:tab w:leader="none" w:pos="9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Numbers of users aged 21 and older are from the 2022 National Survey on Drug Use and Health, number of adults in the United States aged 21 and older are from U.S. Census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599430" cy="3086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943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current Weedmaps for Business monthly subscription package includes:</w:t>
      </w:r>
    </w:p>
    <w:p>
      <w:pPr>
        <w:spacing w:after="0" w:line="114" w:lineRule="exact"/>
        <w:rPr>
          <w:sz w:val="20"/>
          <w:szCs w:val="20"/>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offer other add-on products for additional fees, including: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62"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December 31, 2023,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Challenges in Our End-Markets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Despite cannabis being a large and growing sector in the United States, we believe that cannabis is unlike many other consumer goods and retail categories for a number of reasons:</w:t>
      </w:r>
    </w:p>
    <w:p>
      <w:pPr>
        <w:spacing w:after="0" w:line="48"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as a regulated industry is still in a nascent stage of development.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9"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5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(and less than 16% for those that consumed in the past month)</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without a “typical” user profile</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w:t>
      </w: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governing cannabis are complex and vary state-by-state and by city and county within states.</w:t>
      </w:r>
    </w:p>
    <w:p>
      <w:pPr>
        <w:spacing w:after="0" w:line="4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has wide variance in characteristics that make it complex for consumers to make an informed purchase decision.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Cannabis is a perishable good with a lack of product homogeneity.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Brands are only in the early stages of establishing a consumer presence.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the illicit market is still an issue, particularly in states like California.</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industry has experienced periods of price deflation, including over the past two years, impacting the financial performance of businesses across the value chain.</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Since our founding in 2008, we have grown to become a leading provider of technology solutions to the cannabis industry by leveraging our competitive strengths, including:</w:t>
      </w:r>
    </w:p>
    <w:p>
      <w:pPr>
        <w:spacing w:after="0" w:line="42" w:lineRule="exact"/>
        <w:rPr>
          <w:sz w:val="20"/>
          <w:szCs w:val="20"/>
          <w:color w:val="auto"/>
        </w:rPr>
      </w:pPr>
    </w:p>
    <w:p>
      <w:pPr>
        <w:jc w:val="both"/>
        <w:ind w:left="620" w:hanging="307"/>
        <w:spacing w:after="0" w:line="263"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Long History as a Technology Leader Serving the Cannabis Industry. </w:t>
      </w:r>
      <w:r>
        <w:rPr>
          <w:rFonts w:ascii="Times New Roman" w:cs="Times New Roman" w:eastAsia="Times New Roman" w:hAnsi="Times New Roman"/>
          <w:sz w:val="17"/>
          <w:szCs w:val="17"/>
          <w:color w:val="auto"/>
        </w:rPr>
        <w:t>Founded in 2008, we have a long history and established relationships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Largest Two-Sided Platform for Cannabis Businesses and Consumers. </w:t>
      </w:r>
      <w:r>
        <w:rPr>
          <w:rFonts w:ascii="Times New Roman" w:cs="Times New Roman" w:eastAsia="Times New Roman" w:hAnsi="Times New Roman"/>
          <w:sz w:val="17"/>
          <w:szCs w:val="17"/>
          <w:color w:val="auto"/>
        </w:rPr>
        <w:t>With $188.0 million in revenue and 5,419 average monthly paying clients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31, 2023,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13" w:lineRule="exact"/>
        <w:rPr>
          <w:rFonts w:ascii="Times New Roman" w:cs="Times New Roman" w:eastAsia="Times New Roman" w:hAnsi="Times New Roman"/>
          <w:sz w:val="17"/>
          <w:szCs w:val="17"/>
          <w:color w:val="auto"/>
        </w:rPr>
      </w:pPr>
    </w:p>
    <w:p>
      <w:pPr>
        <w:jc w:val="both"/>
        <w:ind w:left="620" w:hanging="307"/>
        <w:spacing w:after="0" w:line="259"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7"/>
          <w:szCs w:val="17"/>
          <w:color w:val="auto"/>
        </w:rPr>
        <w:t>We believe our Weedmaps for Business is the industry’s only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comprehensive business-in-a-box solution 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14" w:lineRule="exact"/>
        <w:rPr>
          <w:rFonts w:ascii="Times New Roman" w:cs="Times New Roman" w:eastAsia="Times New Roman" w:hAnsi="Times New Roman"/>
          <w:sz w:val="17"/>
          <w:szCs w:val="17"/>
          <w:color w:val="auto"/>
        </w:rPr>
      </w:pPr>
    </w:p>
    <w:p>
      <w:pPr>
        <w:jc w:val="both"/>
        <w:ind w:left="620" w:hanging="307"/>
        <w:spacing w:after="0" w:line="263"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Unique and Growing Data Asset. </w:t>
      </w:r>
      <w:r>
        <w:rPr>
          <w:rFonts w:ascii="Times New Roman" w:cs="Times New Roman" w:eastAsia="Times New Roman" w:hAnsi="Times New Roman"/>
          <w:sz w:val="17"/>
          <w:szCs w:val="17"/>
          <w:color w:val="auto"/>
        </w:rPr>
        <w:t>As a result our established presence, scale and the breadth of product offerings that provide us with a high volume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1"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Ability to Innovate Rapidly and Launch New Products Efficiently at Scale. </w:t>
      </w:r>
      <w:r>
        <w:rPr>
          <w:rFonts w:ascii="Times New Roman" w:cs="Times New Roman" w:eastAsia="Times New Roman" w:hAnsi="Times New Roman"/>
          <w:sz w:val="17"/>
          <w:szCs w:val="17"/>
          <w:color w:val="auto"/>
        </w:rPr>
        <w:t>We have an agile product innovation and deployment process. Our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team frequently engages with our paid clients about the products they use,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1637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54" w:lineRule="exact"/>
        <w:rPr>
          <w:sz w:val="20"/>
          <w:szCs w:val="20"/>
          <w:color w:val="auto"/>
        </w:rPr>
      </w:pPr>
    </w:p>
    <w:p>
      <w:pPr>
        <w:ind w:left="100" w:hanging="97"/>
        <w:spacing w:after="0"/>
        <w:tabs>
          <w:tab w:leader="none" w:pos="1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Numbers of users 21 and above are from the 2022 National Survey on Drug Use and Health, number of 21 and above adults in the United States are from U.S. Census data</w:t>
      </w:r>
    </w:p>
    <w:p>
      <w:pPr>
        <w:spacing w:after="0" w:line="56" w:lineRule="exact"/>
        <w:rPr>
          <w:sz w:val="20"/>
          <w:szCs w:val="20"/>
          <w:color w:val="auto"/>
        </w:rPr>
      </w:pPr>
    </w:p>
    <w:p>
      <w:pPr>
        <w:ind w:left="100" w:hanging="97"/>
        <w:spacing w:after="0"/>
        <w:tabs>
          <w:tab w:leader="none" w:pos="1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Per 2022 National Survey of Drug Use and Health and U.S. Census data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620"/>
        <w:spacing w:after="0" w:line="258" w:lineRule="auto"/>
        <w:rPr>
          <w:sz w:val="20"/>
          <w:szCs w:val="20"/>
          <w:color w:val="auto"/>
        </w:rPr>
      </w:pPr>
      <w:r>
        <w:rPr>
          <w:rFonts w:ascii="Times New Roman" w:cs="Times New Roman" w:eastAsia="Times New Roman" w:hAnsi="Times New Roman"/>
          <w:sz w:val="17"/>
          <w:szCs w:val="17"/>
          <w:color w:val="auto"/>
        </w:rPr>
        <w:t>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18" w:lineRule="exact"/>
        <w:rPr>
          <w:sz w:val="20"/>
          <w:szCs w:val="20"/>
          <w:color w:val="auto"/>
        </w:rPr>
      </w:pPr>
    </w:p>
    <w:p>
      <w:pPr>
        <w:jc w:val="both"/>
        <w:ind w:left="620" w:hanging="307"/>
        <w:spacing w:after="0" w:line="26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7"/>
          <w:szCs w:val="17"/>
          <w:color w:val="auto"/>
        </w:rPr>
        <w:t>We operate a 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Operationally-Focused Management Team with Deep Experience. </w:t>
      </w:r>
      <w:r>
        <w:rPr>
          <w:rFonts w:ascii="Times New Roman" w:cs="Times New Roman" w:eastAsia="Times New Roman" w:hAnsi="Times New Roman"/>
          <w:sz w:val="17"/>
          <w:szCs w:val="17"/>
          <w:color w:val="auto"/>
        </w:rPr>
        <w:t>Our executive leadership team has extensive and relevant professional experience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spanning the technology, consumer, retail, legal and financial services industries, with a track record of operational execution and driving growth. Our Executive Chair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56" w:lineRule="exact"/>
        <w:rPr>
          <w:sz w:val="20"/>
          <w:szCs w:val="20"/>
          <w:color w:val="auto"/>
        </w:rPr>
      </w:pPr>
    </w:p>
    <w:p>
      <w:pPr>
        <w:jc w:val="both"/>
        <w:ind w:left="620" w:hanging="307"/>
        <w:spacing w:after="0" w:line="26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Grow Our Two-Sided Marketplace. </w:t>
      </w:r>
      <w:r>
        <w:rPr>
          <w:rFonts w:ascii="Times New Roman" w:cs="Times New Roman" w:eastAsia="Times New Roman" w:hAnsi="Times New Roman"/>
          <w:sz w:val="17"/>
          <w:szCs w:val="17"/>
          <w:color w:val="auto"/>
        </w:rPr>
        <w:t>Our goal is to be the center of commerce for consumers seeking cannabis. To support this goal, we intend to continue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6"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Existing Markets and Enter New Markets. </w:t>
      </w:r>
      <w:r>
        <w:rPr>
          <w:rFonts w:ascii="Times New Roman" w:cs="Times New Roman" w:eastAsia="Times New Roman" w:hAnsi="Times New Roman"/>
          <w:sz w:val="17"/>
          <w:szCs w:val="17"/>
          <w:color w:val="auto"/>
        </w:rPr>
        <w:t>We have a significant opportunity to grow our client base both within existing markets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17" w:lineRule="exact"/>
        <w:rPr>
          <w:rFonts w:ascii="Times New Roman" w:cs="Times New Roman" w:eastAsia="Times New Roman" w:hAnsi="Times New Roman"/>
          <w:sz w:val="17"/>
          <w:szCs w:val="17"/>
          <w:color w:val="auto"/>
        </w:rPr>
      </w:pPr>
    </w:p>
    <w:p>
      <w:pPr>
        <w:jc w:val="both"/>
        <w:ind w:left="620" w:hanging="307"/>
        <w:spacing w:after="0" w:line="27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7"/>
          <w:szCs w:val="17"/>
          <w:color w:val="auto"/>
        </w:rPr>
        <w:t>We intend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continue expanding our suite of valuable advertising and software solutions and the functionality of our Weedmaps for Business solutions through additional offerings of premium analytics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17"/>
          <w:szCs w:val="17"/>
          <w:color w:val="auto"/>
        </w:rPr>
        <w:t>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13" w:lineRule="exact"/>
        <w:rPr>
          <w:sz w:val="20"/>
          <w:szCs w:val="20"/>
          <w:color w:val="auto"/>
        </w:rPr>
      </w:pPr>
    </w:p>
    <w:p>
      <w:pPr>
        <w:ind w:left="620" w:hanging="307"/>
        <w:spacing w:after="0" w:line="29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Pursue Strategic Acquisitions. </w:t>
      </w:r>
      <w:r>
        <w:rPr>
          <w:rFonts w:ascii="Times New Roman" w:cs="Times New Roman" w:eastAsia="Times New Roman" w:hAnsi="Times New Roman"/>
          <w:sz w:val="17"/>
          <w:szCs w:val="17"/>
          <w:color w:val="auto"/>
        </w:rPr>
        <w:t>We take a measured approach to acquisition-related growth. We intend to continue selectively pursuing opportunities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 in and acquire technology offerings that either complement our existing products and services or allow us to accelerate our growth.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additional information about the risks to our business related to competition, see the section entitled “Risk Factors-Risks Related to our Business and Industry —We currently face intense competition in the market and we expect competition to further intensify as the cannabis industry continues to evolve.”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key marketing efforts consist of driving awareness of the marketplace, new user acquisition, and increasing platform engagement with existing users. To drive awareness, we apply a range of strategies from broad integrated marketing campaigns, such as our work each year on April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Social Impact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Development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2023, we have been issued trademark registrations in the United States, Canada, Japan, the European Union, the United Kingdom, Mexico and Australia. We have also been issued an international trademark registration with designation in Australia and the European Union for “Weedmaps.”</w:t>
      </w:r>
    </w:p>
    <w:p>
      <w:pPr>
        <w:spacing w:after="0" w:line="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2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Circumstances outside our control could pose a threat to our intellectual property rights. For more information, see the section entitled “Risk Factors—Risks Related to our Business and Industry.”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and the Wednesday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People Operations and Human Capital Resources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2023, we had 440 full-time employees and 19 temporary employees, including 196 in engineering, product and design, 181 in sales and marketing and 82 in general and administrative. Of these employees, 450 are located in the United States and 9 are located in Canada.</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and Territories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Department of Justice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2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2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w:t>
      </w:r>
    </w:p>
    <w:p>
      <w:pPr>
        <w:spacing w:after="0" w:line="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w:t>
      </w:r>
    </w:p>
    <w:p>
      <w:pPr>
        <w:spacing w:after="0" w:line="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Some of our retail clients sell products with hemp-derived cannabinoids, including CBD. In December 2018, the U.S. government removed hemp and extracts of hemp from the CSA schedules through the Agriculture Improvement Act of 2018, Pub. L. 115-334 (the “2018 Farm Bill”).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 of the World</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or our Quarterly Reports on Form 10-Q are not the only risks and uncertainties that we face. Additional risks and uncertainties not presently known to us or that we currently believe to be immaterial may become material and adversely affect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 our costs increase, we may not be able to generate sufficient revenue to achieve profitability in the future.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72"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and marketing, including continued investment in our current marketing efforts and future marketing initiatives;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of additional employees, including in our product and engineering teams;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domestically and internationally in an effort to increase our consumer and client usage, client base and our sales to our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new products, and increased investment in the ongoing development of our existing products;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any acquired companies into our operations; and</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administration, including continued compliance with various regulations applicable to public companies and cannabis industry businesses and other work arising from the growth and maturity of our company.</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offer the optimal pricing of our products and solutions.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expand effectively into new markets, our revenue and business will be adversely affected.</w:t>
      </w:r>
    </w:p>
    <w:p>
      <w:pPr>
        <w:spacing w:after="0" w:line="1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12529"/>
        </w:rPr>
        <w:t xml:space="preserve">Competition </w:t>
      </w:r>
      <w:r>
        <w:rPr>
          <w:rFonts w:ascii="Times New Roman" w:cs="Times New Roman" w:eastAsia="Times New Roman" w:hAnsi="Times New Roman"/>
          <w:sz w:val="17"/>
          <w:szCs w:val="17"/>
          <w:b w:val="1"/>
          <w:bCs w:val="1"/>
          <w:i w:val="1"/>
          <w:iCs w:val="1"/>
          <w:color w:val="000000"/>
        </w:rPr>
        <w:t>from the illicit cannabis market could impact our ability to succeed.</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12529"/>
        </w:rPr>
        <w:t xml:space="preserve">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w:t>
      </w:r>
      <w:r>
        <w:rPr>
          <w:rFonts w:ascii="Times New Roman" w:cs="Times New Roman" w:eastAsia="Times New Roman" w:hAnsi="Times New Roman"/>
          <w:sz w:val="17"/>
          <w:szCs w:val="17"/>
          <w:color w:val="000000"/>
        </w:rPr>
        <w:t>In particular, we rely on licensed cannabis businesses to drive the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concentrated in California, and, as a result, our performance may be affected by factors unique to the California market.</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or legal proceedings could expose us to significant liabilities and have a negative impact on our reputation or business.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From time to time, we may be party to various claims and legal proceedings. For example, in August 2022, our board of directors determined to voluntarily report an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their testimony occurred in July and August of 2023. Such investigations and their results are inherently uncertain, but could give rise to penalties or other sanctions against us, as well as negative publicity and reputational harm. Regardless of the outcome, such proceedings can have an adverse impact on us because of legal costs, diversion of management resources and other factors. See Part I, Item 3. Legal Proceedings to this Form 10-K for more information.</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76"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U.S. state laws and regulations.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cannabis is a restricted controlled substance under the federal CSA, U.S. states have legalized cannabis to varying degrees through state-specific regulatory frameworks.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62" w:lineRule="exact"/>
        <w:rPr>
          <w:sz w:val="20"/>
          <w:szCs w:val="20"/>
          <w:color w:val="auto"/>
        </w:rPr>
      </w:pPr>
    </w:p>
    <w:p>
      <w:pPr>
        <w:ind w:left="620" w:hanging="307"/>
        <w:spacing w:after="0" w:line="28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complex, disparate and rapidly evolving regulatory regimes imposed by U.S. federal, state and local and other non-U.S. governments around the world applicable to cannabis and cannabis-related businesses;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rapidly evolving trends in the cannabis industry and the way consumers and cannabis industry businesses interact with technology;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and increasing our base of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preserve and build our brand while upgrading our existing offerings;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attracting, hiring and retaining qualified personnel to manage operations;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adapting to changes in the cannabis industry if sales of cannabis expand significantly beyond a regulated model;</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commodification of the cannabis industry;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executing our business and marketing strategies;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expanding our business into new and existing cannabis markets.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our business is dependent, in part, upon continued market acceptance of cannabis by consumers, any negative trends could adversely affect our business operations.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Expansion of our business is dependent on the continued legalization of cannabis.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1637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62" w:lineRule="exact"/>
        <w:rPr>
          <w:sz w:val="20"/>
          <w:szCs w:val="20"/>
          <w:color w:val="auto"/>
        </w:rPr>
      </w:pPr>
    </w:p>
    <w:p>
      <w:pPr>
        <w:ind w:right="300" w:firstLine="3"/>
        <w:spacing w:after="0" w:line="214" w:lineRule="auto"/>
        <w:tabs>
          <w:tab w:leader="none" w:pos="94"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 2021, the Bureau of Cannabis Control merged with two other state agencies regulating California cannabis to form the Department of Cannabis Control (the “DCC”), which presently regulates all California commercial cannabis businesses.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2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consolidated financial statements for additional information.</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68"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our marketing efforts;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 high-quality, innovative and error- and bug-free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high satisfaction among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perceived value of our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implementing and developing new features, including alternative revenue streams;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and enforce trademarks and other indicia of origin that are valuable to our brand;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differentiate our platform from competitors’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line="284"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laws and regulations, including those applicable to any political action committees affiliated with us and to our registered lobbying activities;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provide client support;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perceived data breach or data loss, or misuse or perceived misuse of our platform.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our brand recognition and reputation may be affected by factors that are outside our control, such as:</w:t>
      </w:r>
    </w:p>
    <w:p>
      <w:pPr>
        <w:spacing w:after="0" w:line="62"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competitors or other third parties;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timeliness of our clients’ delivery businesses;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experiences with clients or products identified through our platform;</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delays or attacks on our platform;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regulatory developments.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face intense competition in the cannabis information market, and we expect competition to further intensify as the cannabis industry continues to evolve.</w:t>
      </w:r>
    </w:p>
    <w:p>
      <w:pPr>
        <w:spacing w:after="0" w:line="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May 16, 2024, President Biden announced that the U.S. Attorney General initiated proceedings to transfer cannabis from Schedule I to Schedule III, through an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employee operations and organization effectively, our brand, business and operating results could be harmed.</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recruit, train, retain and motivate key personnel, we may not achieve our business objectives.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future success depends on our continued ability to recruit, train, retain and motivate key personnel, including Doug Francis, our Executive Chair and Principal Executive Officer; Brian Camire, our General Counsel and Duncan Grazier, our Chief Technology Officer.</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particular, Doug Francis, co-founder and Executive Chair, has been and will continue to take a more active role in leading WM Technology until we appoint our next chief executive officer. In addition, since July 2023 we have had and continue to have an interim Chief Financial Officer, which, as noted in our Notification of Late Filing on Form 12b-25 with the SEC, has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2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was 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payment system and the payment systems of our clients depend on third-party providers and are subject to evolving laws and regulations.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successfully drive engagement on our platform, as well as changes to our user engagement and advertising strategy and practices, pose risks to our business.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72" w:lineRule="exact"/>
        <w:rPr>
          <w:sz w:val="20"/>
          <w:szCs w:val="20"/>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to entice consumers to use our products and services, or our consumers don’t have the ability to maximize the consumer experience;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convince consumers and clients of the value and usefulness of our platform and services;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find cost-effective marketing channels or other strategies to drive traffic to our website, including replacing any pop-under advertisements that we have decreased our usage of or discontinued;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fail to operate effectively on the iOS or Android mobile operating systems;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unable to continue to develop products that work with a variety of mobile operating systems, networks and smartphones;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a compelling consumer experience because of the decisions we make regarding the type and frequency of advertisements that we display or the structure and design of our products;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consumers engage more with competing platforms or products at the expense of ours or those of our clients;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manner in which we promote engagement or traffic is seen by consumers or clients as unappealing or harm our brand image or reputation;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concerns about the privacy implications, safety, or security of our products;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products reduce consumer activity on our website or our applications by making it easier for our consumers to interact directly with our clients.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decrease to consumer retention, growth, or engagement could render our products less attractive to consumers, advertisers, or partners, and could seriously harm our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prevent others from aggregating or misappropriating data from our websites.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4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actual or perceived security incident could damage our reputation and brand, result in decreased utilization of our platform or prevent users from using our platform, expose us to fines and penalties, government investigations 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2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conditions may impact our ability to access financial markets to obtain the necessary funding to expand our business, which may adversely affect our liquidity and working capital.</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our quarterly and annual operating results may adversely affect our business and prospects.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clients and consumers and retain existing clients and consumers;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forecast revenue and appropriately plan our expenses;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changes in search engine placement and prominence;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on our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 existing markets and successfully enter new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regional or economic conditions;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licensed cannabis markets to successfully grow and out compete illegal cannabis markets;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effectively manage an adequate rate of growth;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traffic to our platform;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defending claims, including intellectual property infringement claims and related judgments or settlements;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or other regulation affecting our business;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platform availability and any related impact on our business, reputation or brand;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attraction and retention of qualified personnel;</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natural or man-made catastrophic events;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internal controls, including the material weakness that we have identified.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improve our products and solutions in ways that forego short-term gains.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prohibit altogether the provision, sale, or supply of our products to certain governments, persons, entities, countries, and territories, including those that are the target of comprehensive sanctions or an embargo.</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0"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social and economic instability;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legal and regulatory environment in foreign jurisdictions, including with respect to privacy and data protection, and unexpected changes in laws, regulatory requirements and enforcement;</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levels of credit risk and payment fraud;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tax requirements of multiple jurisdictions;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difficulties of integrating any foreign acquisitions;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present our content effectively in foreign languages;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a variety of foreign laws, including certain employment laws requiring national collective bargaining agreements that set minimum salaries, benefits, working conditions and termination requirements;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protection for intellectual property rights in some countries;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global operations and the increased travel, infrastructure and compliance costs associated with multiple foreign locations;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that might add difficulties in repatriating cash earned outside the United States and otherwise preventing us from freely moving cash;</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restrictions and changes in trade regulation;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statutory equity requirements;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U.S. Foreign Corrupt Practices Act of 1977, as amended, the U.K. Bribery Act 2010, the Corruption of Public Officials Act (Canada), and similar laws in other jurisdictions;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controls and economic sanctions administered by the U.S. Department of Commerce Bureau of Industry and Security and the U.S. Treasury Department’s Office of Foreign Assets Control.</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Federal Communications Commission or fines of up to $1,500 per violation imposed through private litigation or by state authorities.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may be subject to new laws governing the privacy of consumer health data.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Governmental regulation of the internet continues to develop, and unfavorable changes could substantially harm our business and operating results.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brought against us as a result of content we provide.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legal claims based on the content published to our platform.</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investments in alternative revenue streams or acquisitions could disrupt our business and adversely affect our operating results, financial condition and cash flows.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48" w:lineRule="exact"/>
        <w:rPr>
          <w:sz w:val="20"/>
          <w:szCs w:val="20"/>
          <w:color w:val="auto"/>
        </w:rPr>
      </w:pPr>
    </w:p>
    <w:p>
      <w:pPr>
        <w:jc w:val="both"/>
        <w:ind w:left="620" w:hanging="307"/>
        <w:spacing w:after="0" w:line="26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disrupt our ongoing business, divert resources, increase our expenses and distract our management;</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in, or may be unable to, successfully sell any acquired products;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involve the entry into geographic or business markets in which we have little or no prior experience or where competitors have stronger market positions;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strain on our financial and managerial controls and reporting systems and procedures;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known and unknown liabilities associated with an acquired company;</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incur debt to fund such acquisitions, such debt may subject us to material restrictions on our ability to conduct our business as well as financial maintenance covenants;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impairment charges related to potential write-downs of acquired assets or goodwill in future acquisitions;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we issue a significant amount of equity or convertible debt securities in connection with future acquisitions, existing equity holders may be diluted and earnings per share may decrease;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the varying intellectual property protection strategies and other activities of an acquired company.</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operating results may be harmed if we are deemed responsible for the collection and remittance of state sales taxes or other indirect taxes.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potential adverse tax consequences both domestically and in foreign jurisdictions.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accounting standards or other factors could negatively impact our future effective tax rate.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this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a material weaknesses in our internal control over financial reporting as of December 31, 2023. If we are unable to remediate these material weaknesses or to develop and maintain an effective system of internal control over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financial reporting, we may not be able to accurately report our financial results in a timely manner, which may adversely affect investor confidence in us and materially and adversely affect our business and operating results.</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material weakness related to the design and maintenance of effective process-level controls related to the order-to-cash cycle resulted in the misapplication of the Company’s revenue recognition policies related to the cash collection of a certain subset of its customers that had been placed on a cash basis and, in turn, the restatement of our unaudited condensed consolidated financial statements as of and for the three months ended March 31, 2023, six months ended June 30, 2023 and nine months ended September 30, 2023.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See the section entitled “Item 9A. Controls and Procedures.”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2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discussed in the Explanatory Note preceding Part I, Item I above and in Note 2 to our consolidated financial statements included elsewhere in this Annual Report on Form 10-K,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Organizational 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this discussion of risks related to our organizational structure, references to “we,” “us” and “our” generally refer to WM Technology Inc.</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consolidated financial statements included herein.</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2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Risks Related to the Cannabis Industry</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Cannabis, other than hemp (defined by the U.S. government as </w:t>
      </w:r>
      <w:r>
        <w:rPr>
          <w:rFonts w:ascii="Times New Roman" w:cs="Times New Roman" w:eastAsia="Times New Roman" w:hAnsi="Times New Roman"/>
          <w:sz w:val="17"/>
          <w:szCs w:val="17"/>
          <w:i w:val="1"/>
          <w:iCs w:val="1"/>
          <w:color w:val="auto"/>
        </w:rPr>
        <w:t>Cannabis sativa</w:t>
      </w:r>
      <w:r>
        <w:rPr>
          <w:rFonts w:ascii="Times New Roman" w:cs="Times New Roman" w:eastAsia="Times New Roman" w:hAnsi="Times New Roman"/>
          <w:sz w:val="17"/>
          <w:szCs w:val="17"/>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USA vs. McIntosh</w:t>
      </w:r>
      <w:r>
        <w:rPr>
          <w:rFonts w:ascii="Times New Roman" w:cs="Times New Roman" w:eastAsia="Times New Roman" w:hAnsi="Times New Roman"/>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 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Participating in transactions involving proceeds derived from cannabis may constitute criminal money laundering.</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difficulty using bankruptcy courts due to our involvement in the regulated cannabis industry.</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business.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conduct of third parties may jeopardize our regulatory compliance.</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some or all of these regulations are imposed, we do not know what the impact would be on the adult-use and medical-use cannabis industry, including what costs, requirements and possible prohibitions may be enforced. If our clients are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Synthetic or hemp-derived products may compete with cannabis use and products.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believe that Section 230(c)(1) of the Communications Decency Act (“CDA”) provides immunity from civil and state criminal liability, but it is possible that it does not.</w:t>
      </w:r>
    </w:p>
    <w:p>
      <w:pPr>
        <w:spacing w:after="0" w:line="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continue to be subject to constraints on marketing our products.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are subject to unfavorable U.S. tax treatment.</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providers to cannabis businesses may also be subject to unfavorable U.S. tax treatment.</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Cannabis businesses may be subject to civil asset forfeiture.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may be difficulty enforcing certain of our commercial agreements and contracts.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directors, officers, employees and investors who are not U.S. citizens may face constraints on cross-border travel into the United States.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Canadian citizen coming to the United States for reasons unrelated to the cannabis industry will generally be admissible to the United States.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Securities</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2023,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expect to declare any dividends in the foreseeable future.</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Delaware Supreme Court issued a decision in </w:t>
      </w:r>
      <w:r>
        <w:rPr>
          <w:rFonts w:ascii="Times New Roman" w:cs="Times New Roman" w:eastAsia="Times New Roman" w:hAnsi="Times New Roman"/>
          <w:sz w:val="17"/>
          <w:szCs w:val="17"/>
          <w:i w:val="1"/>
          <w:iCs w:val="1"/>
          <w:color w:val="auto"/>
        </w:rPr>
        <w:t>Salzburg et al. v. Sciabacucchi</w:t>
      </w:r>
      <w:r>
        <w:rPr>
          <w:rFonts w:ascii="Times New Roman" w:cs="Times New Roman" w:eastAsia="Times New Roman" w:hAnsi="Times New Roman"/>
          <w:sz w:val="17"/>
          <w:szCs w:val="17"/>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48"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interests of our investors;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subordinate the rights of holders of Class A Common Stock if preferred stock is issued with rights senior to those afforded our Class A Common Stock;</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adversely affect prevailing market prices for our Class A Common Stock and/or Warrants.</w:t>
      </w:r>
    </w:p>
    <w:p>
      <w:pPr>
        <w:spacing w:after="0" w:line="10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market price of our Class A Common Stock and the Public Warrants have been and may continue to be subject to wide fluctuations in response to numerous factors, many of which are beyond our control, including:</w:t>
      </w:r>
    </w:p>
    <w:p>
      <w:pPr>
        <w:spacing w:after="0" w:line="48" w:lineRule="exact"/>
        <w:rPr>
          <w:sz w:val="20"/>
          <w:szCs w:val="20"/>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condition and operating results;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projected operational and financial results;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effects and enforcement of and changes to laws and regulations, including with respect to the cannabis industry;</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or conclusion of legal proceedings that involve us;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our competitors;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or services by us or our competitors;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or joint ventures;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capital-raising activities or commitments;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or updated research or reports by securities analysts;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by investors or analysts of third-party data regarding our business that may not reflect our financial performance;</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securities, including short selling of our securities;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62"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540" w:hanging="227"/>
        <w:spacing w:after="0"/>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civil unrest, war, foreign invasions, terrorism, or public health crises, or responses to such events.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impact of global, regional or local economic and market conditions may adversely affect our business, operating results and financial condition.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funds to satisfy indemnification claims of our directors and executive officers.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6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strategic or competitive in nature, or otherwise material to our business, including customer and client Personally Identifiable Information (“Information Systems and Data”).</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security team, managed by our Chief Technology Officer (“CTO”) and Senior Director, Information Security, helps identify, assess and manage our cybersecurity threats and risks, including through the use of our cybersecurity risk acceptance register. Our security team identifies and assesses risks from cybersecurity threats by monitoring and evaluating our threat environment and our risk profile using various methods including, for example: manual and automated tools; conducting vulnerability scans; penetration tests conducted internally and by third parties; leveraging threat intelligence feeds; reports and services that identify cybersecurity threats; and working with third parties who conduct threat assessments of our platform and APIs.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detection and response plans; vulnerability management plan; disaster recovery and business continuity plans; segregating and encrypting certain of our data; maintaining network security and access controls; asset management, tracking, and disposal; monitoring certain of our systems and network; penetration testing and tabletop exercises; cybersecurity insurance; having dedicated cybersecurity staff; and training our employees about certain cybersecurity risks and threats.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assessment and management of material risks from cybersecurity threats are integrated into our overall risk management processes. For example, (1) cybersecurity risk is addressed as a component of our enterprise risk management program and identified in our risk register; (2) the security team works with certain members of our senior management to prioritize our risk management processes and mitigate cybersecurity threats that are more likely to lead to a material impact to our business; (3) our senior management evaluates material risks from cybersecurity threats against our overall business objectives and provides periodic reports to the technology and audit committees of our board of directors, which evaluate our overall enterprise risk.</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use third-party service providers to assist us from time to time to identify, assess, and manage material risks from cybersecurity threats, including for example penetration testing firms, threat intelligence service providers, cybersecurity software providers, and professional services firms, including legal counsel.</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 third-party service providers to perform a variety of functions throughout our business, such as cloud data hosting services. We have a vendor management program designed to manage cybersecurity risks associated with our use of these providers, which may involve different levels of assessment designed to help identify cybersecurity risks associated with a provider depending on the nature of the services provided, the sensitivity of the Information Systems and Data at issue, and the identity of the provider. The program includes contractually obligating certain third-party service providers with access to Information Systems and Data to implement and maintain cybersecurity practices consistent with applicable legal requirements.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a description of the risks from cybersecurity threats that may materially affect us and how they may do so, see our risk factors under Part 1. Item 1A. Risk Factors in this Annual Report on Form 10-K, including (i) Real or perceived errors, failures, or bugs in our platform could adversely affect our operating results and growth prospects, (ii) 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 and (iii) 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and technology committee of our board of directors are responsible for overseeing our cybersecurity risk management processes, including oversight and mitigation of risks from cybersecurity threats.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certain members of management, including our Chief Technology Officer (CTO) and our Senior Director, Information Security. Our CTO has over 15 years of experience in engineering and development, including in leadership roles. Our Senior Director, Information Security has over 20 years of experience in information security, including similar roles leading Information Security teams at Ticketmaster, Sony Pictures, and Warner Bros.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CTO is responsible for hiring appropriate personnel, helping to integrate cybersecurity risk considerations into our overall risk management strategy, communicating key priorities to relevant personnel, and approving budgets. Our Senior Director, Information Security manages preparing for cybersecurity incidents, approving cybersecurity processes, and reviewing security assessments and other security-related reports.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cybersecurity incident response and vulnerability management plans are designed to escalate certain cybersecurity incidents to members of management depending on the circumstances, including our CTO, General Counsel and CEO. Our CTO, General Counsel and CEO work with our incident response team to help us mitigate and remediate cybersecurity incidents of which they are notified. In addition, our incident response and vulnerability management plans include reporting to the Audit Committee (who may consult with our technology committee) for certain cybersecurity incidents.</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technology committee receives periodic reports from the CTO concerning our significant cybersecurity threats and risk and the processes we have implemented to address them. Our board of directors, our Audit Committee and our technology committees also have access to certain reports or presentations related to cybersecurity threats, risk and mitigation.</w:t>
      </w:r>
    </w:p>
    <w:p>
      <w:pPr>
        <w:spacing w:after="0" w:line="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maintain our executive offices at 41 Discovery, Irvine, California 92618, pursuant to an operating lease that expires in 2025. We have a second headquarter space in Los Angeles, California, pursuant to an operating lease that expires in 2031. We also lease additional offices in Denver, Colorado.</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consider our current office space adequate to meet our ongoing needs. However, from time to time we may evaluate additional or substitute office spaces. We believe that we will be able to obtain additional facilities, as needed, on commercially reasonable terms.</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set forth under "Commitment and Contingencies—Litigation" in Note 5 to our consolidated financial statements included in Part II, Item 8 of this Annual Report on Form 10-K is incorporated by reference into this Item 3.</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previously disclosed, in the second quarter of 2022, our board of directors received an internal complaint regarding the calculation, definition and reporting of our monthly active users (“MAUs”) metric. In response, the board of directors formed a special committee (the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 their testimony occurred in July and August of 2023. We have been fully cooperating with the SEC’s investigation. Such investigations are inherently uncertain and their results cannot be predicted with certainty, but could result in penalties or other sanctions against us, as well as negative publicity and reputational harm. Regardless of the outcome, such proceedings can have an adverse impact on us because of legal costs, diversion of management resources and other factors.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Class A Common Stock and Public Warrants are currently listed on Nasdaq under the symbols “MAPS” and “MAPSW”, respectively. As of May 13, 2024, there were 95,051,735 shares of Class A Common Stock issued and outstanding and 55,486,361 shares of our Class V common stock (the “Class V Common Stock”) issued and outstanding. No market exists for the Class V Common Stock.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May 13, 2024, there were 115 holders of record of our Class A Common Stock, 12 holders of record of our Class V Common Stock and 2 holders of record of our Public Warrants.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our equity compensation plans in Item 12 of Part III of this Annual Report on Form 10-K is incorporated herein by reference.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 from Registered Offerings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have been no recent sales of unregistered securities for the fiscal year ended December 31, 2023 that would be required to be disclosed pursuant to Item 701 of Regulation S-K. All unregistered sales of our securities for the fiscal years ended December 31, 2022 and 2021 were previously disclosed in our Annual Report on Form 10-K, which was filed with the SEC on March 16,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WM Technology, Inc. should be read in conjunction with our consolidated financial statements and related notes included in this Form 10-K,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“Item 1A. Risk Factors” and elsewhere herein.</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fiscal years ended December 31, 2023 and December 31,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2023 Financial Highlights</w:t>
      </w:r>
    </w:p>
    <w:p>
      <w:pPr>
        <w:spacing w:after="0" w:line="138"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21"/>
          <w:szCs w:val="21"/>
          <w:b w:val="1"/>
          <w:bCs w:val="1"/>
          <w:color w:val="auto"/>
        </w:rPr>
      </w:pPr>
      <w:r>
        <w:rPr>
          <w:rFonts w:ascii="Times New Roman" w:cs="Times New Roman" w:eastAsia="Times New Roman" w:hAnsi="Times New Roman"/>
          <w:sz w:val="17"/>
          <w:szCs w:val="17"/>
          <w:color w:val="auto"/>
        </w:rPr>
        <w:t>Net Revenue was $188.0 million as compared to $215.5 million in the prior year.</w:t>
      </w:r>
    </w:p>
    <w:p>
      <w:pPr>
        <w:spacing w:after="0" w:line="34" w:lineRule="exact"/>
        <w:rPr>
          <w:rFonts w:ascii="Arial" w:cs="Arial" w:eastAsia="Arial" w:hAnsi="Arial"/>
          <w:sz w:val="21"/>
          <w:szCs w:val="21"/>
          <w:b w:val="1"/>
          <w:bCs w:val="1"/>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paying clients was 5,419, as compared to 5,457 in the prior year.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monthly revenue per paying client was $2,891, as compared to $3,291 in the prior year.</w:t>
      </w:r>
    </w:p>
    <w:p>
      <w:pPr>
        <w:spacing w:after="0" w:line="8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Net loss was $15.7 million as compared to $82.7 million in the prior year.</w:t>
      </w:r>
    </w:p>
    <w:p>
      <w:pPr>
        <w:spacing w:after="0" w:line="34"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Adjusted EBITDA was $36.9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totaled $34.4 million as of December 31, 2023, with no long-term debt.</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5,419 average monthly paying business clients during the year ended December 31, 2023, on the supply-side of our marketplace. These paying clients include retailers, brands and other client types (such as doctors). Further, these clients, who can choose to purchase multiple listings solutions for each business, had purchased over 7,800 listing pages as of December 31,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December 31, 2023,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December 31,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 The following table summarizes our financial performance for the year ended December 31, 2023 compared to our financial performance for the years ended December 31, 2022 and 2021. For a detailed discussion of our results of operations, see “Results of Operations”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42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12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74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for revenue per paying client)</w:t>
            </w: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c>
          <w:tcPr>
            <w:tcW w:w="5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215,531</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193,146</w:t>
            </w:r>
          </w:p>
        </w:tc>
      </w:tr>
      <w:tr>
        <w:trPr>
          <w:trHeight w:val="21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5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(82,651)</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152,218</w:t>
            </w:r>
          </w:p>
        </w:tc>
      </w:tr>
      <w:tr>
        <w:trPr>
          <w:trHeight w:val="322"/>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c>
          <w:tcPr>
            <w:tcW w:w="5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107,924</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156,042</w:t>
            </w:r>
          </w:p>
        </w:tc>
      </w:tr>
      <w:tr>
        <w:trPr>
          <w:trHeight w:val="322"/>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36,907</w:t>
            </w:r>
          </w:p>
        </w:tc>
        <w:tc>
          <w:tcPr>
            <w:tcW w:w="5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(9,633)</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31,698</w:t>
            </w:r>
          </w:p>
        </w:tc>
      </w:tr>
      <w:tr>
        <w:trPr>
          <w:trHeight w:val="322"/>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monthly revenue per paying client</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5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3,291</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3,711</w:t>
            </w:r>
          </w:p>
        </w:tc>
      </w:tr>
      <w:tr>
        <w:trPr>
          <w:trHeight w:val="37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Average monthly paying clients</w:t>
            </w:r>
            <w:r>
              <w:rPr>
                <w:rFonts w:ascii="Times New Roman" w:cs="Times New Roman" w:eastAsia="Times New Roman" w:hAnsi="Times New Roman"/>
                <w:sz w:val="22"/>
                <w:szCs w:val="22"/>
                <w:color w:val="auto"/>
                <w:vertAlign w:val="superscript"/>
              </w:rPr>
              <w:t>(3)</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5,419</w:t>
            </w:r>
          </w:p>
        </w:tc>
        <w:tc>
          <w:tcPr>
            <w:tcW w:w="520" w:type="dxa"/>
            <w:vAlign w:val="bottom"/>
          </w:tcPr>
          <w:p>
            <w:pPr>
              <w:spacing w:after="0"/>
              <w:rPr>
                <w:sz w:val="24"/>
                <w:szCs w:val="24"/>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5,457</w:t>
            </w:r>
          </w:p>
        </w:tc>
        <w:tc>
          <w:tcPr>
            <w:tcW w:w="4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4,337</w:t>
            </w:r>
          </w:p>
        </w:tc>
      </w:tr>
      <w:tr>
        <w:trPr>
          <w:trHeight w:val="243"/>
        </w:trPr>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320" w:hanging="317"/>
        <w:spacing w:after="0" w:line="253"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information about how we calculate EBITDA and Adjusted EBITDA as well as limitations of its use and a reconciliation of EBITDA and Adjusted EBITDA to net income (loss), see “Net Income (Loss) to EBITDA and Adjusted EBITDA” in Non-GAAP Financial Measurements below.</w:t>
      </w:r>
    </w:p>
    <w:p>
      <w:pPr>
        <w:ind w:left="320" w:hanging="317"/>
        <w:spacing w:after="0" w:line="260" w:lineRule="auto"/>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revenue per paying client is defined as the average monthly revenue for any particular period divided by the average monthly paying clients in the same respective period.</w:t>
      </w:r>
    </w:p>
    <w:p>
      <w:pPr>
        <w:ind w:left="320" w:hanging="317"/>
        <w:spacing w:after="0"/>
        <w:tabs>
          <w:tab w:leader="none" w:pos="3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monthly paying clients are defined as the average of the number of paying clients billed in a month across a particular period (and for which services were provided).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Revenue Per Paying Client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decline in our average monthly revenue per paying client for the years ended December 31, 2023 was due to spend declines in established markets. We expected these pressures given the continued liquidity challenges that clients are facing.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Average Monthly Paying Clients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2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of Our Two-Sided Weedmaps Marketplace</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and Retention of Our Paying Clients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Maturation of Cannabis Markets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 Recognition and Reputation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Growth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operating expenses and capital expenditures fluctuate over time, we may accordingly experience short-term, negative impacts to our operating results and cash flows.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 Expenses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Expenses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 Expenses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 Charges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Asset impairment charges primarily consist of impairment of ROU assets related to our operating leases, impairment of intangible assets, impairment of equity securities and impairment of property and equipment.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net consists primarily of discharge of holdback obligation related to prior acquisition, changes in fair value of warrant liability, change in TRA liability, transaction related bonus, legal settlements and other legal costs, reduction in force, and interest expense.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16, “Income Taxes,” to our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 Revenue</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 Revenue</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5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revenues (exclusive of depreciation and amortization)</w:t>
            </w:r>
          </w:p>
        </w:tc>
        <w:tc>
          <w:tcPr>
            <w:tcW w:w="2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12,527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15,407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0" w:type="dxa"/>
            <w:vAlign w:val="bottom"/>
          </w:tcPr>
          <w:p>
            <w:pPr>
              <w:spacing w:after="0"/>
              <w:rPr>
                <w:sz w:val="1"/>
                <w:szCs w:val="1"/>
                <w:color w:val="auto"/>
              </w:rPr>
            </w:pPr>
          </w:p>
        </w:tc>
      </w:tr>
      <w:tr>
        <w:trPr>
          <w:trHeight w:val="219"/>
        </w:trPr>
        <w:tc>
          <w:tcPr>
            <w:tcW w:w="5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Product development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56.0 %</w:t>
            </w:r>
          </w:p>
        </w:tc>
        <w:tc>
          <w:tcPr>
            <w:tcW w:w="0" w:type="dxa"/>
            <w:vAlign w:val="bottom"/>
          </w:tcPr>
          <w:p>
            <w:pPr>
              <w:spacing w:after="0"/>
              <w:rPr>
                <w:sz w:val="1"/>
                <w:szCs w:val="1"/>
                <w:color w:val="auto"/>
              </w:rPr>
            </w:pPr>
          </w:p>
        </w:tc>
      </w:tr>
      <w:tr>
        <w:trPr>
          <w:trHeight w:val="219"/>
        </w:trPr>
        <w:tc>
          <w:tcPr>
            <w:tcW w:w="5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Asset impairment charges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12"/>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285,153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132.3 %</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loss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0" w:type="dxa"/>
            <w:vAlign w:val="bottom"/>
          </w:tcPr>
          <w:p>
            <w:pPr>
              <w:spacing w:after="0"/>
              <w:rPr>
                <w:sz w:val="1"/>
                <w:szCs w:val="1"/>
                <w:color w:val="auto"/>
              </w:rPr>
            </w:pPr>
          </w:p>
        </w:tc>
      </w:tr>
      <w:tr>
        <w:trPr>
          <w:trHeight w:val="219"/>
        </w:trPr>
        <w:tc>
          <w:tcPr>
            <w:tcW w:w="5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66.0 %</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(expense)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2"/>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44.7 %</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83.1 %</w:t>
            </w:r>
          </w:p>
        </w:tc>
        <w:tc>
          <w:tcPr>
            <w:tcW w:w="0" w:type="dxa"/>
            <w:vAlign w:val="bottom"/>
          </w:tcPr>
          <w:p>
            <w:pPr>
              <w:spacing w:after="0"/>
              <w:rPr>
                <w:sz w:val="1"/>
                <w:szCs w:val="1"/>
                <w:color w:val="auto"/>
              </w:rPr>
            </w:pPr>
          </w:p>
        </w:tc>
      </w:tr>
      <w:tr>
        <w:trPr>
          <w:trHeight w:val="212"/>
        </w:trPr>
        <w:tc>
          <w:tcPr>
            <w:tcW w:w="5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0" w:type="dxa"/>
            <w:vAlign w:val="bottom"/>
          </w:tcPr>
          <w:p>
            <w:pPr>
              <w:spacing w:after="0"/>
              <w:rPr>
                <w:sz w:val="1"/>
                <w:szCs w:val="1"/>
                <w:color w:val="auto"/>
              </w:rPr>
            </w:pPr>
          </w:p>
        </w:tc>
      </w:tr>
      <w:tr>
        <w:trPr>
          <w:trHeight w:val="212"/>
        </w:trPr>
        <w:tc>
          <w:tcPr>
            <w:tcW w:w="5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 attributable to WM Technology, Inc.</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2023 and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disaggregated net revenue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19"/>
                <w:szCs w:val="19"/>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19"/>
                <w:szCs w:val="19"/>
                <w:color w:val="auto"/>
              </w:rPr>
            </w:pP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c>
          <w:tcPr>
            <w:tcW w:w="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3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revenues decreased by $27.5 million, or 13%, for the year ended December 31, 2023 compared to the same period in 2022. The decrease was primarily driven by a decrease in average monthly revenue per paying client primarily as a result of a decrease in revenue from our Featured Listings and WM Deal products of $23.1 million, Weedmaps for Business of $3.9 million and other WM Ad solutions of $0.5 million.</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2023, featured and deal listings, Weedmaps for Business and other ad solutions represented 67%, 25% and 8% of our total net revenues,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and Expenses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19"/>
                <w:szCs w:val="19"/>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19"/>
                <w:szCs w:val="19"/>
                <w:color w:val="auto"/>
              </w:rPr>
            </w:pP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12,527</w:t>
            </w:r>
          </w:p>
        </w:tc>
        <w:tc>
          <w:tcPr>
            <w:tcW w:w="4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1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465 %</w:t>
            </w:r>
          </w:p>
        </w:tc>
      </w:tr>
      <w:tr>
        <w:trPr>
          <w:trHeight w:val="237"/>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206,450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Development Expenses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1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Impairment Charges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consolidated financial statements for further discuss.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96"/>
        </w:trPr>
        <w:tc>
          <w:tcPr>
            <w:tcW w:w="5080" w:type="dxa"/>
            <w:vAlign w:val="bottom"/>
          </w:tcPr>
          <w:p>
            <w:pPr>
              <w:spacing w:after="0"/>
              <w:rPr>
                <w:sz w:val="24"/>
                <w:szCs w:val="24"/>
                <w:color w:val="auto"/>
              </w:rPr>
            </w:pPr>
          </w:p>
        </w:tc>
        <w:tc>
          <w:tcPr>
            <w:tcW w:w="3060" w:type="dxa"/>
            <w:vAlign w:val="bottom"/>
            <w:gridSpan w:val="6"/>
          </w:tcPr>
          <w:p>
            <w:pPr>
              <w:ind w:left="5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2"/>
        </w:trPr>
        <w:tc>
          <w:tcPr>
            <w:tcW w:w="50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1,505</w:t>
            </w:r>
          </w:p>
        </w:tc>
        <w:tc>
          <w:tcPr>
            <w:tcW w:w="42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9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2,574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12"/>
        </w:trPr>
        <w:tc>
          <w:tcPr>
            <w:tcW w:w="5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2,823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166,048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8"/>
        </w:trPr>
        <w:tc>
          <w:tcPr>
            <w:tcW w:w="5080" w:type="dxa"/>
            <w:vAlign w:val="bottom"/>
          </w:tcPr>
          <w:p>
            <w:pPr>
              <w:spacing w:after="0"/>
              <w:rPr>
                <w:sz w:val="24"/>
                <w:szCs w:val="24"/>
                <w:color w:val="auto"/>
              </w:rPr>
            </w:pPr>
          </w:p>
        </w:tc>
        <w:tc>
          <w:tcPr>
            <w:tcW w:w="3060" w:type="dxa"/>
            <w:vAlign w:val="bottom"/>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6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00" w:type="dxa"/>
            <w:vAlign w:val="bottom"/>
          </w:tcPr>
          <w:p>
            <w:pPr>
              <w:spacing w:after="0"/>
              <w:rPr>
                <w:sz w:val="24"/>
                <w:szCs w:val="24"/>
                <w:color w:val="auto"/>
              </w:rPr>
            </w:pPr>
          </w:p>
        </w:tc>
      </w:tr>
      <w:tr>
        <w:trPr>
          <w:trHeight w:val="212"/>
        </w:trPr>
        <w:tc>
          <w:tcPr>
            <w:tcW w:w="50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4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consolidated financial statements included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Income (Loss) to EBITDA and Adjusted EBITDA</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financial statements, including net income (loss), are prepared in accordance with GAAP. For more information regarding the components within our net income (loss), see “Components of Our Results of Operations” above.</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loss (the most directly comparable GAAP financial measure) to EBITDA; and from EBITDA to Adjusted EBITDA.</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hanging="307"/>
        <w:spacing w:after="0" w:line="284"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changes in, or cash requirements for, our working capital needs;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tax payments that may represent a reduction in cash available to us.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Because of these limitations, you should consider EBITDA and Adjusted EBITDA alongside other financial performance measures, including net loss and our other GAAP results.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net loss to non-GAAP EBITDA and Adjusted EBITDA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2"/>
        </w:trPr>
        <w:tc>
          <w:tcPr>
            <w:tcW w:w="55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5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152,218</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4,425</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107,924</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156,042</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29,324</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(166,518)</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Warrant transaction costs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5,547</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Transaction related bonus expense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 costs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Legal settlements and other legal costs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Discharge of holdback obligation related to prior acquisition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Reduction in force (recovery) expense</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36,907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(9,633)</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31,698</w:t>
            </w:r>
          </w:p>
        </w:tc>
      </w:tr>
      <w:tr>
        <w:trPr>
          <w:trHeight w:val="20"/>
        </w:trPr>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and the Wednesday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9"/>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tables show our cash, accounts receivable and working capital as of the dates indicated:</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8"/>
        </w:trPr>
        <w:tc>
          <w:tcPr>
            <w:tcW w:w="7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12"/>
        </w:trPr>
        <w:tc>
          <w:tcPr>
            <w:tcW w:w="74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40" w:type="dxa"/>
            <w:vAlign w:val="bottom"/>
          </w:tcPr>
          <w:p>
            <w:pPr>
              <w:spacing w:after="0"/>
              <w:rPr>
                <w:sz w:val="18"/>
                <w:szCs w:val="18"/>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34,350</w:t>
            </w:r>
          </w:p>
        </w:tc>
        <w:tc>
          <w:tcPr>
            <w:tcW w:w="7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28,583</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11,158</w:t>
            </w:r>
          </w:p>
        </w:tc>
        <w:tc>
          <w:tcPr>
            <w:tcW w:w="7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17,438</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17,771</w:t>
            </w:r>
          </w:p>
        </w:tc>
        <w:tc>
          <w:tcPr>
            <w:tcW w:w="78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8,660</w:t>
            </w:r>
          </w:p>
        </w:tc>
      </w:tr>
    </w:tbl>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primarily finance our operations and capital expenditures through cash flows generated by operations.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8"/>
        </w:trPr>
        <w:tc>
          <w:tcPr>
            <w:tcW w:w="55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2"/>
        </w:trPr>
        <w:tc>
          <w:tcPr>
            <w:tcW w:w="55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5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22,928</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(11,621)</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30,190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(11,871)</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(17,768)</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9"/>
              </w:rPr>
              <w:t>(30,435)</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(9,805)</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48,103</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(Used In) Operating Activities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(Used in) Financing Activities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non-cancellable contractual agreements primarily related to leases and other purchase obligations. As of December 31, 2023, future payments on our operating leases were $45.0 million. See Note 4, “Leases,” to our consolidated financial statements included herein. We also have minimum outstanding purchase obligations of $7.1 million in 2024, $7.3 million in 2025 and $7.5 million in 2026, due under software license agreements, of which the majority relates to our three-year AWS Enterprise agreement.</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consolidated financial statements included herein.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consolidated financial statements included herein.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recognize revenue when the fundamental criteria for revenue recognition are met. We recognize revenue by applying the following five steps: the contract with the customer is identified; the performance obligations in the contract are identified;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we have collected or reached a settlement on the customers old outstanding accounts receivable balances. We apply all payments received against the customers oldest invoices and we do not recognize revenue for any new services provided until we have collected or reached a settlement on all prior outstanding accounts receivable. Collectability is reassessed when there is a significant change in facts or circumstances. The assessment of collectability considers whether we may limit its exposure to credit risk through its right to stop transferring additional service in the event the customer is delinquent.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3, “Revenue from Contracts with Customers,” to our consolidated financial statements included herein.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Critical Accounting Estimates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2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WHM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consolidated financial statements included herein.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 – Credit Losses</w:t>
      </w:r>
      <w:r>
        <w:rPr>
          <w:rFonts w:ascii="Times New Roman" w:cs="Times New Roman" w:eastAsia="Times New Roman" w:hAnsi="Times New Roman"/>
          <w:sz w:val="17"/>
          <w:szCs w:val="17"/>
          <w:color w:val="auto"/>
        </w:rPr>
        <w:t>, which is based on the expected losses rather than incurred losses. Under the credit loss model, lifetime expected credit losses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measured and recognized at each reporting date based on historical, current and forecast information.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consolidated financial statements included herein.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these consolidated financial statements for additional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Long-Lived Assets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2023,we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December 31, 2023, 12,499,973 of the Public Warrant and all of the Private Placement Warrants remained outstanding . The warrants are measured at fair value under ASC 820 - </w:t>
      </w:r>
      <w:r>
        <w:rPr>
          <w:rFonts w:ascii="Times New Roman" w:cs="Times New Roman" w:eastAsia="Times New Roman" w:hAnsi="Times New Roman"/>
          <w:sz w:val="17"/>
          <w:szCs w:val="17"/>
          <w:i w:val="1"/>
          <w:iCs w:val="1"/>
          <w:color w:val="auto"/>
        </w:rPr>
        <w:t>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have no material recent accounting pronouncements yet to be adopted.</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to be cash equivalents. As of December 31, 2023, we did not have any cash equivalents.</w:t>
      </w:r>
    </w:p>
    <w:p>
      <w:pPr>
        <w:spacing w:after="0" w:line="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Inflation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The information required by this Item 8 appears in a separate section of this annual report on Form 10-K beginning on page </w:t>
      </w:r>
      <w:r>
        <w:rPr>
          <w:rFonts w:ascii="Times New Roman" w:cs="Times New Roman" w:eastAsia="Times New Roman" w:hAnsi="Times New Roman"/>
          <w:sz w:val="17"/>
          <w:szCs w:val="17"/>
          <w:u w:val="single" w:color="auto"/>
          <w:color w:val="0000FF"/>
        </w:rPr>
        <w:t>F-1</w:t>
      </w:r>
      <w:r>
        <w:rPr>
          <w:rFonts w:ascii="Times New Roman" w:cs="Times New Roman" w:eastAsia="Times New Roman" w:hAnsi="Times New Roman"/>
          <w:sz w:val="17"/>
          <w:szCs w:val="17"/>
          <w:color w:val="auto"/>
        </w:rPr>
        <w:t xml:space="preserve"> and is incorporated herein by reference.</w:t>
      </w:r>
    </w:p>
    <w:p>
      <w:pPr>
        <w:spacing w:after="0" w:line="4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With the foregoing in mind, our executive chair and chief financial officer (“Certifying Officers”) evaluated the effectiveness of our disclosure controls and procedures as of December 31, 2023, pursuant to Rule 13a-15(b) under the Exchange Act. Based on the evaluation, our executive chair and chief financial officer have concluded that as of December 31, 2023, our disclosure controls and procedures were not effective due to the material weaknesses in internal control over financial reporting described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Except for the material weaknesses identified during 2023,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entity-level material weaknesses contributed to other material weaknesses within our system of internal control over financial reporting as follow:</w:t>
      </w:r>
    </w:p>
    <w:p>
      <w:pPr>
        <w:spacing w:after="0" w:line="114" w:lineRule="exact"/>
        <w:rPr>
          <w:sz w:val="20"/>
          <w:szCs w:val="20"/>
          <w:color w:val="auto"/>
        </w:rPr>
      </w:pPr>
    </w:p>
    <w:p>
      <w:pPr>
        <w:jc w:val="both"/>
        <w:ind w:left="620" w:hanging="307"/>
        <w:spacing w:after="0" w:line="258"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7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information technology (IT) general controls for certain information systems supporting our key financial reporting processes. Specifically, we did not design, implement and maintain sufficient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 management, security, and operations controls for certain in-scope on-premise applications and vendor-supported applications.</w:t>
      </w:r>
    </w:p>
    <w:p>
      <w:pPr>
        <w:spacing w:after="0" w:line="101" w:lineRule="exact"/>
        <w:rPr>
          <w:sz w:val="20"/>
          <w:szCs w:val="20"/>
          <w:color w:val="auto"/>
        </w:rPr>
      </w:pPr>
    </w:p>
    <w:p>
      <w:pPr>
        <w:jc w:val="both"/>
        <w:ind w:left="620" w:hanging="307"/>
        <w:spacing w:after="0"/>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 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3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2022, we identified a material weakness in internal control related to ineffective IT general controls in the areas of user access and program change-management over certain information technology systems that support our financial reporting processes. We took measures to remediate this material weakness, specifically by undertaking the following measures:</w:t>
      </w:r>
    </w:p>
    <w:p>
      <w:pPr>
        <w:spacing w:after="0" w:line="62"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developers’ administrative access from production systems;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removing the ability for certain users, including developers, to access other users’ accounts;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audit trails to log and monitor system configuration and data changes made by users to detect erroneous or unauthorized changes.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remediation efforts concluded as of June 30, 2023 when we determined that the above measures had been implemented.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fiscal 2023. The lack of successful completion of our remediation efforts related to this material weakness identified for the year ended December 31, 2022 is reflected in the first bullet of our 2023 material weaknesses discussed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begun the process of evaluating the material weaknesses and developing our full remediation plan. Until the remediation plan is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w:t>
      </w:r>
    </w:p>
    <w:p>
      <w:pPr>
        <w:spacing w:after="0" w:line="1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brief biography of each nominee and each director whose term will continue after the Annual Meeting.</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Douglas Francis</w:t>
      </w:r>
      <w:r>
        <w:rPr>
          <w:rFonts w:ascii="Times New Roman" w:cs="Times New Roman" w:eastAsia="Times New Roman" w:hAnsi="Times New Roman"/>
          <w:sz w:val="17"/>
          <w:szCs w:val="17"/>
          <w:color w:val="auto"/>
        </w:rPr>
        <w:t>. Mr. Francis, age 46, has served as a member of the Board since June 2021, and as Executive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Scott Gordon</w:t>
      </w:r>
      <w:r>
        <w:rPr>
          <w:rFonts w:ascii="Times New Roman" w:cs="Times New Roman" w:eastAsia="Times New Roman" w:hAnsi="Times New Roman"/>
          <w:sz w:val="17"/>
          <w:szCs w:val="17"/>
          <w:color w:val="auto"/>
        </w:rPr>
        <w:t>. Mr. Gordon, age 62, has served as a member of the Board since June 2021. Mr. Gordon has held the dual roles of Chief Executive Officer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Fiona Tan</w:t>
      </w:r>
      <w:r>
        <w:rPr>
          <w:rFonts w:ascii="Times New Roman" w:cs="Times New Roman" w:eastAsia="Times New Roman" w:hAnsi="Times New Roman"/>
          <w:sz w:val="17"/>
          <w:szCs w:val="17"/>
          <w:color w:val="auto"/>
        </w:rPr>
        <w:t>. Ms. Tan, age 53, has served as a member of the Board since June 2021. Since March 2022, Ms. Tan has served as Chief Technology Officer for Wayfair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LLC, where she previously served as the Global Head of Customer and Supplier Technology from September 2020 to March 2022. She has held various leadership positions at Walmart Inc., including Head of Technology for Walmart US from March 2019 to September 2020, Senior Vice President of Engineering and Customer Technology for Walmart Labs from January 2017 to March 2019 and Vice President of Engineering and International Markets for Walmart Labs Strategy and Operations from April 2014 to January 2017. Additionally, Ms. Tan was Vice President of Engineering for Ariba, Inc. from January 2012 to April 2014 and held the same role at TIBCO Software, Inc. from January 1995 to October 2011, and worked as a Senior Technical Staff Member role at Oracle Corporation from January 1993 to May 1995. Ms. Tan holds an M.S. in Computer Science from Stanford University and a B.S. in Computer Science and Engineering from the Massachusetts Institute of Technology.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Anthony Bay</w:t>
      </w:r>
      <w:r>
        <w:rPr>
          <w:rFonts w:ascii="Times New Roman" w:cs="Times New Roman" w:eastAsia="Times New Roman" w:hAnsi="Times New Roman"/>
          <w:sz w:val="17"/>
          <w:szCs w:val="17"/>
          <w:color w:val="auto"/>
        </w:rPr>
        <w:t>. Mr. Bay, age 68, has served as a member of the Board since March 2022. Prior to joining the Board, Mr. Bay served on three public boards,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Tony Aquila</w:t>
      </w:r>
      <w:r>
        <w:rPr>
          <w:rFonts w:ascii="Times New Roman" w:cs="Times New Roman" w:eastAsia="Times New Roman" w:hAnsi="Times New Roman"/>
          <w:sz w:val="17"/>
          <w:szCs w:val="17"/>
          <w:color w:val="auto"/>
        </w:rPr>
        <w:t>. Mr. Aquila, age 59, has served as a member of the Board since June 2021. Since April 2021, Mr. Aquila has served as the Chief Executive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Brenda Freeman</w:t>
      </w:r>
      <w:r>
        <w:rPr>
          <w:rFonts w:ascii="Times New Roman" w:cs="Times New Roman" w:eastAsia="Times New Roman" w:hAnsi="Times New Roman"/>
          <w:sz w:val="17"/>
          <w:szCs w:val="17"/>
          <w:color w:val="auto"/>
        </w:rPr>
        <w:t>. Ms. Freeman, age 59, has served as a member of the Board since June 2021. Ms. Freeman founded and has served as President of Joyeux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Olga Gonzalez</w:t>
      </w:r>
      <w:r>
        <w:rPr>
          <w:rFonts w:ascii="Times New Roman" w:cs="Times New Roman" w:eastAsia="Times New Roman" w:hAnsi="Times New Roman"/>
          <w:sz w:val="17"/>
          <w:szCs w:val="17"/>
          <w:color w:val="auto"/>
        </w:rPr>
        <w:t>. Ms. Gonzalez, age 57, has served as a member of the Board since June 2021. Since April 2023, Ms. Gonzalez has served as CEO and President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titled “Related Person Transactions” that occurred during any 12-month period within the last three fiscal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Board is currently chaired by the Executive Chair of the Company, Mr. Francis, who has an active role in leading the Company as our principal executive officer and member of the Board. Ms. Freeman currently serves as our lead independent director.</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 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Board in Risk Oversight</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of the Board of Directors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required under applicable Nasdaq listing standards, in 2023, the Company’s independent directors met six times in regularly scheduled executive sessions at which only independent directors were present.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Regarding Committees of the Board of Directors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Nominating and</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1760" w:type="dxa"/>
            <w:vAlign w:val="bottom"/>
            <w:vMerge w:val="restart"/>
          </w:tcPr>
          <w:p>
            <w:pPr>
              <w:ind w:left="900"/>
              <w:spacing w:after="0"/>
              <w:rPr>
                <w:sz w:val="20"/>
                <w:szCs w:val="20"/>
                <w:color w:val="auto"/>
              </w:rPr>
            </w:pPr>
            <w:r>
              <w:rPr>
                <w:rFonts w:ascii="Times New Roman" w:cs="Times New Roman" w:eastAsia="Times New Roman" w:hAnsi="Times New Roman"/>
                <w:sz w:val="17"/>
                <w:szCs w:val="17"/>
                <w:b w:val="1"/>
                <w:bCs w:val="1"/>
                <w:color w:val="auto"/>
              </w:rPr>
              <w:t>Audit</w:t>
            </w:r>
          </w:p>
        </w:tc>
        <w:tc>
          <w:tcPr>
            <w:tcW w:w="1740" w:type="dxa"/>
            <w:vAlign w:val="bottom"/>
            <w:vMerge w:val="restart"/>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7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Corporate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Technology</w:t>
            </w:r>
          </w:p>
        </w:tc>
        <w:tc>
          <w:tcPr>
            <w:tcW w:w="0" w:type="dxa"/>
            <w:vAlign w:val="bottom"/>
          </w:tcPr>
          <w:p>
            <w:pPr>
              <w:spacing w:after="0"/>
              <w:rPr>
                <w:sz w:val="1"/>
                <w:szCs w:val="1"/>
                <w:color w:val="auto"/>
              </w:rPr>
            </w:pPr>
          </w:p>
        </w:tc>
      </w:tr>
      <w:tr>
        <w:trPr>
          <w:trHeight w:val="227"/>
        </w:trPr>
        <w:tc>
          <w:tcPr>
            <w:tcW w:w="452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Governance</w:t>
            </w: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Tony Aquila</w:t>
            </w: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Anthony Bay</w:t>
            </w:r>
          </w:p>
        </w:tc>
        <w:tc>
          <w:tcPr>
            <w:tcW w:w="17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Douglas Francis*</w:t>
            </w:r>
          </w:p>
        </w:tc>
        <w:tc>
          <w:tcPr>
            <w:tcW w:w="17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Brenda Freeman</w:t>
            </w:r>
          </w:p>
        </w:tc>
        <w:tc>
          <w:tcPr>
            <w:tcW w:w="17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Pr>
          <w:p>
            <w:pPr>
              <w:spacing w:after="0"/>
              <w:rPr>
                <w:sz w:val="19"/>
                <w:szCs w:val="19"/>
                <w:color w:val="auto"/>
              </w:rPr>
            </w:pPr>
          </w:p>
        </w:tc>
        <w:tc>
          <w:tcPr>
            <w:tcW w:w="17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X**</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Olga Gonzalez</w:t>
            </w:r>
          </w:p>
        </w:tc>
        <w:tc>
          <w:tcPr>
            <w:tcW w:w="17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Gordon</w:t>
            </w:r>
          </w:p>
        </w:tc>
        <w:tc>
          <w:tcPr>
            <w:tcW w:w="17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Fiona Tan</w:t>
            </w:r>
          </w:p>
        </w:tc>
        <w:tc>
          <w:tcPr>
            <w:tcW w:w="17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X</w:t>
            </w:r>
          </w:p>
        </w:tc>
        <w:tc>
          <w:tcPr>
            <w:tcW w:w="1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19"/>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Meetings in the year ended December 31, 2023</w:t>
            </w:r>
          </w:p>
        </w:tc>
        <w:tc>
          <w:tcPr>
            <w:tcW w:w="17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8</w:t>
            </w:r>
          </w:p>
        </w:tc>
        <w:tc>
          <w:tcPr>
            <w:tcW w:w="17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9</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4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Chair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Committee Chairperson</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Audit Committee consists of Mses. Gonzalez and Freeman and Messrs. Bay and Gordon. The Board has determined that each of the members of the Audit Committee satisfy the independence requirements of Rule 5605(c)(2)(A)(i)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functions of this committee include, among other things, to:</w:t>
      </w:r>
    </w:p>
    <w:p>
      <w:pPr>
        <w:spacing w:after="0" w:line="114" w:lineRule="exact"/>
        <w:rPr>
          <w:sz w:val="20"/>
          <w:szCs w:val="20"/>
          <w:color w:val="auto"/>
        </w:rPr>
      </w:pPr>
    </w:p>
    <w:p>
      <w:pPr>
        <w:ind w:left="620" w:hanging="307"/>
        <w:spacing w:after="0" w:line="284"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hiring, discharging and compensation of our independent registered public accounting firm; oversee the work of our independent registered public accounting firm;</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engagements of the independent registered public accounting firm to render any audit or permissible non-audit services;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qualifications, independence and performance of the independent registered public accounting firm;</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financial statements and review our critical accounting policies and estimates;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related party transactions;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adequacy and effectiveness of our internal controls; and</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functions of the Compensation Committee include, among other things, to:</w:t>
      </w:r>
    </w:p>
    <w:p>
      <w:pPr>
        <w:spacing w:after="0" w:line="114" w:lineRule="exact"/>
        <w:rPr>
          <w:sz w:val="20"/>
          <w:szCs w:val="20"/>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recommend policies relating to compensation and benefits of our officers and employees;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corporate goals and objectives relevant to compensation of our chief executive officer and other senior officers;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performance of our officers in light of established goals and objectives;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compensation of our officers based on its evaluations;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the issuance of stock options and other awards under our stock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Processes and Procedures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past fiscal year, after taking into consideration those factors prescribed by the SEC and Nasdaq, the Compensation Committee engaged Compensia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(“Compensia”) as compensation consultants.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2023, Compensia provided the following services: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Discussion and Analysis drafting and review for the Proxy Statement for the 2023 Annual Meeting;</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assisted the Compensation Committee in refreshing our compensation peer group;</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10"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guidance on other compensation topics including clawback programs, equity design and programs, burn rates and overhang levels, and ad hoc market data and practices.</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functions of the Nominating and Corporate Governance Committee include, among other things, to:</w:t>
      </w:r>
    </w:p>
    <w:p>
      <w:pPr>
        <w:spacing w:after="0" w:line="114"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and make recommendations regarding the organization and governance of the Board and its committees;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 the performance of members of the Board and make recommendations regarding committee and chairperson assignments;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desired qualifications for Board membership and conduct searches for potential members of the Board;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make recommendations with regard to our corporate governance guidelines.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Committee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Technology Committee consists of Ms. Tan and Mr. Francis. Ms. Tan serves as the Chairperson of the Technology Committee. The Technology Committee met four times during 2023.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functions of the Technology Committee include, among other things, to:</w:t>
      </w:r>
    </w:p>
    <w:p>
      <w:pPr>
        <w:spacing w:after="0" w:line="114" w:lineRule="exact"/>
        <w:rPr>
          <w:sz w:val="20"/>
          <w:szCs w:val="20"/>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and make recommendations regarding our major technology developments, technology related systems and architecture;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formulation, definition, tracking, retention and reporting of our key metrics, performance indicators and other operational data, and help ensure effective internal and disclosure controls related to such data;</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guidance regarding significant emerging technology issues and trends that may affect our business and strategies; and</w:t>
      </w:r>
    </w:p>
    <w:p>
      <w:pPr>
        <w:spacing w:after="0" w:line="113"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provide guidance regarding our technology risk management, including our policies and procedures with respect to technology and its uses including cybersecurity, reporting and data system management.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 of Directors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Hedging and Pledging Policy</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our current executive officers as of Monday, May 13,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Age</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1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60" w:type="dxa"/>
            <w:vAlign w:val="bottom"/>
            <w:tcBorders>
              <w:top w:val="single" w:sz="8" w:color="auto"/>
            </w:tcBorders>
          </w:tcPr>
          <w:p>
            <w:pPr>
              <w:spacing w:after="0"/>
              <w:rPr>
                <w:sz w:val="18"/>
                <w:szCs w:val="18"/>
                <w:color w:val="auto"/>
              </w:rPr>
            </w:pPr>
          </w:p>
        </w:tc>
      </w:tr>
      <w:tr>
        <w:trPr>
          <w:trHeight w:val="21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Douglas Francis</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Chair</w:t>
            </w:r>
          </w:p>
        </w:tc>
      </w:tr>
      <w:tr>
        <w:trPr>
          <w:trHeight w:val="21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Susan Echard</w:t>
            </w: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Interim Chief Financial Officer</w:t>
            </w:r>
          </w:p>
        </w:tc>
      </w:tr>
      <w:tr>
        <w:trPr>
          <w:trHeight w:val="21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Duncan Grazier</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Camire</w:t>
            </w: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Counsel and Secretary</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sets forth biographical information with respect to our executive officers who are not directors.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Susan Echard</w:t>
      </w:r>
      <w:r>
        <w:rPr>
          <w:rFonts w:ascii="Times New Roman" w:cs="Times New Roman" w:eastAsia="Times New Roman" w:hAnsi="Times New Roman"/>
          <w:sz w:val="17"/>
          <w:szCs w:val="17"/>
          <w:color w:val="auto"/>
        </w:rPr>
        <w:t>. Ms. Echard has served as Interim Chief Financial Officer since February 2024. Since February 2021 Ms. Echard has been a Partner of SeatonHill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Duncan Grazier</w:t>
      </w:r>
      <w:r>
        <w:rPr>
          <w:rFonts w:ascii="Times New Roman" w:cs="Times New Roman" w:eastAsia="Times New Roman" w:hAnsi="Times New Roman"/>
          <w:sz w:val="17"/>
          <w:szCs w:val="17"/>
          <w:color w:val="auto"/>
        </w:rPr>
        <w:t>. Mr. Grazier has served as our Chief Technology Officer since December 2022. Mr. Grazier previously served (for both Legacy WMH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as Senior Vice President, Engineering from November 2020 to December 2022. Mr. Grazier served as an advisor to American Field from January 2019 to April 2019, and served as VP of Engineering at MealPal, from April 2019 to August 2019. He also previously served as founding Chief Technology Officer for Voray, Inc. from December 2015 to November 2018. Mr. Grazier attended the Rochester Institute of Technology from 2005 to 2008.</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Brian Camire</w:t>
      </w:r>
      <w:r>
        <w:rPr>
          <w:rFonts w:ascii="Times New Roman" w:cs="Times New Roman" w:eastAsia="Times New Roman" w:hAnsi="Times New Roman"/>
          <w:sz w:val="17"/>
          <w:szCs w:val="17"/>
          <w:color w:val="auto"/>
        </w:rPr>
        <w:t>. Mr. Camire has served as our General Counsel and Secretary since June 2021. Mr. Camire served as Legacy WMH’s General Counsel from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Named Executive Officers for the year ended December 31, 2023, are:</w:t>
      </w:r>
    </w:p>
    <w:p>
      <w:pPr>
        <w:spacing w:after="0" w:line="114"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Douglas Francis, our principal executive officer and Executive Chair</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Camire, our General Counsel and Secretary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Duncan Grazier, our Chief Technology Officer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Pay and Performance</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emphasize variable compensation that appropriately rewards our Named Executive Officers through two separate compensation elements:</w:t>
      </w:r>
    </w:p>
    <w:p>
      <w:pPr>
        <w:spacing w:after="0" w:line="114" w:lineRule="exact"/>
        <w:rPr>
          <w:sz w:val="20"/>
          <w:szCs w:val="20"/>
          <w:color w:val="auto"/>
        </w:rPr>
      </w:pPr>
    </w:p>
    <w:p>
      <w:pPr>
        <w:jc w:val="both"/>
        <w:ind w:left="620" w:hanging="307"/>
        <w:spacing w:after="0" w:line="270"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“—Executive Employment Arrangements” below.</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 Policies and Practices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19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WHAT WE DO</w:t>
      </w:r>
      <w:r>
        <w:rPr>
          <w:sz w:val="20"/>
          <w:szCs w:val="20"/>
          <w:color w:val="auto"/>
        </w:rPr>
        <w:tab/>
      </w:r>
      <w:r>
        <w:rPr>
          <w:rFonts w:ascii="Times New Roman" w:cs="Times New Roman" w:eastAsia="Times New Roman" w:hAnsi="Times New Roman"/>
          <w:sz w:val="17"/>
          <w:szCs w:val="17"/>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41" w:lineRule="exact"/>
        <w:rPr>
          <w:sz w:val="20"/>
          <w:szCs w:val="20"/>
          <w:color w:val="auto"/>
        </w:rPr>
      </w:pPr>
    </w:p>
    <w:p>
      <w:pPr>
        <w:jc w:val="both"/>
        <w:ind w:left="320" w:hanging="145"/>
        <w:spacing w:after="0" w:line="228"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Maintain Independent Compensation Committee. </w:t>
      </w:r>
      <w:r>
        <w:rPr>
          <w:rFonts w:ascii="Times New Roman" w:cs="Times New Roman" w:eastAsia="Times New Roman" w:hAnsi="Times New Roman"/>
          <w:sz w:val="15"/>
          <w:szCs w:val="15"/>
          <w:color w:val="auto"/>
        </w:rPr>
        <w:t>The Compensation Committee 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comprised solely of independent directors who determine our compensation policies and practices and who have established effective means for communicating with our stockholders regarding their executive compensation views and concerns, as described in this Proxy Statement.</w:t>
      </w:r>
    </w:p>
    <w:p>
      <w:pPr>
        <w:spacing w:after="0" w:line="160" w:lineRule="exact"/>
        <w:rPr>
          <w:rFonts w:ascii="Times New Roman" w:cs="Times New Roman" w:eastAsia="Times New Roman" w:hAnsi="Times New Roman"/>
          <w:sz w:val="15"/>
          <w:szCs w:val="15"/>
          <w:color w:val="auto"/>
        </w:rPr>
      </w:pPr>
    </w:p>
    <w:p>
      <w:pPr>
        <w:jc w:val="both"/>
        <w:ind w:left="320" w:hanging="145"/>
        <w:spacing w:after="0" w:line="232"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Retain an Independent Compensation Consultant</w:t>
      </w:r>
      <w:r>
        <w:rPr>
          <w:rFonts w:ascii="Times New Roman" w:cs="Times New Roman" w:eastAsia="Times New Roman" w:hAnsi="Times New Roman"/>
          <w:sz w:val="15"/>
          <w:szCs w:val="15"/>
          <w:color w:val="auto"/>
        </w:rPr>
        <w:t>. In 2023, the Compensation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Committee engaged its own compensation consultant to provide information, analysis, and other advice on compensation matters independent of management. This compensation consultant performed no other services for us during 2023.</w:t>
      </w:r>
    </w:p>
    <w:p>
      <w:pPr>
        <w:spacing w:after="0" w:line="3" w:lineRule="exact"/>
        <w:rPr>
          <w:rFonts w:ascii="Times New Roman" w:cs="Times New Roman" w:eastAsia="Times New Roman" w:hAnsi="Times New Roman"/>
          <w:sz w:val="15"/>
          <w:szCs w:val="15"/>
          <w:color w:val="auto"/>
        </w:rPr>
      </w:pPr>
    </w:p>
    <w:p>
      <w:pPr>
        <w:jc w:val="both"/>
        <w:ind w:left="320" w:hanging="145"/>
        <w:spacing w:after="0" w:line="232"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Annual Executive Compensation Review. </w:t>
      </w:r>
      <w:r>
        <w:rPr>
          <w:rFonts w:ascii="Times New Roman" w:cs="Times New Roman" w:eastAsia="Times New Roman" w:hAnsi="Times New Roman"/>
          <w:sz w:val="15"/>
          <w:szCs w:val="15"/>
          <w:color w:val="auto"/>
        </w:rPr>
        <w:t>The Compensation Committee reviews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approves our compensation strategy and policies planned to be done annually, including review and approval of the 2023 short-term incentive plan for executive officers.</w:t>
      </w:r>
    </w:p>
    <w:p>
      <w:pPr>
        <w:spacing w:after="0" w:line="3" w:lineRule="exact"/>
        <w:rPr>
          <w:rFonts w:ascii="Times New Roman" w:cs="Times New Roman" w:eastAsia="Times New Roman" w:hAnsi="Times New Roman"/>
          <w:sz w:val="15"/>
          <w:szCs w:val="15"/>
          <w:color w:val="auto"/>
        </w:rPr>
      </w:pPr>
    </w:p>
    <w:p>
      <w:pPr>
        <w:jc w:val="both"/>
        <w:ind w:left="320" w:hanging="145"/>
        <w:spacing w:after="0" w:line="228"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Compensation “At-Risk.” </w:t>
      </w:r>
      <w:r>
        <w:rPr>
          <w:rFonts w:ascii="Times New Roman" w:cs="Times New Roman" w:eastAsia="Times New Roman" w:hAnsi="Times New Roman"/>
          <w:sz w:val="15"/>
          <w:szCs w:val="15"/>
          <w:color w:val="auto"/>
        </w:rPr>
        <w:t>Other than the compensation for Mr. Francis,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315" w:lineRule="exact"/>
        <w:rPr>
          <w:rFonts w:ascii="Times New Roman" w:cs="Times New Roman" w:eastAsia="Times New Roman" w:hAnsi="Times New Roman"/>
          <w:sz w:val="15"/>
          <w:szCs w:val="15"/>
          <w:color w:val="auto"/>
        </w:rPr>
      </w:pPr>
    </w:p>
    <w:p>
      <w:pPr>
        <w:jc w:val="both"/>
        <w:ind w:left="320" w:hanging="145"/>
        <w:spacing w:after="0" w:line="238"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Use of “Pay-for-Performance” Philosophy. </w:t>
      </w:r>
      <w:r>
        <w:rPr>
          <w:rFonts w:ascii="Times New Roman" w:cs="Times New Roman" w:eastAsia="Times New Roman" w:hAnsi="Times New Roman"/>
          <w:sz w:val="15"/>
          <w:szCs w:val="15"/>
          <w:color w:val="auto"/>
        </w:rPr>
        <w:t>The majority of our Named Executive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Officers’ target annual total direct compensation, other than for Mr. Francis, is directly linked to our financial results and our stock price performance.</w:t>
      </w:r>
    </w:p>
    <w:p>
      <w:pPr>
        <w:spacing w:after="0" w:line="2" w:lineRule="exact"/>
        <w:rPr>
          <w:rFonts w:ascii="Times New Roman" w:cs="Times New Roman" w:eastAsia="Times New Roman" w:hAnsi="Times New Roman"/>
          <w:sz w:val="15"/>
          <w:szCs w:val="15"/>
          <w:color w:val="auto"/>
        </w:rPr>
      </w:pPr>
    </w:p>
    <w:p>
      <w:pPr>
        <w:jc w:val="both"/>
        <w:ind w:left="320" w:right="20" w:hanging="145"/>
        <w:spacing w:after="0" w:line="238"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Multi-Year Vesting Requirements. </w:t>
      </w:r>
      <w:r>
        <w:rPr>
          <w:rFonts w:ascii="Times New Roman" w:cs="Times New Roman" w:eastAsia="Times New Roman" w:hAnsi="Times New Roman"/>
          <w:sz w:val="15"/>
          <w:szCs w:val="15"/>
          <w:color w:val="auto"/>
        </w:rPr>
        <w:t>The annual equity awards granted to our Named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Officers are earned and/or vest over multi-year periods, consistent with current market practice and our retention objectives.</w:t>
      </w:r>
    </w:p>
    <w:p>
      <w:pPr>
        <w:spacing w:after="0" w:line="2" w:lineRule="exact"/>
        <w:rPr>
          <w:rFonts w:ascii="Times New Roman" w:cs="Times New Roman" w:eastAsia="Times New Roman" w:hAnsi="Times New Roman"/>
          <w:sz w:val="15"/>
          <w:szCs w:val="15"/>
          <w:color w:val="auto"/>
        </w:rPr>
      </w:pPr>
    </w:p>
    <w:p>
      <w:pPr>
        <w:jc w:val="both"/>
        <w:ind w:left="320" w:hanging="145"/>
        <w:spacing w:after="0" w:line="222"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Maintain “Double-Trigger” Change-in-Control Arrangements. </w:t>
      </w:r>
      <w:r>
        <w:rPr>
          <w:rFonts w:ascii="Times New Roman" w:cs="Times New Roman" w:eastAsia="Times New Roman" w:hAnsi="Times New Roman"/>
          <w:sz w:val="15"/>
          <w:szCs w:val="15"/>
          <w:color w:val="auto"/>
        </w:rPr>
        <w:t>Our Named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Officers other 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7" w:lineRule="exact"/>
        <w:rPr>
          <w:rFonts w:ascii="Times New Roman" w:cs="Times New Roman" w:eastAsia="Times New Roman" w:hAnsi="Times New Roman"/>
          <w:sz w:val="15"/>
          <w:szCs w:val="15"/>
          <w:color w:val="auto"/>
        </w:rPr>
      </w:pPr>
    </w:p>
    <w:p>
      <w:pPr>
        <w:jc w:val="both"/>
        <w:ind w:left="320" w:hanging="145"/>
        <w:spacing w:after="0" w:line="238"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Only Broad-Based Health and Welfare Benefits. </w:t>
      </w:r>
      <w:r>
        <w:rPr>
          <w:rFonts w:ascii="Times New Roman" w:cs="Times New Roman" w:eastAsia="Times New Roman" w:hAnsi="Times New Roman"/>
          <w:sz w:val="15"/>
          <w:szCs w:val="15"/>
          <w:color w:val="auto"/>
        </w:rPr>
        <w:t>Our Named Executive Officers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participate in broad-based Company-sponsored health and welfare benefit programs on the same basis as our other employees.</w:t>
      </w:r>
    </w:p>
    <w:p>
      <w:pPr>
        <w:spacing w:after="0" w:line="2" w:lineRule="exact"/>
        <w:rPr>
          <w:rFonts w:ascii="Times New Roman" w:cs="Times New Roman" w:eastAsia="Times New Roman" w:hAnsi="Times New Roman"/>
          <w:sz w:val="15"/>
          <w:szCs w:val="15"/>
          <w:color w:val="auto"/>
        </w:rPr>
      </w:pPr>
    </w:p>
    <w:p>
      <w:pPr>
        <w:ind w:left="320" w:right="20" w:hanging="145"/>
        <w:spacing w:after="0" w:line="251"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Clawback Policy. </w:t>
      </w:r>
      <w:r>
        <w:rPr>
          <w:rFonts w:ascii="Times New Roman" w:cs="Times New Roman" w:eastAsia="Times New Roman" w:hAnsi="Times New Roman"/>
          <w:sz w:val="15"/>
          <w:szCs w:val="15"/>
          <w:color w:val="auto"/>
        </w:rPr>
        <w:t>We require compensation recoupment with respect to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officers pursuant to the terms of our clawback policy.</w:t>
      </w:r>
    </w:p>
    <w:p>
      <w:pPr>
        <w:ind w:left="320" w:hanging="145"/>
        <w:spacing w:after="0" w:line="258" w:lineRule="auto"/>
        <w:tabs>
          <w:tab w:leader="none" w:pos="31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Succession Planning. </w:t>
      </w:r>
      <w:r>
        <w:rPr>
          <w:rFonts w:ascii="Times New Roman" w:cs="Times New Roman" w:eastAsia="Times New Roman" w:hAnsi="Times New Roman"/>
          <w:sz w:val="15"/>
          <w:szCs w:val="15"/>
          <w:color w:val="auto"/>
        </w:rPr>
        <w:t>We review the risks associated with our key executive officer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positions to ensure adequate succession plans are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5363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 Philosophy and Objectives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left="146" w:right="20" w:hanging="146"/>
        <w:spacing w:after="0" w:line="226" w:lineRule="auto"/>
        <w:tabs>
          <w:tab w:leader="none" w:pos="13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Executive Officer Retirement Plans. </w:t>
      </w:r>
      <w:r>
        <w:rPr>
          <w:rFonts w:ascii="Times New Roman" w:cs="Times New Roman" w:eastAsia="Times New Roman" w:hAnsi="Times New Roman"/>
          <w:sz w:val="15"/>
          <w:szCs w:val="15"/>
          <w:color w:val="auto"/>
        </w:rPr>
        <w:t>We do not currently offer, nor do we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5" w:lineRule="exact"/>
        <w:rPr>
          <w:rFonts w:ascii="Times New Roman" w:cs="Times New Roman" w:eastAsia="Times New Roman" w:hAnsi="Times New Roman"/>
          <w:sz w:val="15"/>
          <w:szCs w:val="15"/>
          <w:color w:val="auto"/>
        </w:rPr>
      </w:pPr>
    </w:p>
    <w:p>
      <w:pPr>
        <w:jc w:val="both"/>
        <w:ind w:left="146" w:right="20" w:hanging="146"/>
        <w:spacing w:after="0" w:line="232" w:lineRule="auto"/>
        <w:tabs>
          <w:tab w:leader="none" w:pos="13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Limited Executive Officer Perquisites. </w:t>
      </w:r>
      <w:r>
        <w:rPr>
          <w:rFonts w:ascii="Times New Roman" w:cs="Times New Roman" w:eastAsia="Times New Roman" w:hAnsi="Times New Roman"/>
          <w:sz w:val="15"/>
          <w:szCs w:val="15"/>
          <w:color w:val="auto"/>
        </w:rPr>
        <w:t>We generally provide benefits to our Named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Executive Officers on the same basis as provided to all of our employees, including health, dental and vision insurance; accidental death and dismemberment insurance; disability insurance; and a tax-qualified Section 401(k) plan.</w:t>
      </w:r>
    </w:p>
    <w:p>
      <w:pPr>
        <w:spacing w:after="0" w:line="3" w:lineRule="exact"/>
        <w:rPr>
          <w:rFonts w:ascii="Times New Roman" w:cs="Times New Roman" w:eastAsia="Times New Roman" w:hAnsi="Times New Roman"/>
          <w:sz w:val="15"/>
          <w:szCs w:val="15"/>
          <w:color w:val="auto"/>
        </w:rPr>
      </w:pPr>
    </w:p>
    <w:p>
      <w:pPr>
        <w:jc w:val="both"/>
        <w:ind w:left="146" w:right="20" w:hanging="146"/>
        <w:spacing w:after="0" w:line="238" w:lineRule="auto"/>
        <w:tabs>
          <w:tab w:leader="none" w:pos="13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Tax Payments on Change-in-Control Arrangements</w:t>
      </w:r>
      <w:r>
        <w:rPr>
          <w:rFonts w:ascii="Times New Roman" w:cs="Times New Roman" w:eastAsia="Times New Roman" w:hAnsi="Times New Roman"/>
          <w:sz w:val="15"/>
          <w:szCs w:val="15"/>
          <w:color w:val="auto"/>
        </w:rPr>
        <w:t>. We do not provide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excise tax reimbursement payments (including “gross-ups”) on payments or benefits that are contingent upon a change-in-control of the Company.</w:t>
      </w:r>
    </w:p>
    <w:p>
      <w:pPr>
        <w:spacing w:after="0" w:line="157" w:lineRule="exact"/>
        <w:rPr>
          <w:rFonts w:ascii="Times New Roman" w:cs="Times New Roman" w:eastAsia="Times New Roman" w:hAnsi="Times New Roman"/>
          <w:sz w:val="15"/>
          <w:szCs w:val="15"/>
          <w:color w:val="auto"/>
        </w:rPr>
      </w:pPr>
    </w:p>
    <w:p>
      <w:pPr>
        <w:jc w:val="both"/>
        <w:ind w:left="146" w:right="20" w:hanging="146"/>
        <w:spacing w:after="0" w:line="225" w:lineRule="auto"/>
        <w:tabs>
          <w:tab w:leader="none" w:pos="13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Hedging or Pledging of our Securities. </w:t>
      </w:r>
      <w:r>
        <w:rPr>
          <w:rFonts w:ascii="Times New Roman" w:cs="Times New Roman" w:eastAsia="Times New Roman" w:hAnsi="Times New Roman"/>
          <w:sz w:val="15"/>
          <w:szCs w:val="15"/>
          <w:color w:val="auto"/>
        </w:rPr>
        <w:t>As part of our insider trading policy,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wp:posOffset>
            </wp:positionV>
            <wp:extent cx="3544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4217" w:lineRule="exact"/>
        <w:rPr>
          <w:sz w:val="20"/>
          <w:szCs w:val="20"/>
          <w:color w:val="auto"/>
        </w:rPr>
      </w:pPr>
    </w:p>
    <w:p>
      <w:pPr>
        <w:sectPr>
          <w:pgSz w:w="11900" w:h="16838" w:orient="portrait"/>
          <w:cols w:equalWidth="0" w:num="2">
            <w:col w:w="5560" w:space="274"/>
            <w:col w:w="5406"/>
          </w:cols>
          <w:pgMar w:left="320" w:top="226" w:right="339" w:bottom="1440" w:gutter="0" w:footer="0" w:header="0"/>
          <w:type w:val="continuous"/>
        </w:sectPr>
      </w:pPr>
    </w:p>
    <w:p>
      <w:pPr>
        <w:spacing w:after="0" w:line="287" w:lineRule="auto"/>
        <w:rPr>
          <w:sz w:val="20"/>
          <w:szCs w:val="20"/>
          <w:color w:val="auto"/>
        </w:rPr>
      </w:pPr>
      <w:r>
        <w:rPr>
          <w:rFonts w:ascii="Times New Roman" w:cs="Times New Roman" w:eastAsia="Times New Roman" w:hAnsi="Times New Roman"/>
          <w:sz w:val="17"/>
          <w:szCs w:val="17"/>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42" w:lineRule="exact"/>
        <w:rPr>
          <w:sz w:val="20"/>
          <w:szCs w:val="20"/>
          <w:color w:val="auto"/>
        </w:rPr>
      </w:pPr>
    </w:p>
    <w:p>
      <w:pPr>
        <w:ind w:left="620" w:hanging="307"/>
        <w:spacing w:after="0" w:line="294" w:lineRule="auto"/>
        <w:tabs>
          <w:tab w:leader="none" w:pos="61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Attract Top Talent </w:t>
      </w:r>
      <w:r>
        <w:rPr>
          <w:rFonts w:ascii="Times New Roman" w:cs="Times New Roman" w:eastAsia="Times New Roman" w:hAnsi="Times New Roman"/>
          <w:sz w:val="17"/>
          <w:szCs w:val="17"/>
          <w:color w:val="auto"/>
        </w:rPr>
        <w:t>– Given the nature of our business and our long-term financial and strategic objectives, we must compete with other top technology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companies for talent to build and grow our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20" w:hanging="307"/>
        <w:spacing w:after="0" w:line="273"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 and Maintain a Performance-Based Culture </w:t>
      </w:r>
      <w:r>
        <w:rPr>
          <w:rFonts w:ascii="Times New Roman" w:cs="Times New Roman" w:eastAsia="Times New Roman" w:hAnsi="Times New Roman"/>
          <w:sz w:val="17"/>
          <w:szCs w:val="17"/>
          <w:color w:val="auto"/>
        </w:rPr>
        <w:t>– To be successful in a highly competitive market for talent, we must create consistency through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program that motivates exceptional performance by expanding the reach of our employees’ incentives so that they may share in the success of our business with our stockholders; and</w:t>
      </w:r>
    </w:p>
    <w:p>
      <w:pPr>
        <w:spacing w:after="0" w:line="54"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Retain Exceptional Employees </w:t>
      </w:r>
      <w:r>
        <w:rPr>
          <w:rFonts w:ascii="Times New Roman" w:cs="Times New Roman" w:eastAsia="Times New Roman" w:hAnsi="Times New Roman"/>
          <w:sz w:val="17"/>
          <w:szCs w:val="17"/>
          <w:color w:val="auto"/>
        </w:rPr>
        <w:t>– To ensure that we can meet our objectives, we must foster a culture that instills a sense of commitment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organization and each other while, at the same time, recognizing and rewarding individual contributions and impact.</w:t>
      </w:r>
    </w:p>
    <w:p>
      <w:pPr>
        <w:spacing w:after="0" w:line="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Generally, our executive compensation program consists of three principal elements – base salary, cash bonus opportunities, and long-term incentive compensation in the form of equity awards.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Element</w:t>
            </w:r>
          </w:p>
        </w:tc>
        <w:tc>
          <w:tcPr>
            <w:tcW w:w="4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Type of</w:t>
            </w:r>
          </w:p>
        </w:tc>
        <w:tc>
          <w:tcPr>
            <w:tcW w:w="39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Compensation Element</w:t>
            </w:r>
          </w:p>
        </w:tc>
        <w:tc>
          <w:tcPr>
            <w:tcW w:w="48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Objective</w:t>
            </w:r>
          </w:p>
        </w:tc>
        <w:tc>
          <w:tcPr>
            <w:tcW w:w="0" w:type="dxa"/>
            <w:vAlign w:val="bottom"/>
          </w:tcPr>
          <w:p>
            <w:pPr>
              <w:spacing w:after="0"/>
              <w:rPr>
                <w:sz w:val="1"/>
                <w:szCs w:val="1"/>
                <w:color w:val="auto"/>
              </w:rPr>
            </w:pPr>
          </w:p>
        </w:tc>
      </w:tr>
      <w:tr>
        <w:trPr>
          <w:trHeight w:val="142"/>
        </w:trPr>
        <w:tc>
          <w:tcPr>
            <w:tcW w:w="9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Element</w:t>
            </w:r>
          </w:p>
        </w:tc>
        <w:tc>
          <w:tcPr>
            <w:tcW w:w="3940" w:type="dxa"/>
            <w:vAlign w:val="bottom"/>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Base Salary</w:t>
            </w: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ind w:left="80"/>
              <w:spacing w:after="0" w:line="151" w:lineRule="exact"/>
              <w:rPr>
                <w:sz w:val="20"/>
                <w:szCs w:val="20"/>
                <w:color w:val="auto"/>
              </w:rPr>
            </w:pPr>
            <w:r>
              <w:rPr>
                <w:rFonts w:ascii="Times New Roman" w:cs="Times New Roman" w:eastAsia="Times New Roman" w:hAnsi="Times New Roman"/>
                <w:sz w:val="15"/>
                <w:szCs w:val="15"/>
                <w:color w:val="auto"/>
              </w:rPr>
              <w:t>Fixed</w:t>
            </w:r>
          </w:p>
        </w:tc>
        <w:tc>
          <w:tcPr>
            <w:tcW w:w="3940" w:type="dxa"/>
            <w:vAlign w:val="bottom"/>
            <w:shd w:val="clear" w:color="auto" w:fill="CCEEFF"/>
          </w:tcPr>
          <w:p>
            <w:pPr>
              <w:ind w:left="320"/>
              <w:spacing w:after="0" w:line="151" w:lineRule="exact"/>
              <w:rPr>
                <w:sz w:val="20"/>
                <w:szCs w:val="20"/>
                <w:color w:val="auto"/>
              </w:rPr>
            </w:pPr>
            <w:r>
              <w:rPr>
                <w:rFonts w:ascii="Times New Roman" w:cs="Times New Roman" w:eastAsia="Times New Roman" w:hAnsi="Times New Roman"/>
                <w:sz w:val="15"/>
                <w:szCs w:val="15"/>
                <w:color w:val="auto"/>
              </w:rPr>
              <w:t>Cash</w:t>
            </w:r>
          </w:p>
        </w:tc>
        <w:tc>
          <w:tcPr>
            <w:tcW w:w="4840" w:type="dxa"/>
            <w:vAlign w:val="bottom"/>
            <w:shd w:val="clear" w:color="auto" w:fill="CCEEFF"/>
          </w:tcPr>
          <w:p>
            <w:pPr>
              <w:ind w:left="100"/>
              <w:spacing w:after="0" w:line="151" w:lineRule="exact"/>
              <w:rPr>
                <w:sz w:val="20"/>
                <w:szCs w:val="20"/>
                <w:color w:val="auto"/>
              </w:rPr>
            </w:pPr>
            <w:r>
              <w:rPr>
                <w:rFonts w:ascii="Times New Roman" w:cs="Times New Roman" w:eastAsia="Times New Roman" w:hAnsi="Times New Roman"/>
                <w:sz w:val="15"/>
                <w:szCs w:val="15"/>
                <w:color w:val="auto"/>
              </w:rPr>
              <w:t>Designed to attract and retain executives by providing a competitive fixed</w:t>
            </w:r>
          </w:p>
        </w:tc>
        <w:tc>
          <w:tcPr>
            <w:tcW w:w="0" w:type="dxa"/>
            <w:vAlign w:val="bottom"/>
          </w:tcPr>
          <w:p>
            <w:pPr>
              <w:spacing w:after="0"/>
              <w:rPr>
                <w:sz w:val="1"/>
                <w:szCs w:val="1"/>
                <w:color w:val="auto"/>
              </w:rPr>
            </w:pPr>
          </w:p>
        </w:tc>
      </w:tr>
      <w:tr>
        <w:trPr>
          <w:trHeight w:val="155"/>
        </w:trPr>
        <w:tc>
          <w:tcPr>
            <w:tcW w:w="9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484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5"/>
                <w:szCs w:val="15"/>
                <w:color w:val="auto"/>
              </w:rPr>
              <w:t>amount  of  cash  compensation  based  on  the  executive’s  role,  prior</w:t>
            </w:r>
          </w:p>
        </w:tc>
        <w:tc>
          <w:tcPr>
            <w:tcW w:w="0" w:type="dxa"/>
            <w:vAlign w:val="bottom"/>
          </w:tcPr>
          <w:p>
            <w:pPr>
              <w:spacing w:after="0"/>
              <w:rPr>
                <w:sz w:val="1"/>
                <w:szCs w:val="1"/>
                <w:color w:val="auto"/>
              </w:rPr>
            </w:pPr>
          </w:p>
        </w:tc>
      </w:tr>
      <w:tr>
        <w:trPr>
          <w:trHeight w:val="203"/>
        </w:trPr>
        <w:tc>
          <w:tcPr>
            <w:tcW w:w="9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spacing w:after="0"/>
              <w:rPr>
                <w:sz w:val="17"/>
                <w:szCs w:val="17"/>
                <w:color w:val="auto"/>
              </w:rPr>
            </w:pPr>
          </w:p>
        </w:tc>
        <w:tc>
          <w:tcPr>
            <w:tcW w:w="48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experience, and expected contributions to the Company</w:t>
            </w:r>
          </w:p>
        </w:tc>
        <w:tc>
          <w:tcPr>
            <w:tcW w:w="0" w:type="dxa"/>
            <w:vAlign w:val="bottom"/>
          </w:tcPr>
          <w:p>
            <w:pPr>
              <w:spacing w:after="0"/>
              <w:rPr>
                <w:sz w:val="1"/>
                <w:szCs w:val="1"/>
                <w:color w:val="auto"/>
              </w:rPr>
            </w:pPr>
          </w:p>
        </w:tc>
      </w:tr>
      <w:tr>
        <w:trPr>
          <w:trHeight w:val="151"/>
        </w:trPr>
        <w:tc>
          <w:tcPr>
            <w:tcW w:w="940" w:type="dxa"/>
            <w:vAlign w:val="bottom"/>
          </w:tcPr>
          <w:p>
            <w:pPr>
              <w:ind w:left="20"/>
              <w:spacing w:after="0" w:line="151" w:lineRule="exact"/>
              <w:rPr>
                <w:sz w:val="20"/>
                <w:szCs w:val="20"/>
                <w:color w:val="auto"/>
              </w:rPr>
            </w:pPr>
            <w:r>
              <w:rPr>
                <w:rFonts w:ascii="Times New Roman" w:cs="Times New Roman" w:eastAsia="Times New Roman" w:hAnsi="Times New Roman"/>
                <w:sz w:val="15"/>
                <w:szCs w:val="15"/>
                <w:color w:val="auto"/>
              </w:rPr>
              <w:t>Cash Bonuses</w:t>
            </w:r>
          </w:p>
        </w:tc>
        <w:tc>
          <w:tcPr>
            <w:tcW w:w="440" w:type="dxa"/>
            <w:vAlign w:val="bottom"/>
          </w:tcPr>
          <w:p>
            <w:pPr>
              <w:spacing w:after="0"/>
              <w:rPr>
                <w:sz w:val="13"/>
                <w:szCs w:val="13"/>
                <w:color w:val="auto"/>
              </w:rPr>
            </w:pPr>
          </w:p>
        </w:tc>
        <w:tc>
          <w:tcPr>
            <w:tcW w:w="1000" w:type="dxa"/>
            <w:vAlign w:val="bottom"/>
          </w:tcPr>
          <w:p>
            <w:pPr>
              <w:ind w:left="80"/>
              <w:spacing w:after="0" w:line="151" w:lineRule="exact"/>
              <w:rPr>
                <w:sz w:val="20"/>
                <w:szCs w:val="20"/>
                <w:color w:val="auto"/>
              </w:rPr>
            </w:pPr>
            <w:r>
              <w:rPr>
                <w:rFonts w:ascii="Times New Roman" w:cs="Times New Roman" w:eastAsia="Times New Roman" w:hAnsi="Times New Roman"/>
                <w:sz w:val="15"/>
                <w:szCs w:val="15"/>
                <w:color w:val="auto"/>
              </w:rPr>
              <w:t>Variable</w:t>
            </w:r>
          </w:p>
        </w:tc>
        <w:tc>
          <w:tcPr>
            <w:tcW w:w="3940" w:type="dxa"/>
            <w:vAlign w:val="bottom"/>
          </w:tcPr>
          <w:p>
            <w:pPr>
              <w:ind w:left="320"/>
              <w:spacing w:after="0" w:line="151" w:lineRule="exact"/>
              <w:rPr>
                <w:sz w:val="20"/>
                <w:szCs w:val="20"/>
                <w:color w:val="auto"/>
              </w:rPr>
            </w:pPr>
            <w:r>
              <w:rPr>
                <w:rFonts w:ascii="Times New Roman" w:cs="Times New Roman" w:eastAsia="Times New Roman" w:hAnsi="Times New Roman"/>
                <w:sz w:val="15"/>
                <w:szCs w:val="15"/>
                <w:color w:val="auto"/>
              </w:rPr>
              <w:t>Cash</w:t>
            </w:r>
          </w:p>
        </w:tc>
        <w:tc>
          <w:tcPr>
            <w:tcW w:w="4840" w:type="dxa"/>
            <w:vAlign w:val="bottom"/>
          </w:tcPr>
          <w:p>
            <w:pPr>
              <w:ind w:left="100"/>
              <w:spacing w:after="0" w:line="151" w:lineRule="exact"/>
              <w:rPr>
                <w:sz w:val="20"/>
                <w:szCs w:val="20"/>
                <w:color w:val="auto"/>
              </w:rPr>
            </w:pPr>
            <w:r>
              <w:rPr>
                <w:rFonts w:ascii="Times New Roman" w:cs="Times New Roman" w:eastAsia="Times New Roman" w:hAnsi="Times New Roman"/>
                <w:sz w:val="15"/>
                <w:szCs w:val="15"/>
                <w:color w:val="auto"/>
              </w:rPr>
              <w:t>Designed to motivate our executives to achieve business objectives tied to</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840" w:type="dxa"/>
            <w:vAlign w:val="bottom"/>
          </w:tcPr>
          <w:p>
            <w:pPr>
              <w:ind w:left="100"/>
              <w:spacing w:after="0" w:line="155" w:lineRule="exact"/>
              <w:rPr>
                <w:sz w:val="20"/>
                <w:szCs w:val="20"/>
                <w:color w:val="auto"/>
              </w:rPr>
            </w:pPr>
            <w:r>
              <w:rPr>
                <w:rFonts w:ascii="Times New Roman" w:cs="Times New Roman" w:eastAsia="Times New Roman" w:hAnsi="Times New Roman"/>
                <w:sz w:val="15"/>
                <w:szCs w:val="15"/>
                <w:color w:val="auto"/>
              </w:rPr>
              <w:t>specific Company metrics and which are aligned to our annual priorities,</w:t>
            </w:r>
          </w:p>
        </w:tc>
        <w:tc>
          <w:tcPr>
            <w:tcW w:w="0" w:type="dxa"/>
            <w:vAlign w:val="bottom"/>
          </w:tcPr>
          <w:p>
            <w:pPr>
              <w:spacing w:after="0"/>
              <w:rPr>
                <w:sz w:val="1"/>
                <w:szCs w:val="1"/>
                <w:color w:val="auto"/>
              </w:rPr>
            </w:pPr>
          </w:p>
        </w:tc>
      </w:tr>
      <w:tr>
        <w:trPr>
          <w:trHeight w:val="203"/>
        </w:trPr>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with the payout opportunity based on Company and individual performance</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Long</w:t>
            </w:r>
          </w:p>
        </w:tc>
        <w:tc>
          <w:tcPr>
            <w:tcW w:w="4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Term</w:t>
            </w:r>
          </w:p>
        </w:tc>
        <w:tc>
          <w:tcPr>
            <w:tcW w:w="1000" w:type="dxa"/>
            <w:vAlign w:val="bottom"/>
            <w:shd w:val="clear" w:color="auto" w:fill="CCEEFF"/>
          </w:tcPr>
          <w:p>
            <w:pPr>
              <w:ind w:left="80"/>
              <w:spacing w:after="0" w:line="151" w:lineRule="exact"/>
              <w:rPr>
                <w:sz w:val="20"/>
                <w:szCs w:val="20"/>
                <w:color w:val="auto"/>
              </w:rPr>
            </w:pPr>
            <w:r>
              <w:rPr>
                <w:rFonts w:ascii="Times New Roman" w:cs="Times New Roman" w:eastAsia="Times New Roman" w:hAnsi="Times New Roman"/>
                <w:sz w:val="15"/>
                <w:szCs w:val="15"/>
                <w:color w:val="auto"/>
              </w:rPr>
              <w:t>Variable</w:t>
            </w:r>
          </w:p>
        </w:tc>
        <w:tc>
          <w:tcPr>
            <w:tcW w:w="3940" w:type="dxa"/>
            <w:vAlign w:val="bottom"/>
            <w:shd w:val="clear" w:color="auto" w:fill="CCEEFF"/>
          </w:tcPr>
          <w:p>
            <w:pPr>
              <w:ind w:left="320"/>
              <w:spacing w:after="0" w:line="151" w:lineRule="exact"/>
              <w:rPr>
                <w:sz w:val="20"/>
                <w:szCs w:val="20"/>
                <w:color w:val="auto"/>
              </w:rPr>
            </w:pPr>
            <w:r>
              <w:rPr>
                <w:rFonts w:ascii="Times New Roman" w:cs="Times New Roman" w:eastAsia="Times New Roman" w:hAnsi="Times New Roman"/>
                <w:sz w:val="15"/>
                <w:szCs w:val="15"/>
                <w:color w:val="auto"/>
              </w:rPr>
              <w:t>Equity awards in the form of RSU awards that may be</w:t>
            </w:r>
          </w:p>
        </w:tc>
        <w:tc>
          <w:tcPr>
            <w:tcW w:w="4840" w:type="dxa"/>
            <w:vAlign w:val="bottom"/>
            <w:shd w:val="clear" w:color="auto" w:fill="CCEEFF"/>
          </w:tcPr>
          <w:p>
            <w:pPr>
              <w:ind w:left="100"/>
              <w:spacing w:after="0" w:line="151" w:lineRule="exact"/>
              <w:rPr>
                <w:sz w:val="20"/>
                <w:szCs w:val="20"/>
                <w:color w:val="auto"/>
              </w:rPr>
            </w:pPr>
            <w:r>
              <w:rPr>
                <w:rFonts w:ascii="Times New Roman" w:cs="Times New Roman" w:eastAsia="Times New Roman" w:hAnsi="Times New Roman"/>
                <w:sz w:val="15"/>
                <w:szCs w:val="15"/>
                <w:color w:val="auto"/>
              </w:rPr>
              <w:t>Designed to align the interests of our executives and our stockholders while</w:t>
            </w:r>
          </w:p>
        </w:tc>
        <w:tc>
          <w:tcPr>
            <w:tcW w:w="0" w:type="dxa"/>
            <w:vAlign w:val="bottom"/>
          </w:tcPr>
          <w:p>
            <w:pPr>
              <w:spacing w:after="0"/>
              <w:rPr>
                <w:sz w:val="1"/>
                <w:szCs w:val="1"/>
                <w:color w:val="auto"/>
              </w:rPr>
            </w:pPr>
          </w:p>
        </w:tc>
      </w:tr>
      <w:tr>
        <w:trPr>
          <w:trHeight w:val="155"/>
        </w:trPr>
        <w:tc>
          <w:tcPr>
            <w:tcW w:w="9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Incentive</w:t>
            </w: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94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settled for shares of our Class A Common Stock and</w:t>
            </w:r>
          </w:p>
        </w:tc>
        <w:tc>
          <w:tcPr>
            <w:tcW w:w="4840" w:type="dxa"/>
            <w:vAlign w:val="bottom"/>
            <w:shd w:val="clear" w:color="auto" w:fill="CCEEFF"/>
          </w:tcPr>
          <w:p>
            <w:pPr>
              <w:ind w:left="100"/>
              <w:spacing w:after="0" w:line="155" w:lineRule="exact"/>
              <w:rPr>
                <w:sz w:val="20"/>
                <w:szCs w:val="20"/>
                <w:color w:val="auto"/>
              </w:rPr>
            </w:pPr>
            <w:r>
              <w:rPr>
                <w:rFonts w:ascii="Times New Roman" w:cs="Times New Roman" w:eastAsia="Times New Roman" w:hAnsi="Times New Roman"/>
                <w:sz w:val="15"/>
                <w:szCs w:val="15"/>
                <w:color w:val="auto"/>
              </w:rPr>
              <w:t>helping to attract and retain talented leaders by paying for performance</w:t>
            </w:r>
          </w:p>
        </w:tc>
        <w:tc>
          <w:tcPr>
            <w:tcW w:w="0" w:type="dxa"/>
            <w:vAlign w:val="bottom"/>
          </w:tcPr>
          <w:p>
            <w:pPr>
              <w:spacing w:after="0"/>
              <w:rPr>
                <w:sz w:val="1"/>
                <w:szCs w:val="1"/>
                <w:color w:val="auto"/>
              </w:rPr>
            </w:pPr>
          </w:p>
        </w:tc>
      </w:tr>
      <w:tr>
        <w:trPr>
          <w:trHeight w:val="155"/>
        </w:trPr>
        <w:tc>
          <w:tcPr>
            <w:tcW w:w="9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Compensation</w:t>
            </w: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94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5"/>
                <w:szCs w:val="15"/>
                <w:color w:val="auto"/>
              </w:rPr>
              <w:t>PRSU awards that may be earned and settled for shares</w:t>
            </w:r>
          </w:p>
        </w:tc>
        <w:tc>
          <w:tcPr>
            <w:tcW w:w="4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9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of our Class A Common Stock</w:t>
            </w:r>
          </w:p>
        </w:tc>
        <w:tc>
          <w:tcPr>
            <w:tcW w:w="48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base salaries of our Named Executive Officers for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754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7"/>
                <w:szCs w:val="17"/>
                <w:b w:val="1"/>
                <w:bCs w:val="1"/>
                <w:color w:val="auto"/>
              </w:rPr>
              <w:t>2023 Base Salary ($)</w:t>
            </w:r>
          </w:p>
        </w:tc>
      </w:tr>
      <w:tr>
        <w:trPr>
          <w:trHeight w:val="212"/>
        </w:trPr>
        <w:tc>
          <w:tcPr>
            <w:tcW w:w="3700" w:type="dxa"/>
            <w:vAlign w:val="bottom"/>
            <w:tcBorders>
              <w:bottom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2"/>
                <w:szCs w:val="22"/>
                <w:color w:val="auto"/>
                <w:vertAlign w:val="superscript"/>
              </w:rPr>
              <w:t>(1)</w:t>
            </w:r>
          </w:p>
        </w:tc>
        <w:tc>
          <w:tcPr>
            <w:tcW w:w="7540" w:type="dxa"/>
            <w:vAlign w:val="bottom"/>
            <w:tcBorders>
              <w:bottom w:val="single" w:sz="8" w:color="auto"/>
            </w:tcBorders>
            <w:shd w:val="clear" w:color="auto" w:fill="CCEEFF"/>
          </w:tcPr>
          <w:p>
            <w:pPr>
              <w:ind w:left="3740"/>
              <w:spacing w:after="0"/>
              <w:rPr>
                <w:sz w:val="20"/>
                <w:szCs w:val="20"/>
                <w:color w:val="auto"/>
              </w:rPr>
            </w:pPr>
            <w:r>
              <w:rPr>
                <w:rFonts w:ascii="Times New Roman" w:cs="Times New Roman" w:eastAsia="Times New Roman" w:hAnsi="Times New Roman"/>
                <w:sz w:val="17"/>
                <w:szCs w:val="17"/>
                <w:color w:val="auto"/>
              </w:rPr>
              <w:t>$1,020,000</w:t>
            </w:r>
          </w:p>
        </w:tc>
      </w:tr>
      <w:tr>
        <w:trPr>
          <w:trHeight w:val="212"/>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Brian Camire</w:t>
            </w:r>
          </w:p>
        </w:tc>
        <w:tc>
          <w:tcPr>
            <w:tcW w:w="754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7"/>
                <w:szCs w:val="17"/>
                <w:color w:val="auto"/>
              </w:rPr>
              <w:t>$410,000</w:t>
            </w:r>
          </w:p>
        </w:tc>
      </w:tr>
      <w:tr>
        <w:trPr>
          <w:trHeight w:val="212"/>
        </w:trPr>
        <w:tc>
          <w:tcPr>
            <w:tcW w:w="3700" w:type="dxa"/>
            <w:vAlign w:val="bottom"/>
            <w:tcBorders>
              <w:bottom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Duncan Grazier</w:t>
            </w:r>
            <w:r>
              <w:rPr>
                <w:rFonts w:ascii="Times New Roman" w:cs="Times New Roman" w:eastAsia="Times New Roman" w:hAnsi="Times New Roman"/>
                <w:sz w:val="22"/>
                <w:szCs w:val="22"/>
                <w:color w:val="auto"/>
                <w:vertAlign w:val="superscript"/>
              </w:rPr>
              <w:t>(2)</w:t>
            </w:r>
          </w:p>
        </w:tc>
        <w:tc>
          <w:tcPr>
            <w:tcW w:w="7540" w:type="dxa"/>
            <w:vAlign w:val="bottom"/>
            <w:tcBorders>
              <w:bottom w:val="single" w:sz="8" w:color="auto"/>
            </w:tcBorders>
            <w:shd w:val="clear" w:color="auto" w:fill="CCEEFF"/>
          </w:tcPr>
          <w:p>
            <w:pPr>
              <w:ind w:left="3740"/>
              <w:spacing w:after="0"/>
              <w:rPr>
                <w:sz w:val="20"/>
                <w:szCs w:val="20"/>
                <w:color w:val="auto"/>
              </w:rPr>
            </w:pPr>
            <w:r>
              <w:rPr>
                <w:rFonts w:ascii="Times New Roman" w:cs="Times New Roman" w:eastAsia="Times New Roman" w:hAnsi="Times New Roman"/>
                <w:sz w:val="17"/>
                <w:szCs w:val="17"/>
                <w:color w:val="auto"/>
              </w:rPr>
              <w:t>$408,171</w:t>
            </w:r>
          </w:p>
        </w:tc>
      </w:tr>
      <w:tr>
        <w:trPr>
          <w:trHeight w:val="844"/>
        </w:trPr>
        <w:tc>
          <w:tcPr>
            <w:tcW w:w="370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Times New Roman" w:cs="Times New Roman" w:eastAsia="Times New Roman" w:hAnsi="Times New Roman"/>
                <w:sz w:val="17"/>
                <w:szCs w:val="17"/>
                <w:color w:val="auto"/>
              </w:rPr>
              <w:t>78</w:t>
            </w:r>
          </w:p>
        </w:tc>
      </w:tr>
      <w:tr>
        <w:trPr>
          <w:trHeight w:val="108"/>
        </w:trPr>
        <w:tc>
          <w:tcPr>
            <w:tcW w:w="3700" w:type="dxa"/>
            <w:vAlign w:val="bottom"/>
            <w:tcBorders>
              <w:bottom w:val="single" w:sz="8" w:color="9A9A9A"/>
            </w:tcBorders>
          </w:tcPr>
          <w:p>
            <w:pPr>
              <w:spacing w:after="0"/>
              <w:rPr>
                <w:sz w:val="9"/>
                <w:szCs w:val="9"/>
                <w:color w:val="auto"/>
              </w:rPr>
            </w:pPr>
          </w:p>
        </w:tc>
        <w:tc>
          <w:tcPr>
            <w:tcW w:w="7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20" w:lineRule="exact"/>
        <w:rPr>
          <w:sz w:val="20"/>
          <w:szCs w:val="20"/>
          <w:color w:val="auto"/>
        </w:rPr>
      </w:pPr>
    </w:p>
    <w:p>
      <w:pPr>
        <w:ind w:left="300" w:hanging="297"/>
        <w:spacing w:after="0"/>
        <w:tabs>
          <w:tab w:leader="none" w:pos="3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3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base salaries paid to our Named Executive Officers during 2023 are set forth in the “Summary Compensation Table”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Bonuses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Target Bonus Opportunities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target cash bonus opportunities of our Named Executive Officers for 2023, as a percentage of annual base salary,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454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color w:val="auto"/>
              </w:rPr>
              <w:t>2023 Base Cash Bonus Opportunity (as a</w:t>
            </w:r>
          </w:p>
        </w:tc>
        <w:tc>
          <w:tcPr>
            <w:tcW w:w="3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b w:val="1"/>
                <w:bCs w:val="1"/>
                <w:color w:val="auto"/>
              </w:rPr>
              <w:t>2023 Target Cash Bonus Opportunity ($)</w:t>
            </w:r>
          </w:p>
        </w:tc>
        <w:tc>
          <w:tcPr>
            <w:tcW w:w="0" w:type="dxa"/>
            <w:vAlign w:val="bottom"/>
          </w:tcPr>
          <w:p>
            <w:pPr>
              <w:spacing w:after="0"/>
              <w:rPr>
                <w:sz w:val="1"/>
                <w:szCs w:val="1"/>
                <w:color w:val="auto"/>
              </w:rPr>
            </w:pPr>
          </w:p>
        </w:tc>
      </w:tr>
      <w:tr>
        <w:trPr>
          <w:trHeight w:val="137"/>
        </w:trPr>
        <w:tc>
          <w:tcPr>
            <w:tcW w:w="2960" w:type="dxa"/>
            <w:vAlign w:val="bottom"/>
            <w:vMerge w:val="continue"/>
          </w:tcPr>
          <w:p>
            <w:pPr>
              <w:spacing w:after="0"/>
              <w:rPr>
                <w:sz w:val="11"/>
                <w:szCs w:val="11"/>
                <w:color w:val="auto"/>
              </w:rPr>
            </w:pPr>
          </w:p>
        </w:tc>
        <w:tc>
          <w:tcPr>
            <w:tcW w:w="4540" w:type="dxa"/>
            <w:vAlign w:val="bottom"/>
            <w:vMerge w:val="restart"/>
          </w:tcPr>
          <w:p>
            <w:pPr>
              <w:ind w:left="1060"/>
              <w:spacing w:after="0"/>
              <w:rPr>
                <w:sz w:val="20"/>
                <w:szCs w:val="20"/>
                <w:color w:val="auto"/>
              </w:rPr>
            </w:pPr>
            <w:r>
              <w:rPr>
                <w:rFonts w:ascii="Times New Roman" w:cs="Times New Roman" w:eastAsia="Times New Roman" w:hAnsi="Times New Roman"/>
                <w:sz w:val="17"/>
                <w:szCs w:val="17"/>
                <w:b w:val="1"/>
                <w:bCs w:val="1"/>
                <w:color w:val="auto"/>
              </w:rPr>
              <w:t>percentage of base salary)</w:t>
            </w:r>
          </w:p>
        </w:tc>
        <w:tc>
          <w:tcPr>
            <w:tcW w:w="3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96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vMerge w:val="continue"/>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960" w:type="dxa"/>
            <w:vAlign w:val="bottom"/>
            <w:tcBorders>
              <w:bottom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2"/>
                <w:szCs w:val="22"/>
                <w:color w:val="auto"/>
                <w:vertAlign w:val="superscript"/>
              </w:rPr>
              <w:t>(1)</w:t>
            </w:r>
          </w:p>
        </w:tc>
        <w:tc>
          <w:tcPr>
            <w:tcW w:w="454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Brian Camire</w:t>
            </w:r>
          </w:p>
        </w:tc>
        <w:tc>
          <w:tcPr>
            <w:tcW w:w="45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50%</w:t>
            </w:r>
          </w:p>
        </w:tc>
        <w:tc>
          <w:tcPr>
            <w:tcW w:w="3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$205,000</w:t>
            </w:r>
          </w:p>
        </w:tc>
        <w:tc>
          <w:tcPr>
            <w:tcW w:w="0" w:type="dxa"/>
            <w:vAlign w:val="bottom"/>
          </w:tcPr>
          <w:p>
            <w:pPr>
              <w:spacing w:after="0"/>
              <w:rPr>
                <w:sz w:val="1"/>
                <w:szCs w:val="1"/>
                <w:color w:val="auto"/>
              </w:rPr>
            </w:pPr>
          </w:p>
        </w:tc>
      </w:tr>
      <w:tr>
        <w:trPr>
          <w:trHeight w:val="212"/>
        </w:trPr>
        <w:tc>
          <w:tcPr>
            <w:tcW w:w="2960" w:type="dxa"/>
            <w:vAlign w:val="bottom"/>
            <w:tcBorders>
              <w:bottom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Duncan Grazier</w:t>
            </w:r>
            <w:r>
              <w:rPr>
                <w:rFonts w:ascii="Times New Roman" w:cs="Times New Roman" w:eastAsia="Times New Roman" w:hAnsi="Times New Roman"/>
                <w:sz w:val="22"/>
                <w:szCs w:val="22"/>
                <w:color w:val="auto"/>
                <w:vertAlign w:val="superscript"/>
              </w:rPr>
              <w:t>(2)</w:t>
            </w:r>
          </w:p>
        </w:tc>
        <w:tc>
          <w:tcPr>
            <w:tcW w:w="454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50%</w:t>
            </w:r>
          </w:p>
        </w:tc>
        <w:tc>
          <w:tcPr>
            <w:tcW w:w="37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$212,500</w:t>
            </w:r>
          </w:p>
        </w:tc>
        <w:tc>
          <w:tcPr>
            <w:tcW w:w="0" w:type="dxa"/>
            <w:vAlign w:val="bottom"/>
          </w:tcPr>
          <w:p>
            <w:pPr>
              <w:spacing w:after="0"/>
              <w:rPr>
                <w:sz w:val="1"/>
                <w:szCs w:val="1"/>
                <w:color w:val="auto"/>
              </w:rPr>
            </w:pPr>
          </w:p>
        </w:tc>
      </w:tr>
      <w:tr>
        <w:trPr>
          <w:trHeight w:val="25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54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00" w:hanging="297"/>
        <w:spacing w:after="0"/>
        <w:tabs>
          <w:tab w:leader="none" w:pos="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spacing w:after="0" w:line="3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Performance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Bonus Payments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2023 Target Cash Bonus</w:t>
            </w:r>
          </w:p>
        </w:tc>
        <w:tc>
          <w:tcPr>
            <w:tcW w:w="28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b w:val="1"/>
                <w:bCs w:val="1"/>
                <w:color w:val="auto"/>
              </w:rPr>
              <w:t>Actual 2023 Cash Bonus ($)</w:t>
            </w:r>
            <w:r>
              <w:rPr>
                <w:rFonts w:ascii="Times New Roman" w:cs="Times New Roman" w:eastAsia="Times New Roman" w:hAnsi="Times New Roman"/>
                <w:sz w:val="22"/>
                <w:szCs w:val="22"/>
                <w:b w:val="1"/>
                <w:bCs w:val="1"/>
                <w:color w:val="auto"/>
                <w:vertAlign w:val="superscript"/>
              </w:rPr>
              <w:t>(2)</w:t>
            </w:r>
          </w:p>
        </w:tc>
        <w:tc>
          <w:tcPr>
            <w:tcW w:w="27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Actual 2023 Cash Bonus (as a</w:t>
            </w:r>
          </w:p>
        </w:tc>
        <w:tc>
          <w:tcPr>
            <w:tcW w:w="0" w:type="dxa"/>
            <w:vAlign w:val="bottom"/>
          </w:tcPr>
          <w:p>
            <w:pPr>
              <w:spacing w:after="0" w:line="20" w:lineRule="exact"/>
              <w:rPr>
                <w:sz w:val="1"/>
                <w:szCs w:val="1"/>
                <w:color w:val="auto"/>
              </w:rPr>
            </w:pPr>
          </w:p>
        </w:tc>
      </w:tr>
      <w:tr>
        <w:trPr>
          <w:trHeight w:val="882"/>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222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60" w:type="dxa"/>
            <w:vAlign w:val="bottom"/>
            <w:gridSpan w:val="3"/>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272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 target cash bonus</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Opportunity ($)</w:t>
            </w:r>
          </w:p>
        </w:tc>
        <w:tc>
          <w:tcPr>
            <w:tcW w:w="2840" w:type="dxa"/>
            <w:vAlign w:val="bottom"/>
          </w:tcPr>
          <w:p>
            <w:pPr>
              <w:spacing w:after="0"/>
              <w:rPr>
                <w:sz w:val="15"/>
                <w:szCs w:val="15"/>
                <w:color w:val="auto"/>
              </w:rPr>
            </w:pPr>
          </w:p>
        </w:tc>
        <w:tc>
          <w:tcPr>
            <w:tcW w:w="27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opportunity)</w:t>
            </w:r>
          </w:p>
        </w:tc>
        <w:tc>
          <w:tcPr>
            <w:tcW w:w="0" w:type="dxa"/>
            <w:vAlign w:val="bottom"/>
          </w:tcPr>
          <w:p>
            <w:pPr>
              <w:spacing w:after="0"/>
              <w:rPr>
                <w:sz w:val="1"/>
                <w:szCs w:val="1"/>
                <w:color w:val="auto"/>
              </w:rPr>
            </w:pPr>
          </w:p>
        </w:tc>
      </w:tr>
      <w:tr>
        <w:trPr>
          <w:trHeight w:val="52"/>
        </w:trPr>
        <w:tc>
          <w:tcPr>
            <w:tcW w:w="12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gridSpan w:val="3"/>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2"/>
                <w:szCs w:val="22"/>
                <w:color w:val="auto"/>
                <w:vertAlign w:val="superscript"/>
              </w:rPr>
              <w:t>(1)</w:t>
            </w:r>
          </w:p>
        </w:tc>
        <w:tc>
          <w:tcPr>
            <w:tcW w:w="2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8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27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Brian Camire</w:t>
            </w:r>
          </w:p>
        </w:tc>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$205,000</w:t>
            </w:r>
          </w:p>
        </w:tc>
        <w:tc>
          <w:tcPr>
            <w:tcW w:w="28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$181,425</w:t>
            </w:r>
          </w:p>
        </w:tc>
        <w:tc>
          <w:tcPr>
            <w:tcW w:w="27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88.5%</w:t>
            </w:r>
          </w:p>
        </w:tc>
        <w:tc>
          <w:tcPr>
            <w:tcW w:w="0" w:type="dxa"/>
            <w:vAlign w:val="bottom"/>
          </w:tcPr>
          <w:p>
            <w:pPr>
              <w:spacing w:after="0"/>
              <w:rPr>
                <w:sz w:val="1"/>
                <w:szCs w:val="1"/>
                <w:color w:val="auto"/>
              </w:rPr>
            </w:pPr>
          </w:p>
        </w:tc>
      </w:tr>
      <w:tr>
        <w:trPr>
          <w:trHeight w:val="212"/>
        </w:trPr>
        <w:tc>
          <w:tcPr>
            <w:tcW w:w="3460" w:type="dxa"/>
            <w:vAlign w:val="bottom"/>
            <w:gridSpan w:val="3"/>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Duncan Grazier</w:t>
            </w:r>
            <w:r>
              <w:rPr>
                <w:rFonts w:ascii="Times New Roman" w:cs="Times New Roman" w:eastAsia="Times New Roman" w:hAnsi="Times New Roman"/>
                <w:sz w:val="22"/>
                <w:szCs w:val="22"/>
                <w:color w:val="auto"/>
                <w:vertAlign w:val="superscript"/>
              </w:rPr>
              <w:t>(2)</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$212,500</w:t>
            </w:r>
          </w:p>
        </w:tc>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$188,062</w:t>
            </w:r>
          </w:p>
        </w:tc>
        <w:tc>
          <w:tcPr>
            <w:tcW w:w="2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88.5%</w:t>
            </w:r>
          </w:p>
        </w:tc>
        <w:tc>
          <w:tcPr>
            <w:tcW w:w="0" w:type="dxa"/>
            <w:vAlign w:val="bottom"/>
          </w:tcPr>
          <w:p>
            <w:pPr>
              <w:spacing w:after="0"/>
              <w:rPr>
                <w:sz w:val="1"/>
                <w:szCs w:val="1"/>
                <w:color w:val="auto"/>
              </w:rPr>
            </w:pPr>
          </w:p>
        </w:tc>
      </w:tr>
      <w:tr>
        <w:trPr>
          <w:trHeight w:val="290"/>
        </w:trPr>
        <w:tc>
          <w:tcPr>
            <w:tcW w:w="3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___________________________</w:t>
            </w:r>
          </w:p>
        </w:tc>
        <w:tc>
          <w:tcPr>
            <w:tcW w:w="14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00" w:hanging="297"/>
        <w:spacing w:after="0"/>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19" w:lineRule="exact"/>
        <w:rPr>
          <w:rFonts w:ascii="Times New Roman" w:cs="Times New Roman" w:eastAsia="Times New Roman" w:hAnsi="Times New Roman"/>
          <w:sz w:val="14"/>
          <w:szCs w:val="14"/>
          <w:color w:val="auto"/>
        </w:rPr>
      </w:pPr>
    </w:p>
    <w:p>
      <w:pPr>
        <w:ind w:left="320" w:hanging="317"/>
        <w:spacing w:after="0" w:line="275" w:lineRule="auto"/>
        <w:tabs>
          <w:tab w:leader="none" w:pos="31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Going forward, we anticipate the Compensation Committee will design and adopt a similar cash bonus plan for our Named Executive Officers as part of its annual review of our executive compensation program.</w:t>
      </w:r>
    </w:p>
    <w:p>
      <w:pPr>
        <w:spacing w:after="0" w:line="48" w:lineRule="exact"/>
        <w:rPr>
          <w:sz w:val="20"/>
          <w:szCs w:val="20"/>
          <w:color w:val="auto"/>
        </w:rPr>
      </w:pPr>
    </w:p>
    <w:p>
      <w:pPr>
        <w:ind w:right="2180"/>
        <w:spacing w:after="0" w:line="379" w:lineRule="auto"/>
        <w:rPr>
          <w:sz w:val="20"/>
          <w:szCs w:val="20"/>
          <w:color w:val="auto"/>
        </w:rPr>
      </w:pPr>
      <w:r>
        <w:rPr>
          <w:rFonts w:ascii="Times New Roman" w:cs="Times New Roman" w:eastAsia="Times New Roman" w:hAnsi="Times New Roman"/>
          <w:sz w:val="17"/>
          <w:szCs w:val="17"/>
          <w:color w:val="auto"/>
        </w:rPr>
        <w:t xml:space="preserve">The annual bonuses awarded to our Named Executive Officers for 2023 are set forth in the “Summary Compensation Table” below. </w:t>
      </w:r>
      <w:r>
        <w:rPr>
          <w:rFonts w:ascii="Times New Roman" w:cs="Times New Roman" w:eastAsia="Times New Roman" w:hAnsi="Times New Roman"/>
          <w:sz w:val="17"/>
          <w:szCs w:val="17"/>
          <w:i w:val="1"/>
          <w:iCs w:val="1"/>
          <w:color w:val="auto"/>
        </w:rPr>
        <w:t>Long-Term Equity Incentive Compensation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equity awards granted to our Named Executive Officers in 2023 under the WM Technology, Inc. 2021 Equity Incentive Plan (the “2021 Equity Plan”), were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6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vMerge w:val="restart"/>
          </w:tcPr>
          <w:p>
            <w:pPr>
              <w:ind w:left="880"/>
              <w:spacing w:after="0"/>
              <w:rPr>
                <w:sz w:val="20"/>
                <w:szCs w:val="20"/>
                <w:color w:val="auto"/>
              </w:rPr>
            </w:pPr>
            <w:r>
              <w:rPr>
                <w:rFonts w:ascii="Times New Roman" w:cs="Times New Roman" w:eastAsia="Times New Roman" w:hAnsi="Times New Roman"/>
                <w:sz w:val="17"/>
                <w:szCs w:val="17"/>
                <w:b w:val="1"/>
                <w:bCs w:val="1"/>
                <w:color w:val="auto"/>
              </w:rPr>
              <w:t>RSU Awards (number</w:t>
            </w:r>
          </w:p>
        </w:tc>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RSU Awards (grant date</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PRSU Awards (number</w:t>
            </w:r>
          </w:p>
        </w:tc>
        <w:tc>
          <w:tcPr>
            <w:tcW w:w="1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PRSU Awards (grant</w:t>
            </w:r>
          </w:p>
        </w:tc>
        <w:tc>
          <w:tcPr>
            <w:tcW w:w="0" w:type="dxa"/>
            <w:vAlign w:val="bottom"/>
          </w:tcPr>
          <w:p>
            <w:pPr>
              <w:spacing w:after="0" w:line="20" w:lineRule="exact"/>
              <w:rPr>
                <w:sz w:val="1"/>
                <w:szCs w:val="1"/>
                <w:color w:val="auto"/>
              </w:rPr>
            </w:pPr>
          </w:p>
        </w:tc>
      </w:tr>
      <w:tr>
        <w:trPr>
          <w:trHeight w:val="882"/>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266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40" w:type="dxa"/>
            <w:vAlign w:val="bottom"/>
            <w:gridSpan w:val="2"/>
            <w:vMerge w:val="continue"/>
          </w:tcPr>
          <w:p>
            <w:pPr>
              <w:spacing w:after="0"/>
              <w:rPr>
                <w:sz w:val="12"/>
                <w:szCs w:val="12"/>
                <w:color w:val="auto"/>
              </w:rPr>
            </w:pPr>
          </w:p>
        </w:tc>
        <w:tc>
          <w:tcPr>
            <w:tcW w:w="2660" w:type="dxa"/>
            <w:vAlign w:val="bottom"/>
            <w:vMerge w:val="restart"/>
          </w:tcPr>
          <w:p>
            <w:pPr>
              <w:ind w:left="880"/>
              <w:spacing w:after="0"/>
              <w:rPr>
                <w:sz w:val="20"/>
                <w:szCs w:val="20"/>
                <w:color w:val="auto"/>
              </w:rPr>
            </w:pPr>
            <w:r>
              <w:rPr>
                <w:rFonts w:ascii="Times New Roman" w:cs="Times New Roman" w:eastAsia="Times New Roman" w:hAnsi="Times New Roman"/>
                <w:sz w:val="17"/>
                <w:szCs w:val="17"/>
                <w:b w:val="1"/>
                <w:bCs w:val="1"/>
                <w:color w:val="auto"/>
              </w:rPr>
              <w:t>of units)(#)</w:t>
            </w:r>
          </w:p>
        </w:tc>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fair value) ($)</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of units)(#)</w:t>
            </w:r>
          </w:p>
        </w:tc>
        <w:tc>
          <w:tcPr>
            <w:tcW w:w="1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date fair value) ($)</w:t>
            </w:r>
          </w:p>
        </w:tc>
        <w:tc>
          <w:tcPr>
            <w:tcW w:w="0" w:type="dxa"/>
            <w:vAlign w:val="bottom"/>
          </w:tcPr>
          <w:p>
            <w:pPr>
              <w:spacing w:after="0"/>
              <w:rPr>
                <w:sz w:val="1"/>
                <w:szCs w:val="1"/>
                <w:color w:val="auto"/>
              </w:rPr>
            </w:pPr>
          </w:p>
        </w:tc>
      </w:tr>
      <w:tr>
        <w:trPr>
          <w:trHeight w:val="87"/>
        </w:trPr>
        <w:tc>
          <w:tcPr>
            <w:tcW w:w="12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2020" w:type="dxa"/>
            <w:vAlign w:val="bottom"/>
            <w:tcBorders>
              <w:bottom w:val="single" w:sz="8" w:color="auto"/>
            </w:tcBorders>
            <w:vMerge w:val="continue"/>
          </w:tcPr>
          <w:p>
            <w:pPr>
              <w:spacing w:after="0"/>
              <w:rPr>
                <w:sz w:val="7"/>
                <w:szCs w:val="7"/>
                <w:color w:val="auto"/>
              </w:rPr>
            </w:pPr>
          </w:p>
        </w:tc>
        <w:tc>
          <w:tcPr>
            <w:tcW w:w="1900" w:type="dxa"/>
            <w:vAlign w:val="bottom"/>
            <w:tcBorders>
              <w:bottom w:val="single" w:sz="8" w:color="auto"/>
            </w:tcBorders>
            <w:vMerge w:val="continue"/>
          </w:tcPr>
          <w:p>
            <w:pPr>
              <w:spacing w:after="0"/>
              <w:rPr>
                <w:sz w:val="7"/>
                <w:szCs w:val="7"/>
                <w:color w:val="auto"/>
              </w:rPr>
            </w:pPr>
          </w:p>
        </w:tc>
        <w:tc>
          <w:tcPr>
            <w:tcW w:w="1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7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Douglas Francis</w:t>
            </w:r>
          </w:p>
        </w:tc>
        <w:tc>
          <w:tcPr>
            <w:tcW w:w="26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Duncan Grazier</w:t>
            </w:r>
          </w:p>
        </w:tc>
        <w:tc>
          <w:tcPr>
            <w:tcW w:w="26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692,968</w:t>
            </w:r>
          </w:p>
        </w:tc>
        <w:tc>
          <w:tcPr>
            <w:tcW w:w="2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$914,718</w:t>
            </w:r>
          </w:p>
        </w:tc>
        <w:tc>
          <w:tcPr>
            <w:tcW w:w="1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Brian Camire</w:t>
            </w:r>
          </w:p>
        </w:tc>
        <w:tc>
          <w:tcPr>
            <w:tcW w:w="26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655,468</w:t>
            </w:r>
          </w:p>
        </w:tc>
        <w:tc>
          <w:tcPr>
            <w:tcW w:w="20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$865,218</w:t>
            </w:r>
          </w:p>
        </w:tc>
        <w:tc>
          <w:tcPr>
            <w:tcW w:w="19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RSU Awards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titled “Director Compensation”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PRSU Awards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number of PRSUs that vested was determined by our Compensation Committee on May 23, 2024. Each eligible recipient must remain employed by us through the determination date for the PRSU award to vest.</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62" w:lineRule="exact"/>
        <w:rPr>
          <w:sz w:val="20"/>
          <w:szCs w:val="20"/>
          <w:color w:val="auto"/>
        </w:rPr>
      </w:pPr>
    </w:p>
    <w:p>
      <w:pPr>
        <w:ind w:right="920"/>
        <w:spacing w:after="0" w:line="379" w:lineRule="auto"/>
        <w:rPr>
          <w:sz w:val="20"/>
          <w:szCs w:val="20"/>
          <w:color w:val="auto"/>
        </w:rPr>
      </w:pPr>
      <w:r>
        <w:rPr>
          <w:rFonts w:ascii="Times New Roman" w:cs="Times New Roman" w:eastAsia="Times New Roman" w:hAnsi="Times New Roman"/>
          <w:sz w:val="17"/>
          <w:szCs w:val="17"/>
          <w:color w:val="auto"/>
        </w:rPr>
        <w:t xml:space="preserve">The equity awards vested to our Named Executive Officers during the performance period are set forth in the “Summary Compensation Table” below. </w:t>
      </w:r>
      <w:r>
        <w:rPr>
          <w:rFonts w:ascii="Times New Roman" w:cs="Times New Roman" w:eastAsia="Times New Roman" w:hAnsi="Times New Roman"/>
          <w:sz w:val="17"/>
          <w:szCs w:val="17"/>
          <w:b w:val="1"/>
          <w:bCs w:val="1"/>
          <w:i w:val="1"/>
          <w:iCs w:val="1"/>
          <w:color w:val="auto"/>
        </w:rPr>
        <w:t>Health and Welfare Benefits</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401(k) Plan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Perquisites and Other Personal Benefits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Award Grant Policy</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2023, our Named Executive Officers were: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Douglas Francis, our principal executive officer and Executive Chair</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Camire, our General Counsel and Secretary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Duncan Grazier, our Chief Technology Officer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Named</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42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b w:val="1"/>
                <w:bCs w:val="1"/>
                <w:color w:val="auto"/>
              </w:rPr>
              <w:t>Non-equity</w:t>
            </w:r>
          </w:p>
        </w:tc>
        <w:tc>
          <w:tcPr>
            <w:tcW w:w="13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b w:val="1"/>
                <w:bCs w:val="1"/>
                <w:color w:val="auto"/>
              </w:rPr>
              <w:t>pension value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Salary ($)</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Bonus ($)</w:t>
            </w:r>
            <w:r>
              <w:rPr>
                <w:rFonts w:ascii="Times New Roman" w:cs="Times New Roman" w:eastAsia="Times New Roman" w:hAnsi="Times New Roman"/>
                <w:sz w:val="22"/>
                <w:szCs w:val="22"/>
                <w:b w:val="1"/>
                <w:bCs w:val="1"/>
                <w:color w:val="auto"/>
                <w:vertAlign w:val="superscript"/>
              </w:rPr>
              <w:t>(2)</w:t>
            </w:r>
          </w:p>
        </w:tc>
        <w:tc>
          <w:tcPr>
            <w:tcW w:w="9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Incentive Plan</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and nonqualified</w:t>
            </w:r>
          </w:p>
        </w:tc>
        <w:tc>
          <w:tcPr>
            <w:tcW w:w="146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Total ($)</w:t>
            </w:r>
          </w:p>
        </w:tc>
        <w:tc>
          <w:tcPr>
            <w:tcW w:w="0" w:type="dxa"/>
            <w:vAlign w:val="bottom"/>
          </w:tcPr>
          <w:p>
            <w:pPr>
              <w:spacing w:after="0"/>
              <w:rPr>
                <w:sz w:val="1"/>
                <w:szCs w:val="1"/>
                <w:color w:val="auto"/>
              </w:rPr>
            </w:pPr>
          </w:p>
        </w:tc>
      </w:tr>
      <w:tr>
        <w:trPr>
          <w:trHeight w:val="168"/>
        </w:trPr>
        <w:tc>
          <w:tcPr>
            <w:tcW w:w="11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Executive</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60" w:type="dxa"/>
            <w:vAlign w:val="bottom"/>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Awards ($)</w:t>
            </w:r>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6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b w:val="1"/>
                <w:bCs w:val="1"/>
                <w:color w:val="auto"/>
              </w:rPr>
              <w:t>Compensation ($)</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Officer</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b w:val="1"/>
                <w:bCs w:val="1"/>
                <w:color w:val="auto"/>
              </w:rPr>
              <w:t>(3)</w:t>
            </w:r>
          </w:p>
        </w:tc>
        <w:tc>
          <w:tcPr>
            <w:tcW w:w="100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Awards ($)</w:t>
            </w:r>
          </w:p>
        </w:tc>
        <w:tc>
          <w:tcPr>
            <w:tcW w:w="14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compensation ($)</w:t>
            </w:r>
          </w:p>
        </w:tc>
        <w:tc>
          <w:tcPr>
            <w:tcW w:w="13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b w:val="1"/>
                <w:bCs w:val="1"/>
                <w:color w:val="auto"/>
              </w:rPr>
              <w:t>deferred</w:t>
            </w:r>
          </w:p>
        </w:tc>
        <w:tc>
          <w:tcPr>
            <w:tcW w:w="146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b w:val="1"/>
                <w:bCs w:val="1"/>
                <w:color w:val="auto"/>
              </w:rPr>
              <w:t>(5)</w:t>
            </w: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(4)</w:t>
            </w:r>
          </w:p>
        </w:tc>
        <w:tc>
          <w:tcPr>
            <w:tcW w:w="1380" w:type="dxa"/>
            <w:vAlign w:val="bottom"/>
          </w:tcPr>
          <w:p>
            <w:pPr>
              <w:ind w:left="60"/>
              <w:spacing w:after="0" w:line="147"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1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earnings ($)</w:t>
            </w:r>
          </w:p>
        </w:tc>
        <w:tc>
          <w:tcPr>
            <w:tcW w:w="1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Douglas Francis,</w:t>
            </w:r>
          </w:p>
        </w:tc>
        <w:tc>
          <w:tcPr>
            <w:tcW w:w="6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2023</w:t>
            </w:r>
          </w:p>
        </w:tc>
        <w:tc>
          <w:tcPr>
            <w:tcW w:w="1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5"/>
                <w:szCs w:val="15"/>
                <w:color w:val="auto"/>
              </w:rPr>
              <w:t>388,384</w:t>
            </w:r>
          </w:p>
        </w:tc>
        <w:tc>
          <w:tcPr>
            <w:tcW w:w="10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5"/>
                <w:szCs w:val="15"/>
                <w:color w:val="auto"/>
              </w:rPr>
              <w:t>700,000</w:t>
            </w:r>
          </w:p>
        </w:tc>
        <w:tc>
          <w:tcPr>
            <w:tcW w:w="9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5"/>
                <w:szCs w:val="15"/>
                <w:color w:val="auto"/>
              </w:rPr>
              <w:t>82,607</w:t>
            </w:r>
          </w:p>
        </w:tc>
        <w:tc>
          <w:tcPr>
            <w:tcW w:w="1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1,170,991</w:t>
            </w:r>
          </w:p>
        </w:tc>
        <w:tc>
          <w:tcPr>
            <w:tcW w:w="0" w:type="dxa"/>
            <w:vAlign w:val="bottom"/>
          </w:tcPr>
          <w:p>
            <w:pPr>
              <w:spacing w:after="0"/>
              <w:rPr>
                <w:sz w:val="1"/>
                <w:szCs w:val="1"/>
                <w:color w:val="auto"/>
              </w:rPr>
            </w:pPr>
          </w:p>
        </w:tc>
      </w:tr>
      <w:tr>
        <w:trPr>
          <w:trHeight w:val="244"/>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Executive Chair</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Borders>
              <w:top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2022</w:t>
            </w:r>
          </w:p>
        </w:tc>
        <w:tc>
          <w:tcPr>
            <w:tcW w:w="10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193,357</w:t>
            </w: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69,701</w:t>
            </w:r>
          </w:p>
        </w:tc>
        <w:tc>
          <w:tcPr>
            <w:tcW w:w="1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263,058</w:t>
            </w:r>
          </w:p>
        </w:tc>
        <w:tc>
          <w:tcPr>
            <w:tcW w:w="0" w:type="dxa"/>
            <w:vAlign w:val="bottom"/>
          </w:tcPr>
          <w:p>
            <w:pPr>
              <w:spacing w:after="0"/>
              <w:rPr>
                <w:sz w:val="1"/>
                <w:szCs w:val="1"/>
                <w:color w:val="auto"/>
              </w:rPr>
            </w:pPr>
          </w:p>
        </w:tc>
      </w:tr>
      <w:tr>
        <w:trPr>
          <w:trHeight w:val="199"/>
        </w:trPr>
        <w:tc>
          <w:tcPr>
            <w:tcW w:w="1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Brian Camire,</w:t>
            </w:r>
          </w:p>
        </w:tc>
        <w:tc>
          <w:tcPr>
            <w:tcW w:w="6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2023</w:t>
            </w:r>
          </w:p>
        </w:tc>
        <w:tc>
          <w:tcPr>
            <w:tcW w:w="1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5"/>
                <w:szCs w:val="15"/>
                <w:color w:val="auto"/>
              </w:rPr>
              <w:t>410,000</w:t>
            </w:r>
          </w:p>
        </w:tc>
        <w:tc>
          <w:tcPr>
            <w:tcW w:w="10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5"/>
                <w:szCs w:val="15"/>
                <w:color w:val="auto"/>
              </w:rPr>
              <w:t>45,100</w:t>
            </w:r>
          </w:p>
        </w:tc>
        <w:tc>
          <w:tcPr>
            <w:tcW w:w="9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865,218</w:t>
            </w:r>
          </w:p>
        </w:tc>
        <w:tc>
          <w:tcPr>
            <w:tcW w:w="1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136,325</w:t>
            </w:r>
          </w:p>
        </w:tc>
        <w:tc>
          <w:tcPr>
            <w:tcW w:w="13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5"/>
                <w:szCs w:val="15"/>
                <w:color w:val="auto"/>
              </w:rPr>
              <w:t>12,111</w:t>
            </w:r>
          </w:p>
        </w:tc>
        <w:tc>
          <w:tcPr>
            <w:tcW w:w="1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1,468,754</w:t>
            </w:r>
          </w:p>
        </w:tc>
        <w:tc>
          <w:tcPr>
            <w:tcW w:w="0" w:type="dxa"/>
            <w:vAlign w:val="bottom"/>
          </w:tcPr>
          <w:p>
            <w:pPr>
              <w:spacing w:after="0"/>
              <w:rPr>
                <w:sz w:val="1"/>
                <w:szCs w:val="1"/>
                <w:color w:val="auto"/>
              </w:rPr>
            </w:pPr>
          </w:p>
        </w:tc>
      </w:tr>
      <w:tr>
        <w:trPr>
          <w:trHeight w:val="155"/>
        </w:trPr>
        <w:tc>
          <w:tcPr>
            <w:tcW w:w="11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General Counsel</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Secretary</w:t>
            </w:r>
          </w:p>
        </w:tc>
        <w:tc>
          <w:tcPr>
            <w:tcW w:w="80" w:type="dxa"/>
            <w:vAlign w:val="bottom"/>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40" w:type="dxa"/>
            <w:vAlign w:val="bottom"/>
            <w:vMerge w:val="continue"/>
            <w:shd w:val="clear" w:color="auto" w:fill="CCEEFF"/>
          </w:tcPr>
          <w:p>
            <w:pPr>
              <w:spacing w:after="0"/>
              <w:rPr>
                <w:sz w:val="7"/>
                <w:szCs w:val="7"/>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2022</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410,000</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11,531</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13,384</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434,915</w:t>
            </w:r>
          </w:p>
        </w:tc>
        <w:tc>
          <w:tcPr>
            <w:tcW w:w="0" w:type="dxa"/>
            <w:vAlign w:val="bottom"/>
          </w:tcPr>
          <w:p>
            <w:pPr>
              <w:spacing w:after="0"/>
              <w:rPr>
                <w:sz w:val="1"/>
                <w:szCs w:val="1"/>
                <w:color w:val="auto"/>
              </w:rPr>
            </w:pPr>
          </w:p>
        </w:tc>
      </w:tr>
      <w:tr>
        <w:trPr>
          <w:trHeight w:val="103"/>
        </w:trPr>
        <w:tc>
          <w:tcPr>
            <w:tcW w:w="1140" w:type="dxa"/>
            <w:vAlign w:val="bottom"/>
            <w:shd w:val="clear" w:color="auto" w:fill="CCEEFF"/>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Duncan Grazier,</w:t>
            </w:r>
          </w:p>
        </w:tc>
        <w:tc>
          <w:tcPr>
            <w:tcW w:w="6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2023</w:t>
            </w:r>
          </w:p>
        </w:tc>
        <w:tc>
          <w:tcPr>
            <w:tcW w:w="1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5"/>
                <w:szCs w:val="15"/>
                <w:color w:val="auto"/>
              </w:rPr>
              <w:t>391,779</w:t>
            </w:r>
          </w:p>
        </w:tc>
        <w:tc>
          <w:tcPr>
            <w:tcW w:w="10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5"/>
                <w:szCs w:val="15"/>
                <w:color w:val="auto"/>
              </w:rPr>
              <w:t>246,750</w:t>
            </w:r>
          </w:p>
        </w:tc>
        <w:tc>
          <w:tcPr>
            <w:tcW w:w="9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914,718</w:t>
            </w:r>
          </w:p>
        </w:tc>
        <w:tc>
          <w:tcPr>
            <w:tcW w:w="1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141,312</w:t>
            </w:r>
          </w:p>
        </w:tc>
        <w:tc>
          <w:tcPr>
            <w:tcW w:w="13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5"/>
                <w:szCs w:val="15"/>
                <w:color w:val="auto"/>
              </w:rPr>
              <w:t>24,658</w:t>
            </w:r>
          </w:p>
        </w:tc>
        <w:tc>
          <w:tcPr>
            <w:tcW w:w="1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5"/>
                <w:szCs w:val="15"/>
                <w:color w:val="auto"/>
              </w:rPr>
              <w:t>1,719,217</w:t>
            </w:r>
          </w:p>
        </w:tc>
        <w:tc>
          <w:tcPr>
            <w:tcW w:w="0" w:type="dxa"/>
            <w:vAlign w:val="bottom"/>
          </w:tcPr>
          <w:p>
            <w:pPr>
              <w:spacing w:after="0"/>
              <w:rPr>
                <w:sz w:val="1"/>
                <w:szCs w:val="1"/>
                <w:color w:val="auto"/>
              </w:rPr>
            </w:pPr>
          </w:p>
        </w:tc>
      </w:tr>
      <w:tr>
        <w:trPr>
          <w:trHeight w:val="155"/>
        </w:trPr>
        <w:tc>
          <w:tcPr>
            <w:tcW w:w="11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Chief</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CCEEFF"/>
            </w:tcBorders>
            <w:vMerge w:val="restart"/>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Technology</w:t>
            </w:r>
          </w:p>
        </w:tc>
        <w:tc>
          <w:tcPr>
            <w:tcW w:w="80" w:type="dxa"/>
            <w:vAlign w:val="bottom"/>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142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140" w:type="dxa"/>
            <w:vAlign w:val="bottom"/>
            <w:vMerge w:val="continue"/>
            <w:shd w:val="clear" w:color="auto" w:fill="CCEEFF"/>
          </w:tcPr>
          <w:p>
            <w:pPr>
              <w:spacing w:after="0"/>
              <w:rPr>
                <w:sz w:val="3"/>
                <w:szCs w:val="3"/>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2022</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auto"/>
              </w:rPr>
              <w:t>394,221</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162,592</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299,995</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10,504</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867,312</w:t>
            </w:r>
          </w:p>
        </w:tc>
        <w:tc>
          <w:tcPr>
            <w:tcW w:w="0" w:type="dxa"/>
            <w:vAlign w:val="bottom"/>
          </w:tcPr>
          <w:p>
            <w:pPr>
              <w:spacing w:after="0"/>
              <w:rPr>
                <w:sz w:val="1"/>
                <w:szCs w:val="1"/>
                <w:color w:val="auto"/>
              </w:rPr>
            </w:pPr>
          </w:p>
        </w:tc>
      </w:tr>
      <w:tr>
        <w:trPr>
          <w:trHeight w:val="148"/>
        </w:trPr>
        <w:tc>
          <w:tcPr>
            <w:tcW w:w="1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Officer</w:t>
            </w:r>
          </w:p>
        </w:tc>
        <w:tc>
          <w:tcPr>
            <w:tcW w:w="6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140" w:type="dxa"/>
            <w:vAlign w:val="bottom"/>
            <w:vMerge w:val="continue"/>
            <w:shd w:val="clear" w:color="auto" w:fill="CCEEFF"/>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w:t>
      </w:r>
    </w:p>
    <w:p>
      <w:pPr>
        <w:spacing w:after="0" w:line="27" w:lineRule="exact"/>
        <w:rPr>
          <w:sz w:val="20"/>
          <w:szCs w:val="20"/>
          <w:color w:val="auto"/>
        </w:rPr>
      </w:pPr>
    </w:p>
    <w:p>
      <w:pPr>
        <w:ind w:left="320" w:hanging="317"/>
        <w:spacing w:after="0" w:line="266" w:lineRule="auto"/>
        <w:tabs>
          <w:tab w:leader="none" w:pos="3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 w:lineRule="exact"/>
        <w:rPr>
          <w:rFonts w:ascii="Times New Roman" w:cs="Times New Roman" w:eastAsia="Times New Roman" w:hAnsi="Times New Roman"/>
          <w:sz w:val="15"/>
          <w:szCs w:val="15"/>
          <w:color w:val="auto"/>
        </w:rPr>
      </w:pPr>
    </w:p>
    <w:p>
      <w:pPr>
        <w:ind w:left="320" w:hanging="317"/>
        <w:spacing w:after="0" w:line="249" w:lineRule="auto"/>
        <w:tabs>
          <w:tab w:leader="none" w:pos="3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 Cash Bonus Payments” above.</w:t>
      </w:r>
    </w:p>
    <w:p>
      <w:pPr>
        <w:spacing w:after="0" w:line="1" w:lineRule="exact"/>
        <w:rPr>
          <w:rFonts w:ascii="Times New Roman" w:cs="Times New Roman" w:eastAsia="Times New Roman" w:hAnsi="Times New Roman"/>
          <w:sz w:val="15"/>
          <w:szCs w:val="15"/>
          <w:color w:val="auto"/>
        </w:rPr>
      </w:pPr>
    </w:p>
    <w:p>
      <w:pPr>
        <w:jc w:val="both"/>
        <w:ind w:left="320" w:hanging="317"/>
        <w:spacing w:after="0" w:line="264" w:lineRule="auto"/>
        <w:tabs>
          <w:tab w:leader="none" w:pos="3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financial statements.</w:t>
      </w:r>
    </w:p>
    <w:p>
      <w:pPr>
        <w:spacing w:after="0" w:line="1" w:lineRule="exact"/>
        <w:rPr>
          <w:rFonts w:ascii="Times New Roman" w:cs="Times New Roman" w:eastAsia="Times New Roman" w:hAnsi="Times New Roman"/>
          <w:sz w:val="15"/>
          <w:szCs w:val="15"/>
          <w:color w:val="auto"/>
        </w:rPr>
      </w:pPr>
    </w:p>
    <w:p>
      <w:pPr>
        <w:jc w:val="both"/>
        <w:ind w:left="320" w:hanging="317"/>
        <w:spacing w:after="0" w:line="263" w:lineRule="auto"/>
        <w:tabs>
          <w:tab w:leader="none" w:pos="3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2" w:lineRule="exact"/>
        <w:rPr>
          <w:rFonts w:ascii="Times New Roman" w:cs="Times New Roman" w:eastAsia="Times New Roman" w:hAnsi="Times New Roman"/>
          <w:sz w:val="15"/>
          <w:szCs w:val="15"/>
          <w:color w:val="auto"/>
        </w:rPr>
      </w:pPr>
    </w:p>
    <w:p>
      <w:pPr>
        <w:jc w:val="both"/>
        <w:ind w:left="320" w:hanging="317"/>
        <w:spacing w:after="0" w:line="267" w:lineRule="auto"/>
        <w:tabs>
          <w:tab w:leader="none" w:pos="3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include (i) group term life insurance premiums in excess of the broad-based benefit level of $280, $224 and $561 for 2023 for Messrs. Francis, Camire and Grazier, respectively and $0, $216, and $540 for 2022 for Messrs. Francis, Camire and Grazier, respectively; (ii) 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titled Director Compensation; (iv) compensation for legal fee reimbursement of $8,946 for 2023 for Mr. Francis; and (v) parental leave benefit of $13,106 in 2023 for Mr. Grazier.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regarding outstanding equity awards for the Named Executive Officers as of December 31,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80" w:type="dxa"/>
            <w:vAlign w:val="bottom"/>
          </w:tcPr>
          <w:p>
            <w:pPr>
              <w:ind w:left="60"/>
              <w:spacing w:after="0" w:line="151"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8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incentive</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incentive</w:t>
            </w:r>
          </w:p>
        </w:tc>
        <w:tc>
          <w:tcPr>
            <w:tcW w:w="88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plan</w:t>
            </w:r>
          </w:p>
        </w:tc>
        <w:tc>
          <w:tcPr>
            <w:tcW w:w="0" w:type="dxa"/>
            <w:vAlign w:val="bottom"/>
          </w:tcPr>
          <w:p>
            <w:pPr>
              <w:spacing w:after="0"/>
              <w:rPr>
                <w:sz w:val="1"/>
                <w:szCs w:val="1"/>
                <w:color w:val="auto"/>
              </w:rPr>
            </w:pPr>
          </w:p>
        </w:tc>
      </w:tr>
      <w:tr>
        <w:trPr>
          <w:trHeight w:val="77"/>
        </w:trPr>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plan</w:t>
            </w:r>
          </w:p>
        </w:tc>
        <w:tc>
          <w:tcPr>
            <w:tcW w:w="8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awards:</w:t>
            </w:r>
          </w:p>
        </w:tc>
        <w:tc>
          <w:tcPr>
            <w:tcW w:w="0" w:type="dxa"/>
            <w:vAlign w:val="bottom"/>
          </w:tcPr>
          <w:p>
            <w:pPr>
              <w:spacing w:after="0"/>
              <w:rPr>
                <w:sz w:val="1"/>
                <w:szCs w:val="1"/>
                <w:color w:val="auto"/>
              </w:rPr>
            </w:pPr>
          </w:p>
        </w:tc>
      </w:tr>
      <w:tr>
        <w:trPr>
          <w:trHeight w:val="77"/>
        </w:trPr>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incentive plan</w:t>
            </w: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9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100" w:type="dxa"/>
            <w:vAlign w:val="bottom"/>
            <w:vMerge w:val="restart"/>
          </w:tcPr>
          <w:p>
            <w:pPr>
              <w:ind w:left="140"/>
              <w:spacing w:after="0" w:line="155"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Number</w:t>
            </w:r>
          </w:p>
        </w:tc>
        <w:tc>
          <w:tcPr>
            <w:tcW w:w="1140" w:type="dxa"/>
            <w:vAlign w:val="bottom"/>
            <w:vMerge w:val="continue"/>
          </w:tcPr>
          <w:p>
            <w:pPr>
              <w:spacing w:after="0"/>
              <w:rPr>
                <w:sz w:val="8"/>
                <w:szCs w:val="8"/>
                <w:color w:val="auto"/>
              </w:rPr>
            </w:pPr>
          </w:p>
        </w:tc>
        <w:tc>
          <w:tcPr>
            <w:tcW w:w="9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awards:</w:t>
            </w:r>
          </w:p>
        </w:tc>
        <w:tc>
          <w:tcPr>
            <w:tcW w:w="8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Market or</w:t>
            </w:r>
          </w:p>
        </w:tc>
        <w:tc>
          <w:tcPr>
            <w:tcW w:w="0" w:type="dxa"/>
            <w:vAlign w:val="bottom"/>
          </w:tcPr>
          <w:p>
            <w:pPr>
              <w:spacing w:after="0"/>
              <w:rPr>
                <w:sz w:val="1"/>
                <w:szCs w:val="1"/>
                <w:color w:val="auto"/>
              </w:rPr>
            </w:pPr>
          </w:p>
        </w:tc>
      </w:tr>
      <w:tr>
        <w:trPr>
          <w:trHeight w:val="52"/>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awards:</w:t>
            </w: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140" w:type="dxa"/>
            <w:vAlign w:val="bottom"/>
            <w:vMerge w:val="restart"/>
          </w:tcPr>
          <w:p>
            <w:pPr>
              <w:ind w:left="420"/>
              <w:spacing w:after="0" w:line="155" w:lineRule="exact"/>
              <w:rPr>
                <w:sz w:val="20"/>
                <w:szCs w:val="20"/>
                <w:color w:val="auto"/>
              </w:rPr>
            </w:pPr>
            <w:r>
              <w:rPr>
                <w:rFonts w:ascii="Times New Roman" w:cs="Times New Roman" w:eastAsia="Times New Roman" w:hAnsi="Times New Roman"/>
                <w:sz w:val="15"/>
                <w:szCs w:val="15"/>
                <w:b w:val="1"/>
                <w:bCs w:val="1"/>
                <w:color w:val="auto"/>
              </w:rPr>
              <w:t>value of</w:t>
            </w:r>
          </w:p>
        </w:tc>
        <w:tc>
          <w:tcPr>
            <w:tcW w:w="9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Named</w:t>
            </w: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Securities</w:t>
            </w:r>
          </w:p>
        </w:tc>
        <w:tc>
          <w:tcPr>
            <w:tcW w:w="1100" w:type="dxa"/>
            <w:vAlign w:val="bottom"/>
            <w:vMerge w:val="restart"/>
          </w:tcPr>
          <w:p>
            <w:pPr>
              <w:ind w:left="140"/>
              <w:spacing w:after="0" w:line="155" w:lineRule="exact"/>
              <w:rPr>
                <w:sz w:val="20"/>
                <w:szCs w:val="20"/>
                <w:color w:val="auto"/>
              </w:rPr>
            </w:pPr>
            <w:r>
              <w:rPr>
                <w:rFonts w:ascii="Times New Roman" w:cs="Times New Roman" w:eastAsia="Times New Roman" w:hAnsi="Times New Roman"/>
                <w:sz w:val="15"/>
                <w:szCs w:val="15"/>
                <w:b w:val="1"/>
                <w:bCs w:val="1"/>
                <w:color w:val="auto"/>
              </w:rPr>
              <w:t>Securities</w:t>
            </w:r>
          </w:p>
        </w:tc>
        <w:tc>
          <w:tcPr>
            <w:tcW w:w="10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1140" w:type="dxa"/>
            <w:vAlign w:val="bottom"/>
            <w:vMerge w:val="continue"/>
          </w:tcPr>
          <w:p>
            <w:pPr>
              <w:spacing w:after="0"/>
              <w:rPr>
                <w:sz w:val="8"/>
                <w:szCs w:val="8"/>
                <w:color w:val="auto"/>
              </w:rPr>
            </w:pPr>
          </w:p>
        </w:tc>
        <w:tc>
          <w:tcPr>
            <w:tcW w:w="9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8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payout</w:t>
            </w:r>
          </w:p>
        </w:tc>
        <w:tc>
          <w:tcPr>
            <w:tcW w:w="0" w:type="dxa"/>
            <w:vAlign w:val="bottom"/>
          </w:tcPr>
          <w:p>
            <w:pPr>
              <w:spacing w:after="0"/>
              <w:rPr>
                <w:sz w:val="1"/>
                <w:szCs w:val="1"/>
                <w:color w:val="auto"/>
              </w:rPr>
            </w:pPr>
          </w:p>
        </w:tc>
      </w:tr>
      <w:tr>
        <w:trPr>
          <w:trHeight w:val="52"/>
        </w:trPr>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Vesting</w:t>
            </w:r>
          </w:p>
        </w:tc>
        <w:tc>
          <w:tcPr>
            <w:tcW w:w="9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Option</w:t>
            </w:r>
          </w:p>
        </w:tc>
        <w:tc>
          <w:tcPr>
            <w:tcW w:w="720" w:type="dxa"/>
            <w:vAlign w:val="bottom"/>
            <w:vMerge w:val="continue"/>
          </w:tcPr>
          <w:p>
            <w:pPr>
              <w:spacing w:after="0"/>
              <w:rPr>
                <w:sz w:val="4"/>
                <w:szCs w:val="4"/>
                <w:color w:val="auto"/>
              </w:rPr>
            </w:pP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shares of</w:t>
            </w:r>
          </w:p>
        </w:tc>
        <w:tc>
          <w:tcPr>
            <w:tcW w:w="9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840" w:type="dxa"/>
            <w:vAlign w:val="bottom"/>
            <w:vMerge w:val="continue"/>
          </w:tcPr>
          <w:p>
            <w:pPr>
              <w:spacing w:after="0"/>
              <w:rPr>
                <w:sz w:val="13"/>
                <w:szCs w:val="13"/>
                <w:color w:val="auto"/>
              </w:rPr>
            </w:pPr>
          </w:p>
        </w:tc>
        <w:tc>
          <w:tcPr>
            <w:tcW w:w="94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1100" w:type="dxa"/>
            <w:vAlign w:val="bottom"/>
          </w:tcPr>
          <w:p>
            <w:pPr>
              <w:ind w:left="140"/>
              <w:spacing w:after="0" w:line="155"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10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7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or units of</w:t>
            </w:r>
          </w:p>
        </w:tc>
        <w:tc>
          <w:tcPr>
            <w:tcW w:w="1140" w:type="dxa"/>
            <w:vAlign w:val="bottom"/>
            <w:vMerge w:val="continue"/>
          </w:tcPr>
          <w:p>
            <w:pPr>
              <w:spacing w:after="0"/>
              <w:rPr>
                <w:sz w:val="13"/>
                <w:szCs w:val="13"/>
                <w:color w:val="auto"/>
              </w:rPr>
            </w:pPr>
          </w:p>
        </w:tc>
        <w:tc>
          <w:tcPr>
            <w:tcW w:w="940" w:type="dxa"/>
            <w:vAlign w:val="bottom"/>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unearned</w:t>
            </w:r>
          </w:p>
        </w:tc>
        <w:tc>
          <w:tcPr>
            <w:tcW w:w="88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value of</w:t>
            </w:r>
          </w:p>
        </w:tc>
        <w:tc>
          <w:tcPr>
            <w:tcW w:w="0" w:type="dxa"/>
            <w:vAlign w:val="bottom"/>
          </w:tcPr>
          <w:p>
            <w:pPr>
              <w:spacing w:after="0"/>
              <w:rPr>
                <w:sz w:val="1"/>
                <w:szCs w:val="1"/>
                <w:color w:val="auto"/>
              </w:rPr>
            </w:pPr>
          </w:p>
        </w:tc>
      </w:tr>
      <w:tr>
        <w:trPr>
          <w:trHeight w:val="155"/>
        </w:trPr>
        <w:tc>
          <w:tcPr>
            <w:tcW w:w="88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Executive</w:t>
            </w: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Times New Roman" w:cs="Times New Roman" w:eastAsia="Times New Roman" w:hAnsi="Times New Roman"/>
                <w:sz w:val="15"/>
                <w:szCs w:val="15"/>
                <w:b w:val="1"/>
                <w:bCs w:val="1"/>
                <w:color w:val="auto"/>
              </w:rPr>
              <w:t>Date</w:t>
            </w:r>
          </w:p>
        </w:tc>
        <w:tc>
          <w:tcPr>
            <w:tcW w:w="94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unexercised</w:t>
            </w:r>
          </w:p>
        </w:tc>
        <w:tc>
          <w:tcPr>
            <w:tcW w:w="1100" w:type="dxa"/>
            <w:vAlign w:val="bottom"/>
          </w:tcPr>
          <w:p>
            <w:pPr>
              <w:ind w:left="140"/>
              <w:spacing w:after="0" w:line="155" w:lineRule="exact"/>
              <w:rPr>
                <w:sz w:val="20"/>
                <w:szCs w:val="20"/>
                <w:color w:val="auto"/>
              </w:rPr>
            </w:pPr>
            <w:r>
              <w:rPr>
                <w:rFonts w:ascii="Times New Roman" w:cs="Times New Roman" w:eastAsia="Times New Roman" w:hAnsi="Times New Roman"/>
                <w:sz w:val="15"/>
                <w:szCs w:val="15"/>
                <w:b w:val="1"/>
                <w:bCs w:val="1"/>
                <w:color w:val="auto"/>
              </w:rPr>
              <w:t>unexercised</w:t>
            </w:r>
          </w:p>
        </w:tc>
        <w:tc>
          <w:tcPr>
            <w:tcW w:w="108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securities</w:t>
            </w:r>
          </w:p>
        </w:tc>
        <w:tc>
          <w:tcPr>
            <w:tcW w:w="780" w:type="dxa"/>
            <w:vAlign w:val="bottom"/>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exercise</w:t>
            </w:r>
          </w:p>
        </w:tc>
        <w:tc>
          <w:tcPr>
            <w:tcW w:w="96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5"/>
                <w:szCs w:val="15"/>
                <w:b w:val="1"/>
                <w:bCs w:val="1"/>
                <w:color w:val="auto"/>
              </w:rPr>
              <w:t>expiration</w:t>
            </w:r>
          </w:p>
        </w:tc>
        <w:tc>
          <w:tcPr>
            <w:tcW w:w="720" w:type="dxa"/>
            <w:vAlign w:val="bottom"/>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stock that</w:t>
            </w:r>
          </w:p>
        </w:tc>
        <w:tc>
          <w:tcPr>
            <w:tcW w:w="1140" w:type="dxa"/>
            <w:vAlign w:val="bottom"/>
          </w:tcPr>
          <w:p>
            <w:pPr>
              <w:ind w:left="420"/>
              <w:spacing w:after="0" w:line="155" w:lineRule="exact"/>
              <w:rPr>
                <w:sz w:val="20"/>
                <w:szCs w:val="20"/>
                <w:color w:val="auto"/>
              </w:rPr>
            </w:pPr>
            <w:r>
              <w:rPr>
                <w:rFonts w:ascii="Times New Roman" w:cs="Times New Roman" w:eastAsia="Times New Roman" w:hAnsi="Times New Roman"/>
                <w:sz w:val="15"/>
                <w:szCs w:val="15"/>
                <w:b w:val="1"/>
                <w:bCs w:val="1"/>
                <w:color w:val="auto"/>
              </w:rPr>
              <w:t>units that</w:t>
            </w:r>
          </w:p>
        </w:tc>
        <w:tc>
          <w:tcPr>
            <w:tcW w:w="940" w:type="dxa"/>
            <w:vAlign w:val="bottom"/>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shares,</w:t>
            </w:r>
          </w:p>
        </w:tc>
        <w:tc>
          <w:tcPr>
            <w:tcW w:w="88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unearned</w:t>
            </w:r>
          </w:p>
        </w:tc>
        <w:tc>
          <w:tcPr>
            <w:tcW w:w="0" w:type="dxa"/>
            <w:vAlign w:val="bottom"/>
          </w:tcPr>
          <w:p>
            <w:pPr>
              <w:spacing w:after="0"/>
              <w:rPr>
                <w:sz w:val="1"/>
                <w:szCs w:val="1"/>
                <w:color w:val="auto"/>
              </w:rPr>
            </w:pPr>
          </w:p>
        </w:tc>
      </w:tr>
      <w:tr>
        <w:trPr>
          <w:trHeight w:val="77"/>
        </w:trPr>
        <w:tc>
          <w:tcPr>
            <w:tcW w:w="880" w:type="dxa"/>
            <w:vAlign w:val="bottom"/>
          </w:tcPr>
          <w:p>
            <w:pPr>
              <w:ind w:left="20"/>
              <w:spacing w:after="0" w:line="78" w:lineRule="exact"/>
              <w:rPr>
                <w:sz w:val="20"/>
                <w:szCs w:val="20"/>
                <w:color w:val="auto"/>
              </w:rPr>
            </w:pPr>
            <w:r>
              <w:rPr>
                <w:rFonts w:ascii="Times New Roman" w:cs="Times New Roman" w:eastAsia="Times New Roman" w:hAnsi="Times New Roman"/>
                <w:sz w:val="8"/>
                <w:szCs w:val="8"/>
                <w:b w:val="1"/>
                <w:bCs w:val="1"/>
                <w:color w:val="auto"/>
              </w:rPr>
              <w:t>Officer</w:t>
            </w: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options (#)</w:t>
            </w:r>
          </w:p>
        </w:tc>
        <w:tc>
          <w:tcPr>
            <w:tcW w:w="1100" w:type="dxa"/>
            <w:vAlign w:val="bottom"/>
            <w:vMerge w:val="restart"/>
          </w:tcPr>
          <w:p>
            <w:pPr>
              <w:ind w:left="140"/>
              <w:spacing w:after="0" w:line="155" w:lineRule="exact"/>
              <w:rPr>
                <w:sz w:val="20"/>
                <w:szCs w:val="20"/>
                <w:color w:val="auto"/>
              </w:rPr>
            </w:pPr>
            <w:r>
              <w:rPr>
                <w:rFonts w:ascii="Times New Roman" w:cs="Times New Roman" w:eastAsia="Times New Roman" w:hAnsi="Times New Roman"/>
                <w:sz w:val="15"/>
                <w:szCs w:val="15"/>
                <w:b w:val="1"/>
                <w:bCs w:val="1"/>
                <w:color w:val="auto"/>
              </w:rPr>
              <w:t>options (#)</w:t>
            </w:r>
          </w:p>
        </w:tc>
        <w:tc>
          <w:tcPr>
            <w:tcW w:w="10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b w:val="1"/>
                <w:bCs w:val="1"/>
                <w:color w:val="auto"/>
              </w:rPr>
              <w:t>underlying</w:t>
            </w:r>
          </w:p>
        </w:tc>
        <w:tc>
          <w:tcPr>
            <w:tcW w:w="780" w:type="dxa"/>
            <w:vAlign w:val="bottom"/>
          </w:tcPr>
          <w:p>
            <w:pPr>
              <w:ind w:left="80"/>
              <w:spacing w:after="0" w:line="78" w:lineRule="exact"/>
              <w:rPr>
                <w:sz w:val="20"/>
                <w:szCs w:val="20"/>
                <w:color w:val="auto"/>
              </w:rPr>
            </w:pPr>
            <w:r>
              <w:rPr>
                <w:rFonts w:ascii="Times New Roman" w:cs="Times New Roman" w:eastAsia="Times New Roman" w:hAnsi="Times New Roman"/>
                <w:sz w:val="8"/>
                <w:szCs w:val="8"/>
                <w:b w:val="1"/>
                <w:bCs w:val="1"/>
                <w:color w:val="auto"/>
              </w:rPr>
              <w:t>price ($)</w:t>
            </w:r>
          </w:p>
        </w:tc>
        <w:tc>
          <w:tcPr>
            <w:tcW w:w="960" w:type="dxa"/>
            <w:vAlign w:val="bottom"/>
            <w:gridSpan w:val="2"/>
          </w:tcPr>
          <w:p>
            <w:pPr>
              <w:ind w:left="160"/>
              <w:spacing w:after="0" w:line="78" w:lineRule="exact"/>
              <w:rPr>
                <w:sz w:val="20"/>
                <w:szCs w:val="20"/>
                <w:color w:val="auto"/>
              </w:rPr>
            </w:pPr>
            <w:r>
              <w:rPr>
                <w:rFonts w:ascii="Times New Roman" w:cs="Times New Roman" w:eastAsia="Times New Roman" w:hAnsi="Times New Roman"/>
                <w:sz w:val="8"/>
                <w:szCs w:val="8"/>
                <w:b w:val="1"/>
                <w:bCs w:val="1"/>
                <w:color w:val="auto"/>
              </w:rPr>
              <w:t>date</w:t>
            </w:r>
          </w:p>
        </w:tc>
        <w:tc>
          <w:tcPr>
            <w:tcW w:w="720" w:type="dxa"/>
            <w:vAlign w:val="bottom"/>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have not</w:t>
            </w:r>
          </w:p>
        </w:tc>
        <w:tc>
          <w:tcPr>
            <w:tcW w:w="1140" w:type="dxa"/>
            <w:vAlign w:val="bottom"/>
          </w:tcPr>
          <w:p>
            <w:pPr>
              <w:ind w:left="420"/>
              <w:spacing w:after="0" w:line="78" w:lineRule="exact"/>
              <w:rPr>
                <w:sz w:val="20"/>
                <w:szCs w:val="20"/>
                <w:color w:val="auto"/>
              </w:rPr>
            </w:pPr>
            <w:r>
              <w:rPr>
                <w:rFonts w:ascii="Times New Roman" w:cs="Times New Roman" w:eastAsia="Times New Roman" w:hAnsi="Times New Roman"/>
                <w:sz w:val="8"/>
                <w:szCs w:val="8"/>
                <w:b w:val="1"/>
                <w:bCs w:val="1"/>
                <w:color w:val="auto"/>
              </w:rPr>
              <w:t>have not</w:t>
            </w:r>
          </w:p>
        </w:tc>
        <w:tc>
          <w:tcPr>
            <w:tcW w:w="9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units or</w:t>
            </w:r>
          </w:p>
        </w:tc>
        <w:tc>
          <w:tcPr>
            <w:tcW w:w="8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shares,</w:t>
            </w:r>
          </w:p>
        </w:tc>
        <w:tc>
          <w:tcPr>
            <w:tcW w:w="0" w:type="dxa"/>
            <w:vAlign w:val="bottom"/>
          </w:tcPr>
          <w:p>
            <w:pPr>
              <w:spacing w:after="0"/>
              <w:rPr>
                <w:sz w:val="1"/>
                <w:szCs w:val="1"/>
                <w:color w:val="auto"/>
              </w:rPr>
            </w:pPr>
          </w:p>
        </w:tc>
      </w:tr>
      <w:tr>
        <w:trPr>
          <w:trHeight w:val="77"/>
        </w:trPr>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unexercised</w:t>
            </w: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vested ($)</w:t>
            </w:r>
          </w:p>
        </w:tc>
        <w:tc>
          <w:tcPr>
            <w:tcW w:w="9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exercisable</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unexercisable</w:t>
            </w:r>
          </w:p>
        </w:tc>
        <w:tc>
          <w:tcPr>
            <w:tcW w:w="10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vested (#)</w:t>
            </w:r>
          </w:p>
        </w:tc>
        <w:tc>
          <w:tcPr>
            <w:tcW w:w="1140" w:type="dxa"/>
            <w:vAlign w:val="bottom"/>
            <w:vMerge w:val="continue"/>
          </w:tcPr>
          <w:p>
            <w:pPr>
              <w:spacing w:after="0"/>
              <w:rPr>
                <w:sz w:val="8"/>
                <w:szCs w:val="8"/>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other rights</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units or</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0"/>
                <w:szCs w:val="10"/>
                <w:b w:val="1"/>
                <w:bCs w:val="1"/>
                <w:color w:val="auto"/>
              </w:rPr>
              <w:t>(1)</w:t>
            </w:r>
          </w:p>
        </w:tc>
        <w:tc>
          <w:tcPr>
            <w:tcW w:w="9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options (#)</w:t>
            </w: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40" w:type="dxa"/>
            <w:vAlign w:val="bottom"/>
          </w:tcPr>
          <w:p>
            <w:pPr>
              <w:ind w:left="80"/>
              <w:spacing w:after="0" w:line="78" w:lineRule="exact"/>
              <w:rPr>
                <w:sz w:val="20"/>
                <w:szCs w:val="20"/>
                <w:color w:val="auto"/>
              </w:rPr>
            </w:pPr>
            <w:r>
              <w:rPr>
                <w:rFonts w:ascii="Times New Roman" w:cs="Times New Roman" w:eastAsia="Times New Roman" w:hAnsi="Times New Roman"/>
                <w:sz w:val="8"/>
                <w:szCs w:val="8"/>
                <w:b w:val="1"/>
                <w:bCs w:val="1"/>
                <w:color w:val="auto"/>
              </w:rPr>
              <w:t>that have</w:t>
            </w:r>
          </w:p>
        </w:tc>
        <w:tc>
          <w:tcPr>
            <w:tcW w:w="8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b w:val="1"/>
                <w:bCs w:val="1"/>
                <w:color w:val="auto"/>
              </w:rPr>
              <w:t>other rights</w:t>
            </w: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vMerge w:val="restart"/>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not vested</w:t>
            </w:r>
          </w:p>
        </w:tc>
        <w:tc>
          <w:tcPr>
            <w:tcW w:w="880" w:type="dxa"/>
            <w:vAlign w:val="bottom"/>
            <w:vMerge w:val="restart"/>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that have</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not vested</w:t>
            </w:r>
          </w:p>
        </w:tc>
        <w:tc>
          <w:tcPr>
            <w:tcW w:w="0" w:type="dxa"/>
            <w:vAlign w:val="bottom"/>
          </w:tcPr>
          <w:p>
            <w:pPr>
              <w:spacing w:after="0"/>
              <w:rPr>
                <w:sz w:val="1"/>
                <w:szCs w:val="1"/>
                <w:color w:val="auto"/>
              </w:rPr>
            </w:pPr>
          </w:p>
        </w:tc>
      </w:tr>
      <w:tr>
        <w:trPr>
          <w:trHeight w:val="206"/>
        </w:trPr>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0"/>
              <w:spacing w:after="0" w:line="207"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Douglas</w:t>
            </w:r>
          </w:p>
        </w:tc>
        <w:tc>
          <w:tcPr>
            <w:tcW w:w="9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8/26/2021</w:t>
            </w:r>
          </w:p>
        </w:tc>
        <w:tc>
          <w:tcPr>
            <w:tcW w:w="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5"/>
                <w:szCs w:val="15"/>
                <w:color w:val="auto"/>
              </w:rPr>
              <w:t>(2)</w:t>
            </w:r>
          </w:p>
        </w:tc>
        <w:tc>
          <w:tcPr>
            <w:tcW w:w="9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10,094</w:t>
            </w:r>
          </w:p>
        </w:tc>
        <w:tc>
          <w:tcPr>
            <w:tcW w:w="114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5"/>
                <w:szCs w:val="15"/>
                <w:color w:val="auto"/>
              </w:rPr>
              <w:t>7,271</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Francis</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880" w:type="dxa"/>
            <w:vAlign w:val="bottom"/>
            <w:tcBorders>
              <w:top w:val="single" w:sz="8" w:color="CCEEFF"/>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Brian Camire</w:t>
            </w: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12/11/2021</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(8)</w:t>
            </w:r>
          </w:p>
        </w:tc>
        <w:tc>
          <w:tcPr>
            <w:tcW w:w="9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52,734</w:t>
            </w: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37,984</w:t>
            </w: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12/11/2021</w:t>
            </w:r>
          </w:p>
        </w:tc>
        <w:tc>
          <w:tcPr>
            <w:tcW w:w="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(6)</w:t>
            </w: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58,596</w:t>
            </w:r>
          </w:p>
        </w:tc>
        <w:tc>
          <w:tcPr>
            <w:tcW w:w="11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42,207</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9/30/2023</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(7)</w:t>
            </w:r>
          </w:p>
        </w:tc>
        <w:tc>
          <w:tcPr>
            <w:tcW w:w="9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600,846</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432,789</w:t>
            </w: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12/8/2020</w:t>
            </w:r>
          </w:p>
        </w:tc>
        <w:tc>
          <w:tcPr>
            <w:tcW w:w="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(10)</w:t>
            </w:r>
          </w:p>
        </w:tc>
        <w:tc>
          <w:tcPr>
            <w:tcW w:w="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185,933</w:t>
            </w:r>
          </w:p>
        </w:tc>
        <w:tc>
          <w:tcPr>
            <w:tcW w:w="1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61,976</w:t>
            </w:r>
          </w:p>
        </w:tc>
        <w:tc>
          <w:tcPr>
            <w:tcW w:w="108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11/12/2019</w:t>
            </w: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433,840</w:t>
            </w:r>
          </w:p>
        </w:tc>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16"/>
                <w:szCs w:val="16"/>
                <w:color w:val="auto"/>
              </w:rPr>
            </w:pP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8.03</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5"/>
                <w:szCs w:val="15"/>
                <w:color w:val="auto"/>
              </w:rPr>
              <w:t>Duncan</w:t>
            </w:r>
          </w:p>
        </w:tc>
        <w:tc>
          <w:tcPr>
            <w:tcW w:w="9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5"/>
                <w:szCs w:val="15"/>
                <w:color w:val="auto"/>
              </w:rPr>
              <w:t>3/1/2022</w:t>
            </w:r>
          </w:p>
        </w:tc>
        <w:tc>
          <w:tcPr>
            <w:tcW w:w="840" w:type="dxa"/>
            <w:vAlign w:val="bottom"/>
          </w:tcPr>
          <w:p>
            <w:pPr>
              <w:ind w:left="100"/>
              <w:spacing w:after="0" w:line="149" w:lineRule="exact"/>
              <w:rPr>
                <w:sz w:val="20"/>
                <w:szCs w:val="20"/>
                <w:color w:val="auto"/>
              </w:rPr>
            </w:pPr>
            <w:r>
              <w:rPr>
                <w:rFonts w:ascii="Times New Roman" w:cs="Times New Roman" w:eastAsia="Times New Roman" w:hAnsi="Times New Roman"/>
                <w:sz w:val="15"/>
                <w:szCs w:val="15"/>
                <w:color w:val="auto"/>
              </w:rPr>
              <w:t>(4)</w:t>
            </w: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29,353</w:t>
            </w:r>
          </w:p>
        </w:tc>
        <w:tc>
          <w:tcPr>
            <w:tcW w:w="1140" w:type="dxa"/>
            <w:vAlign w:val="bottom"/>
          </w:tcPr>
          <w:p>
            <w:pPr>
              <w:ind w:left="420"/>
              <w:spacing w:after="0" w:line="149" w:lineRule="exact"/>
              <w:rPr>
                <w:sz w:val="20"/>
                <w:szCs w:val="20"/>
                <w:color w:val="auto"/>
              </w:rPr>
            </w:pPr>
            <w:r>
              <w:rPr>
                <w:rFonts w:ascii="Times New Roman" w:cs="Times New Roman" w:eastAsia="Times New Roman" w:hAnsi="Times New Roman"/>
                <w:sz w:val="15"/>
                <w:szCs w:val="15"/>
                <w:color w:val="auto"/>
              </w:rPr>
              <w:t>21,143</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Grazier</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88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9/30/2023</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(5)</w:t>
            </w:r>
          </w:p>
        </w:tc>
        <w:tc>
          <w:tcPr>
            <w:tcW w:w="9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635,221</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457,550</w:t>
            </w: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8/30/2021</w:t>
            </w:r>
          </w:p>
        </w:tc>
        <w:tc>
          <w:tcPr>
            <w:tcW w:w="8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(3)</w:t>
            </w: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35,553</w:t>
            </w:r>
          </w:p>
        </w:tc>
        <w:tc>
          <w:tcPr>
            <w:tcW w:w="11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25,609</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12/8/2020</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(9)</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46,482</w:t>
            </w:r>
          </w:p>
        </w:tc>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15,495</w:t>
            </w:r>
          </w:p>
        </w:tc>
        <w:tc>
          <w:tcPr>
            <w:tcW w:w="1080" w:type="dxa"/>
            <w:vAlign w:val="bottom"/>
            <w:shd w:val="clear" w:color="auto" w:fill="CCEEFF"/>
          </w:tcPr>
          <w:p>
            <w:pPr>
              <w:spacing w:after="0"/>
              <w:rPr>
                <w:sz w:val="16"/>
                <w:szCs w:val="16"/>
                <w:color w:val="auto"/>
              </w:rPr>
            </w:pP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10</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80" w:type="dxa"/>
            <w:vAlign w:val="bottom"/>
            <w:shd w:val="clear" w:color="auto" w:fill="CCEEFF"/>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12/10/2019</w:t>
            </w:r>
          </w:p>
        </w:tc>
        <w:tc>
          <w:tcPr>
            <w:tcW w:w="840" w:type="dxa"/>
            <w:vAlign w:val="bottom"/>
          </w:tcPr>
          <w:p>
            <w:pPr>
              <w:spacing w:after="0"/>
              <w:rPr>
                <w:sz w:val="16"/>
                <w:szCs w:val="16"/>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61,977</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8.03</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118" w:lineRule="exact"/>
        <w:rPr>
          <w:sz w:val="20"/>
          <w:szCs w:val="20"/>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 value is based on the closing price of our common stock as of December 31, 2023 of $0.7203 per share.</w:t>
      </w:r>
    </w:p>
    <w:p>
      <w:pPr>
        <w:spacing w:after="0" w:line="33"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RSU award vests on June 16, 2024, subject to continued service with us.</w:t>
      </w:r>
    </w:p>
    <w:p>
      <w:pPr>
        <w:spacing w:after="0" w:line="27"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RSU award vests in seven equal quarterly installments beginning on February 15, 2024, subject to continued service with us.</w:t>
      </w:r>
    </w:p>
    <w:p>
      <w:pPr>
        <w:spacing w:after="0" w:line="27"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RSU award vests in nine equal quarterly installments beginning on February 15, 2024, subject to continued service with us.</w:t>
      </w:r>
    </w:p>
    <w:p>
      <w:pPr>
        <w:spacing w:after="0" w:line="33"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RSU award vests in eleven equal quarterly installments beginning on February 15, 2024, subject to continued service with us.</w:t>
      </w:r>
    </w:p>
    <w:p>
      <w:pPr>
        <w:spacing w:after="0" w:line="33"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RSU award vests in three equal quarterly installments beginning on February 15, 2024, subject to continued service with us.</w:t>
      </w:r>
    </w:p>
    <w:p>
      <w:pPr>
        <w:spacing w:after="0" w:line="27"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RSU award vests in eleven equal quarterly installments beginning on February 15, 2024, subject to continued service with us.</w:t>
      </w:r>
    </w:p>
    <w:p>
      <w:pPr>
        <w:spacing w:after="0" w:line="27" w:lineRule="exact"/>
        <w:rPr>
          <w:rFonts w:ascii="Times New Roman" w:cs="Times New Roman" w:eastAsia="Times New Roman" w:hAnsi="Times New Roman"/>
          <w:sz w:val="15"/>
          <w:szCs w:val="15"/>
          <w:color w:val="auto"/>
        </w:rPr>
      </w:pPr>
    </w:p>
    <w:p>
      <w:pPr>
        <w:jc w:val="both"/>
        <w:ind w:left="320" w:hanging="317"/>
        <w:spacing w:after="0" w:line="269" w:lineRule="auto"/>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Class P Unit award vests in four quarterly installments beginning on January 12, 2024, subject to continued service with us.</w:t>
      </w:r>
    </w:p>
    <w:p>
      <w:pPr>
        <w:spacing w:after="0" w:line="27" w:lineRule="exact"/>
        <w:rPr>
          <w:rFonts w:ascii="Times New Roman" w:cs="Times New Roman" w:eastAsia="Times New Roman" w:hAnsi="Times New Roman"/>
          <w:sz w:val="15"/>
          <w:szCs w:val="15"/>
          <w:color w:val="auto"/>
        </w:rPr>
      </w:pPr>
    </w:p>
    <w:p>
      <w:pPr>
        <w:ind w:left="320" w:hanging="317"/>
        <w:spacing w:after="0"/>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unvested Class P Unit award vests in four quarterly installments beginning on March 8, 2024, subject to continued service with us.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to Summary Compensation Table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7"/>
          <w:szCs w:val="17"/>
          <w:i w:val="1"/>
          <w:iCs w:val="1"/>
          <w:color w:val="auto"/>
        </w:rPr>
        <w:t>Executive Compensation – Compensation Elements</w:t>
      </w:r>
      <w:r>
        <w:rPr>
          <w:rFonts w:ascii="Times New Roman" w:cs="Times New Roman" w:eastAsia="Times New Roman" w:hAnsi="Times New Roman"/>
          <w:sz w:val="17"/>
          <w:szCs w:val="17"/>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Employment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our Named Executive Officers, have entered into an offer letter with Ghost Management Group, LLC, which provides for employment on an at-will basis.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Douglas Francis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Mr. Francis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Mr. Francis also is eligible to participate in the employee benefit plans generally available to our employees and maintained by 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Duncan Grazier</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Brian Camire</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 (iv) payment of group health insurance premiums for 12 months. Upon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22"/>
                <w:szCs w:val="22"/>
                <w:b w:val="1"/>
                <w:bCs w:val="1"/>
                <w:color w:val="auto"/>
                <w:vertAlign w:val="superscript"/>
              </w:rPr>
              <w:t>(1)</w:t>
            </w:r>
          </w:p>
        </w:tc>
        <w:tc>
          <w:tcPr>
            <w:tcW w:w="80" w:type="dxa"/>
            <w:vAlign w:val="bottom"/>
          </w:tcPr>
          <w:p>
            <w:pPr>
              <w:spacing w:after="0"/>
              <w:rPr>
                <w:sz w:val="17"/>
                <w:szCs w:val="17"/>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Triggering Event</w:t>
            </w:r>
          </w:p>
        </w:tc>
        <w:tc>
          <w:tcPr>
            <w:tcW w:w="12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Salary ($)</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Bonus ($)</w:t>
            </w:r>
          </w:p>
        </w:tc>
        <w:tc>
          <w:tcPr>
            <w:tcW w:w="12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Continued</w:t>
            </w:r>
          </w:p>
        </w:tc>
        <w:tc>
          <w:tcPr>
            <w:tcW w:w="164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Total ($)</w:t>
            </w:r>
          </w:p>
        </w:tc>
        <w:tc>
          <w:tcPr>
            <w:tcW w:w="0" w:type="dxa"/>
            <w:vAlign w:val="bottom"/>
          </w:tcPr>
          <w:p>
            <w:pPr>
              <w:spacing w:after="0"/>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640" w:type="dxa"/>
            <w:vAlign w:val="bottom"/>
          </w:tcPr>
          <w:p>
            <w:pPr>
              <w:ind w:left="240"/>
              <w:spacing w:after="0" w:line="168" w:lineRule="exact"/>
              <w:rPr>
                <w:sz w:val="20"/>
                <w:szCs w:val="20"/>
                <w:color w:val="auto"/>
              </w:rPr>
            </w:pPr>
            <w:r>
              <w:rPr>
                <w:rFonts w:ascii="Times New Roman" w:cs="Times New Roman" w:eastAsia="Times New Roman" w:hAnsi="Times New Roman"/>
                <w:sz w:val="15"/>
                <w:szCs w:val="15"/>
                <w:b w:val="1"/>
                <w:bCs w:val="1"/>
                <w:color w:val="auto"/>
              </w:rPr>
              <w:t>Acceleration ($)</w:t>
            </w:r>
            <w:r>
              <w:rPr>
                <w:rFonts w:ascii="Times New Roman" w:cs="Times New Roman" w:eastAsia="Times New Roman" w:hAnsi="Times New Roman"/>
                <w:sz w:val="19"/>
                <w:szCs w:val="19"/>
                <w:b w:val="1"/>
                <w:bCs w:val="1"/>
                <w:color w:val="auto"/>
                <w:vertAlign w:val="superscript"/>
              </w:rPr>
              <w:t>(2)</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140"/>
              <w:spacing w:after="0" w:line="167" w:lineRule="exact"/>
              <w:rPr>
                <w:sz w:val="20"/>
                <w:szCs w:val="20"/>
                <w:color w:val="auto"/>
              </w:rPr>
            </w:pPr>
            <w:r>
              <w:rPr>
                <w:rFonts w:ascii="Times New Roman" w:cs="Times New Roman" w:eastAsia="Times New Roman" w:hAnsi="Times New Roman"/>
                <w:sz w:val="17"/>
                <w:szCs w:val="17"/>
                <w:b w:val="1"/>
                <w:bCs w:val="1"/>
                <w:color w:val="auto"/>
              </w:rPr>
              <w:t>Benefits ($)</w:t>
            </w:r>
          </w:p>
        </w:tc>
        <w:tc>
          <w:tcPr>
            <w:tcW w:w="1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(3)</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Duncan Grazier</w:t>
            </w:r>
          </w:p>
        </w:tc>
        <w:tc>
          <w:tcPr>
            <w:tcW w:w="80" w:type="dxa"/>
            <w:vAlign w:val="bottom"/>
            <w:shd w:val="clear" w:color="auto" w:fill="CCEEFF"/>
          </w:tcPr>
          <w:p>
            <w:pPr>
              <w:spacing w:after="0"/>
              <w:rPr>
                <w:sz w:val="16"/>
                <w:szCs w:val="16"/>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Involuntary Termination (non-CIC)</w:t>
            </w:r>
          </w:p>
        </w:tc>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318,750</w:t>
            </w: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159,375</w:t>
            </w:r>
          </w:p>
        </w:tc>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24,151</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502,276</w:t>
            </w:r>
          </w:p>
        </w:tc>
        <w:tc>
          <w:tcPr>
            <w:tcW w:w="0" w:type="dxa"/>
            <w:vAlign w:val="bottom"/>
          </w:tcPr>
          <w:p>
            <w:pPr>
              <w:spacing w:after="0"/>
              <w:rPr>
                <w:sz w:val="1"/>
                <w:szCs w:val="1"/>
                <w:color w:val="auto"/>
              </w:rPr>
            </w:pPr>
          </w:p>
        </w:tc>
      </w:tr>
      <w:tr>
        <w:trPr>
          <w:trHeight w:val="147"/>
        </w:trPr>
        <w:tc>
          <w:tcPr>
            <w:tcW w:w="1160" w:type="dxa"/>
            <w:vAlign w:val="bottom"/>
            <w:tcBorders>
              <w:bottom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Involuntary Termination during CIC period</w:t>
            </w:r>
          </w:p>
        </w:tc>
        <w:tc>
          <w:tcPr>
            <w:tcW w:w="12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425,000</w:t>
            </w:r>
          </w:p>
        </w:tc>
        <w:tc>
          <w:tcPr>
            <w:tcW w:w="1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212,500</w:t>
            </w:r>
          </w:p>
        </w:tc>
        <w:tc>
          <w:tcPr>
            <w:tcW w:w="1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32,202</w:t>
            </w:r>
          </w:p>
        </w:tc>
        <w:tc>
          <w:tcPr>
            <w:tcW w:w="1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504,301</w:t>
            </w:r>
          </w:p>
        </w:tc>
        <w:tc>
          <w:tcPr>
            <w:tcW w:w="1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1,174,003</w:t>
            </w:r>
          </w:p>
        </w:tc>
        <w:tc>
          <w:tcPr>
            <w:tcW w:w="0" w:type="dxa"/>
            <w:vAlign w:val="bottom"/>
          </w:tcPr>
          <w:p>
            <w:pPr>
              <w:spacing w:after="0"/>
              <w:rPr>
                <w:sz w:val="1"/>
                <w:szCs w:val="1"/>
                <w:color w:val="auto"/>
              </w:rPr>
            </w:pPr>
          </w:p>
        </w:tc>
      </w:tr>
      <w:tr>
        <w:trPr>
          <w:trHeight w:val="147"/>
        </w:trPr>
        <w:tc>
          <w:tcPr>
            <w:tcW w:w="1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Brian Camire</w:t>
            </w:r>
          </w:p>
        </w:tc>
        <w:tc>
          <w:tcPr>
            <w:tcW w:w="80" w:type="dxa"/>
            <w:vAlign w:val="bottom"/>
            <w:shd w:val="clear" w:color="auto" w:fill="CCEEFF"/>
          </w:tcPr>
          <w:p>
            <w:pPr>
              <w:spacing w:after="0"/>
              <w:rPr>
                <w:sz w:val="16"/>
                <w:szCs w:val="16"/>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Involuntary Termination (non-CIC)</w:t>
            </w:r>
          </w:p>
        </w:tc>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307,500</w:t>
            </w:r>
          </w:p>
        </w:tc>
        <w:tc>
          <w:tcPr>
            <w:tcW w:w="1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153,750</w:t>
            </w:r>
          </w:p>
        </w:tc>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16,841</w:t>
            </w:r>
          </w:p>
        </w:tc>
        <w:tc>
          <w:tcPr>
            <w:tcW w:w="1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478,091</w:t>
            </w:r>
          </w:p>
        </w:tc>
        <w:tc>
          <w:tcPr>
            <w:tcW w:w="0" w:type="dxa"/>
            <w:vAlign w:val="bottom"/>
          </w:tcPr>
          <w:p>
            <w:pPr>
              <w:spacing w:after="0"/>
              <w:rPr>
                <w:sz w:val="1"/>
                <w:szCs w:val="1"/>
                <w:color w:val="auto"/>
              </w:rPr>
            </w:pPr>
          </w:p>
        </w:tc>
      </w:tr>
      <w:tr>
        <w:trPr>
          <w:trHeight w:val="147"/>
        </w:trPr>
        <w:tc>
          <w:tcPr>
            <w:tcW w:w="1160" w:type="dxa"/>
            <w:vAlign w:val="bottom"/>
            <w:tcBorders>
              <w:bottom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Involuntary Termination during CIC period</w:t>
            </w:r>
          </w:p>
        </w:tc>
        <w:tc>
          <w:tcPr>
            <w:tcW w:w="12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410,000</w:t>
            </w:r>
          </w:p>
        </w:tc>
        <w:tc>
          <w:tcPr>
            <w:tcW w:w="1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205,000</w:t>
            </w:r>
          </w:p>
        </w:tc>
        <w:tc>
          <w:tcPr>
            <w:tcW w:w="1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22,454</w:t>
            </w:r>
          </w:p>
        </w:tc>
        <w:tc>
          <w:tcPr>
            <w:tcW w:w="16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474,996</w:t>
            </w:r>
          </w:p>
        </w:tc>
        <w:tc>
          <w:tcPr>
            <w:tcW w:w="1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1,112,450</w:t>
            </w:r>
          </w:p>
        </w:tc>
        <w:tc>
          <w:tcPr>
            <w:tcW w:w="0" w:type="dxa"/>
            <w:vAlign w:val="bottom"/>
          </w:tcPr>
          <w:p>
            <w:pPr>
              <w:spacing w:after="0"/>
              <w:rPr>
                <w:sz w:val="1"/>
                <w:szCs w:val="1"/>
                <w:color w:val="auto"/>
              </w:rPr>
            </w:pPr>
          </w:p>
        </w:tc>
      </w:tr>
      <w:tr>
        <w:trPr>
          <w:trHeight w:val="147"/>
        </w:trPr>
        <w:tc>
          <w:tcPr>
            <w:tcW w:w="1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20" w:lineRule="exact"/>
        <w:rPr>
          <w:sz w:val="20"/>
          <w:szCs w:val="20"/>
          <w:color w:val="auto"/>
        </w:rPr>
      </w:pPr>
    </w:p>
    <w:p>
      <w:pPr>
        <w:ind w:left="320" w:hanging="317"/>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17"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spacing w:after="0" w:line="8"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Benefits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Named Executive Officers did not participate in, or otherwise receive any benefits under, any pension or retirement plan sponsored by us during 2023 other than the 401(k) Plan.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2023, we adopted our Incentive Compensation Recoupment Policy in compliance with requirements under the Dodd Frank Wall Street Reform and Consumer Protection Act and related Nasdaq listing rules.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 Compensation</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Non-Employee Director Compensation Policy was amended in 2023 with changes effective on 1/1/2023. The Non-Employee Director Compensation Policy that was effective for 2023 consisted of the following elements: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8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74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93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 of Non-Employee Director Compensation</w:t>
            </w:r>
          </w:p>
        </w:tc>
        <w:tc>
          <w:tcPr>
            <w:tcW w:w="274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Amount ($)</w:t>
            </w:r>
          </w:p>
        </w:tc>
      </w:tr>
      <w:tr>
        <w:trPr>
          <w:trHeight w:val="219"/>
        </w:trPr>
        <w:tc>
          <w:tcPr>
            <w:tcW w:w="8500" w:type="dxa"/>
            <w:vAlign w:val="bottom"/>
            <w:gridSpan w:val="2"/>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b w:val="1"/>
                <w:bCs w:val="1"/>
                <w:color w:val="auto"/>
              </w:rPr>
              <w:t>Annual Retainer for Board Membership</w:t>
            </w:r>
            <w:r>
              <w:rPr>
                <w:rFonts w:ascii="Times New Roman" w:cs="Times New Roman" w:eastAsia="Times New Roman" w:hAnsi="Times New Roman"/>
                <w:sz w:val="22"/>
                <w:szCs w:val="22"/>
                <w:b w:val="1"/>
                <w:bCs w:val="1"/>
                <w:color w:val="auto"/>
                <w:vertAlign w:val="superscript"/>
              </w:rPr>
              <w:t>(1)(2)</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19"/>
        </w:trPr>
        <w:tc>
          <w:tcPr>
            <w:tcW w:w="8500" w:type="dxa"/>
            <w:vAlign w:val="bottom"/>
            <w:gridSpan w:val="2"/>
          </w:tcPr>
          <w:p>
            <w:pPr>
              <w:ind w:left="320"/>
              <w:spacing w:after="0" w:line="219" w:lineRule="exact"/>
              <w:rPr>
                <w:sz w:val="20"/>
                <w:szCs w:val="20"/>
                <w:color w:val="auto"/>
              </w:rPr>
            </w:pPr>
            <w:r>
              <w:rPr>
                <w:rFonts w:ascii="Times New Roman" w:cs="Times New Roman" w:eastAsia="Times New Roman" w:hAnsi="Times New Roman"/>
                <w:sz w:val="17"/>
                <w:szCs w:val="17"/>
                <w:b w:val="1"/>
                <w:bCs w:val="1"/>
                <w:color w:val="auto"/>
              </w:rPr>
              <w:t>New Director Grant of RSUs for New Non-Employee Directors</w:t>
            </w:r>
            <w:r>
              <w:rPr>
                <w:rFonts w:ascii="Times New Roman" w:cs="Times New Roman" w:eastAsia="Times New Roman" w:hAnsi="Times New Roman"/>
                <w:sz w:val="22"/>
                <w:szCs w:val="22"/>
                <w:b w:val="1"/>
                <w:bCs w:val="1"/>
                <w:color w:val="auto"/>
                <w:vertAlign w:val="superscript"/>
              </w:rPr>
              <w:t>(3)(4)</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19"/>
        </w:trPr>
        <w:tc>
          <w:tcPr>
            <w:tcW w:w="8500" w:type="dxa"/>
            <w:vAlign w:val="bottom"/>
            <w:gridSpan w:val="2"/>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b w:val="1"/>
                <w:bCs w:val="1"/>
                <w:color w:val="auto"/>
              </w:rPr>
              <w:t>Initial Term Grants for Existing Non-Employee Directors</w:t>
            </w:r>
            <w:r>
              <w:rPr>
                <w:rFonts w:ascii="Times New Roman" w:cs="Times New Roman" w:eastAsia="Times New Roman" w:hAnsi="Times New Roman"/>
                <w:sz w:val="22"/>
                <w:szCs w:val="22"/>
                <w:b w:val="1"/>
                <w:bCs w:val="1"/>
                <w:color w:val="auto"/>
                <w:vertAlign w:val="superscript"/>
              </w:rPr>
              <w:t>(4)(5)</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19"/>
        </w:trPr>
        <w:tc>
          <w:tcPr>
            <w:tcW w:w="8500" w:type="dxa"/>
            <w:vAlign w:val="bottom"/>
            <w:gridSpan w:val="2"/>
          </w:tcPr>
          <w:p>
            <w:pPr>
              <w:ind w:left="320"/>
              <w:spacing w:after="0" w:line="219" w:lineRule="exact"/>
              <w:rPr>
                <w:sz w:val="20"/>
                <w:szCs w:val="20"/>
                <w:color w:val="auto"/>
              </w:rPr>
            </w:pPr>
            <w:r>
              <w:rPr>
                <w:rFonts w:ascii="Times New Roman" w:cs="Times New Roman" w:eastAsia="Times New Roman" w:hAnsi="Times New Roman"/>
                <w:sz w:val="17"/>
                <w:szCs w:val="17"/>
                <w:b w:val="1"/>
                <w:bCs w:val="1"/>
                <w:color w:val="auto"/>
              </w:rPr>
              <w:t>Annual RSU Grant for All Non-Employee Directors</w:t>
            </w:r>
            <w:r>
              <w:rPr>
                <w:rFonts w:ascii="Times New Roman" w:cs="Times New Roman" w:eastAsia="Times New Roman" w:hAnsi="Times New Roman"/>
                <w:sz w:val="22"/>
                <w:szCs w:val="22"/>
                <w:b w:val="1"/>
                <w:bCs w:val="1"/>
                <w:color w:val="auto"/>
                <w:vertAlign w:val="superscript"/>
              </w:rPr>
              <w:t>(5)(6)</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r>
      <w:tr>
        <w:trPr>
          <w:trHeight w:val="219"/>
        </w:trPr>
        <w:tc>
          <w:tcPr>
            <w:tcW w:w="8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Committee Additional Cash Retainer</w:t>
            </w:r>
          </w:p>
        </w:tc>
        <w:tc>
          <w:tcPr>
            <w:tcW w:w="2740" w:type="dxa"/>
            <w:vAlign w:val="bottom"/>
            <w:shd w:val="clear" w:color="auto" w:fill="CCEEFF"/>
          </w:tcPr>
          <w:p>
            <w:pPr>
              <w:spacing w:after="0"/>
              <w:rPr>
                <w:sz w:val="19"/>
                <w:szCs w:val="19"/>
                <w:color w:val="auto"/>
              </w:rPr>
            </w:pPr>
          </w:p>
        </w:tc>
      </w:tr>
      <w:tr>
        <w:trPr>
          <w:trHeight w:val="219"/>
        </w:trPr>
        <w:tc>
          <w:tcPr>
            <w:tcW w:w="8500" w:type="dxa"/>
            <w:vAlign w:val="bottom"/>
            <w:gridSpan w:val="2"/>
          </w:tcPr>
          <w:p>
            <w:pPr>
              <w:ind w:left="640"/>
              <w:spacing w:after="0" w:line="219" w:lineRule="exact"/>
              <w:rPr>
                <w:sz w:val="20"/>
                <w:szCs w:val="20"/>
                <w:color w:val="auto"/>
              </w:rPr>
            </w:pPr>
            <w:r>
              <w:rPr>
                <w:rFonts w:ascii="Times New Roman" w:cs="Times New Roman" w:eastAsia="Times New Roman" w:hAnsi="Times New Roman"/>
                <w:sz w:val="17"/>
                <w:szCs w:val="17"/>
                <w:color w:val="auto"/>
              </w:rPr>
              <w:t>Audit Committee Chairperson</w:t>
            </w:r>
            <w:r>
              <w:rPr>
                <w:rFonts w:ascii="Times New Roman" w:cs="Times New Roman" w:eastAsia="Times New Roman" w:hAnsi="Times New Roman"/>
                <w:sz w:val="22"/>
                <w:szCs w:val="22"/>
                <w:color w:val="auto"/>
                <w:vertAlign w:val="superscript"/>
              </w:rPr>
              <w:t>(1)(2)</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19"/>
        </w:trPr>
        <w:tc>
          <w:tcPr>
            <w:tcW w:w="8500" w:type="dxa"/>
            <w:vAlign w:val="bottom"/>
            <w:gridSpan w:val="2"/>
            <w:shd w:val="clear" w:color="auto" w:fill="CCEEFF"/>
          </w:tcPr>
          <w:p>
            <w:pPr>
              <w:ind w:left="640"/>
              <w:spacing w:after="0" w:line="219" w:lineRule="exact"/>
              <w:rPr>
                <w:sz w:val="20"/>
                <w:szCs w:val="20"/>
                <w:color w:val="auto"/>
              </w:rPr>
            </w:pPr>
            <w:r>
              <w:rPr>
                <w:rFonts w:ascii="Times New Roman" w:cs="Times New Roman" w:eastAsia="Times New Roman" w:hAnsi="Times New Roman"/>
                <w:sz w:val="17"/>
                <w:szCs w:val="17"/>
                <w:color w:val="auto"/>
              </w:rPr>
              <w:t>Audit Committee member (other than Chairperson)</w:t>
            </w:r>
            <w:r>
              <w:rPr>
                <w:rFonts w:ascii="Times New Roman" w:cs="Times New Roman" w:eastAsia="Times New Roman" w:hAnsi="Times New Roman"/>
                <w:sz w:val="22"/>
                <w:szCs w:val="22"/>
                <w:color w:val="auto"/>
                <w:vertAlign w:val="superscript"/>
              </w:rPr>
              <w:t>(1)(2)</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19"/>
        </w:trPr>
        <w:tc>
          <w:tcPr>
            <w:tcW w:w="8500" w:type="dxa"/>
            <w:vAlign w:val="bottom"/>
            <w:gridSpan w:val="2"/>
          </w:tcPr>
          <w:p>
            <w:pPr>
              <w:ind w:left="640"/>
              <w:spacing w:after="0" w:line="219" w:lineRule="exact"/>
              <w:rPr>
                <w:sz w:val="20"/>
                <w:szCs w:val="20"/>
                <w:color w:val="auto"/>
              </w:rPr>
            </w:pPr>
            <w:r>
              <w:rPr>
                <w:rFonts w:ascii="Times New Roman" w:cs="Times New Roman" w:eastAsia="Times New Roman" w:hAnsi="Times New Roman"/>
                <w:sz w:val="17"/>
                <w:szCs w:val="17"/>
                <w:color w:val="auto"/>
              </w:rPr>
              <w:t xml:space="preserve">Compensation Committee Chairperson </w:t>
            </w:r>
            <w:r>
              <w:rPr>
                <w:rFonts w:ascii="Times New Roman" w:cs="Times New Roman" w:eastAsia="Times New Roman" w:hAnsi="Times New Roman"/>
                <w:sz w:val="22"/>
                <w:szCs w:val="22"/>
                <w:color w:val="auto"/>
                <w:vertAlign w:val="superscript"/>
              </w:rPr>
              <w:t>(1)(2)</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19"/>
        </w:trPr>
        <w:tc>
          <w:tcPr>
            <w:tcW w:w="8500" w:type="dxa"/>
            <w:vAlign w:val="bottom"/>
            <w:gridSpan w:val="2"/>
            <w:shd w:val="clear" w:color="auto" w:fill="CCEEFF"/>
          </w:tcPr>
          <w:p>
            <w:pPr>
              <w:ind w:left="640"/>
              <w:spacing w:after="0" w:line="219" w:lineRule="exact"/>
              <w:rPr>
                <w:sz w:val="20"/>
                <w:szCs w:val="20"/>
                <w:color w:val="auto"/>
              </w:rPr>
            </w:pPr>
            <w:r>
              <w:rPr>
                <w:rFonts w:ascii="Times New Roman" w:cs="Times New Roman" w:eastAsia="Times New Roman" w:hAnsi="Times New Roman"/>
                <w:sz w:val="17"/>
                <w:szCs w:val="17"/>
                <w:color w:val="auto"/>
              </w:rPr>
              <w:t>Compensation Committee member (other than Chairperson)</w:t>
            </w:r>
            <w:r>
              <w:rPr>
                <w:rFonts w:ascii="Times New Roman" w:cs="Times New Roman" w:eastAsia="Times New Roman" w:hAnsi="Times New Roman"/>
                <w:sz w:val="22"/>
                <w:szCs w:val="22"/>
                <w:color w:val="auto"/>
                <w:vertAlign w:val="superscript"/>
              </w:rPr>
              <w:t>(1)(2)</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19"/>
        </w:trPr>
        <w:tc>
          <w:tcPr>
            <w:tcW w:w="8500" w:type="dxa"/>
            <w:vAlign w:val="bottom"/>
            <w:gridSpan w:val="2"/>
          </w:tcPr>
          <w:p>
            <w:pPr>
              <w:ind w:left="640"/>
              <w:spacing w:after="0" w:line="219" w:lineRule="exact"/>
              <w:rPr>
                <w:sz w:val="20"/>
                <w:szCs w:val="20"/>
                <w:color w:val="auto"/>
              </w:rPr>
            </w:pPr>
            <w:r>
              <w:rPr>
                <w:rFonts w:ascii="Times New Roman" w:cs="Times New Roman" w:eastAsia="Times New Roman" w:hAnsi="Times New Roman"/>
                <w:sz w:val="17"/>
                <w:szCs w:val="17"/>
                <w:color w:val="auto"/>
              </w:rPr>
              <w:t>Nominating and Corporate Governance Committee Chairperson</w:t>
            </w:r>
            <w:r>
              <w:rPr>
                <w:rFonts w:ascii="Times New Roman" w:cs="Times New Roman" w:eastAsia="Times New Roman" w:hAnsi="Times New Roman"/>
                <w:sz w:val="22"/>
                <w:szCs w:val="22"/>
                <w:color w:val="auto"/>
                <w:vertAlign w:val="superscript"/>
              </w:rPr>
              <w:t>(1)(2)</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19"/>
        </w:trPr>
        <w:tc>
          <w:tcPr>
            <w:tcW w:w="8500" w:type="dxa"/>
            <w:vAlign w:val="bottom"/>
            <w:gridSpan w:val="2"/>
            <w:shd w:val="clear" w:color="auto" w:fill="CCEEFF"/>
          </w:tcPr>
          <w:p>
            <w:pPr>
              <w:ind w:left="640"/>
              <w:spacing w:after="0" w:line="219" w:lineRule="exact"/>
              <w:rPr>
                <w:sz w:val="20"/>
                <w:szCs w:val="20"/>
                <w:color w:val="auto"/>
              </w:rPr>
            </w:pPr>
            <w:r>
              <w:rPr>
                <w:rFonts w:ascii="Times New Roman" w:cs="Times New Roman" w:eastAsia="Times New Roman" w:hAnsi="Times New Roman"/>
                <w:sz w:val="17"/>
                <w:szCs w:val="17"/>
                <w:color w:val="auto"/>
              </w:rPr>
              <w:t>Nominating and Corporate Governance Committee member (other than Chairperson)</w:t>
            </w:r>
            <w:r>
              <w:rPr>
                <w:rFonts w:ascii="Times New Roman" w:cs="Times New Roman" w:eastAsia="Times New Roman" w:hAnsi="Times New Roman"/>
                <w:sz w:val="22"/>
                <w:szCs w:val="22"/>
                <w:color w:val="auto"/>
                <w:vertAlign w:val="superscript"/>
              </w:rPr>
              <w:t>(1)(2)</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9"/>
        </w:trPr>
        <w:tc>
          <w:tcPr>
            <w:tcW w:w="8500" w:type="dxa"/>
            <w:vAlign w:val="bottom"/>
            <w:gridSpan w:val="2"/>
          </w:tcPr>
          <w:p>
            <w:pPr>
              <w:ind w:left="640"/>
              <w:spacing w:after="0" w:line="219" w:lineRule="exact"/>
              <w:rPr>
                <w:sz w:val="20"/>
                <w:szCs w:val="20"/>
                <w:color w:val="auto"/>
              </w:rPr>
            </w:pPr>
            <w:r>
              <w:rPr>
                <w:rFonts w:ascii="Times New Roman" w:cs="Times New Roman" w:eastAsia="Times New Roman" w:hAnsi="Times New Roman"/>
                <w:sz w:val="17"/>
                <w:szCs w:val="17"/>
                <w:color w:val="auto"/>
              </w:rPr>
              <w:t>Technology Committee Chairperson</w:t>
            </w:r>
            <w:r>
              <w:rPr>
                <w:rFonts w:ascii="Times New Roman" w:cs="Times New Roman" w:eastAsia="Times New Roman" w:hAnsi="Times New Roman"/>
                <w:sz w:val="22"/>
                <w:szCs w:val="22"/>
                <w:color w:val="auto"/>
                <w:vertAlign w:val="superscript"/>
              </w:rPr>
              <w:t>(1)(2)</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19"/>
        </w:trPr>
        <w:tc>
          <w:tcPr>
            <w:tcW w:w="8500" w:type="dxa"/>
            <w:vAlign w:val="bottom"/>
            <w:gridSpan w:val="2"/>
            <w:shd w:val="clear" w:color="auto" w:fill="CCEEFF"/>
          </w:tcPr>
          <w:p>
            <w:pPr>
              <w:ind w:left="640"/>
              <w:spacing w:after="0" w:line="219" w:lineRule="exact"/>
              <w:rPr>
                <w:sz w:val="20"/>
                <w:szCs w:val="20"/>
                <w:color w:val="auto"/>
              </w:rPr>
            </w:pPr>
            <w:r>
              <w:rPr>
                <w:rFonts w:ascii="Times New Roman" w:cs="Times New Roman" w:eastAsia="Times New Roman" w:hAnsi="Times New Roman"/>
                <w:sz w:val="17"/>
                <w:szCs w:val="17"/>
                <w:color w:val="auto"/>
              </w:rPr>
              <w:t>Technology Committee member (other than Chairperson)</w:t>
            </w:r>
            <w:r>
              <w:rPr>
                <w:rFonts w:ascii="Times New Roman" w:cs="Times New Roman" w:eastAsia="Times New Roman" w:hAnsi="Times New Roman"/>
                <w:sz w:val="22"/>
                <w:szCs w:val="22"/>
                <w:color w:val="auto"/>
                <w:vertAlign w:val="superscript"/>
              </w:rPr>
              <w:t>(1)(2)</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19"/>
        </w:trPr>
        <w:tc>
          <w:tcPr>
            <w:tcW w:w="8500" w:type="dxa"/>
            <w:vAlign w:val="bottom"/>
            <w:gridSpan w:val="2"/>
          </w:tcPr>
          <w:p>
            <w:pPr>
              <w:ind w:left="640"/>
              <w:spacing w:after="0" w:line="219" w:lineRule="exact"/>
              <w:rPr>
                <w:sz w:val="20"/>
                <w:szCs w:val="20"/>
                <w:color w:val="auto"/>
              </w:rPr>
            </w:pPr>
            <w:r>
              <w:rPr>
                <w:rFonts w:ascii="Times New Roman" w:cs="Times New Roman" w:eastAsia="Times New Roman" w:hAnsi="Times New Roman"/>
                <w:sz w:val="17"/>
                <w:szCs w:val="17"/>
                <w:color w:val="auto"/>
              </w:rPr>
              <w:t>Additional Annual Retainer for Chairperson of the Board (if a Non-Employee Director)</w:t>
            </w:r>
            <w:r>
              <w:rPr>
                <w:rFonts w:ascii="Times New Roman" w:cs="Times New Roman" w:eastAsia="Times New Roman" w:hAnsi="Times New Roman"/>
                <w:sz w:val="22"/>
                <w:szCs w:val="22"/>
                <w:color w:val="auto"/>
                <w:vertAlign w:val="superscript"/>
              </w:rPr>
              <w:t>(1)(2)</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w:t>
            </w:r>
          </w:p>
        </w:tc>
      </w:tr>
      <w:tr>
        <w:trPr>
          <w:trHeight w:val="219"/>
        </w:trPr>
        <w:tc>
          <w:tcPr>
            <w:tcW w:w="8500" w:type="dxa"/>
            <w:vAlign w:val="bottom"/>
            <w:gridSpan w:val="2"/>
            <w:shd w:val="clear" w:color="auto" w:fill="CCEEFF"/>
          </w:tcPr>
          <w:p>
            <w:pPr>
              <w:ind w:left="640"/>
              <w:spacing w:after="0" w:line="219" w:lineRule="exact"/>
              <w:rPr>
                <w:sz w:val="20"/>
                <w:szCs w:val="20"/>
                <w:color w:val="auto"/>
              </w:rPr>
            </w:pPr>
            <w:r>
              <w:rPr>
                <w:rFonts w:ascii="Times New Roman" w:cs="Times New Roman" w:eastAsia="Times New Roman" w:hAnsi="Times New Roman"/>
                <w:sz w:val="17"/>
                <w:szCs w:val="17"/>
                <w:color w:val="auto"/>
              </w:rPr>
              <w:t>Additional Annual Retainer for Lead Independent Director</w:t>
            </w:r>
            <w:r>
              <w:rPr>
                <w:rFonts w:ascii="Times New Roman" w:cs="Times New Roman" w:eastAsia="Times New Roman" w:hAnsi="Times New Roman"/>
                <w:sz w:val="22"/>
                <w:szCs w:val="22"/>
                <w:color w:val="auto"/>
                <w:vertAlign w:val="superscript"/>
              </w:rPr>
              <w:t>(1)(2)</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95"/>
        </w:trPr>
        <w:tc>
          <w:tcPr>
            <w:tcW w:w="85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Additional Meeting Fees for each Director</w:t>
            </w:r>
            <w:r>
              <w:rPr>
                <w:rFonts w:ascii="Times New Roman" w:cs="Times New Roman" w:eastAsia="Times New Roman" w:hAnsi="Times New Roman"/>
                <w:sz w:val="22"/>
                <w:szCs w:val="22"/>
                <w:color w:val="auto"/>
                <w:vertAlign w:val="superscript"/>
              </w:rPr>
              <w:t>(7)</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28" w:lineRule="exact"/>
        <w:rPr>
          <w:sz w:val="20"/>
          <w:szCs w:val="20"/>
          <w:color w:val="auto"/>
        </w:rPr>
      </w:pPr>
    </w:p>
    <w:p>
      <w:pPr>
        <w:ind w:left="320" w:hanging="317"/>
        <w:spacing w:after="0"/>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Non-Employee Director’s service occurred.</w:t>
      </w:r>
    </w:p>
    <w:p>
      <w:pPr>
        <w:spacing w:after="0" w:line="11" w:lineRule="exact"/>
        <w:rPr>
          <w:rFonts w:ascii="Times New Roman" w:cs="Times New Roman" w:eastAsia="Times New Roman" w:hAnsi="Times New Roman"/>
          <w:sz w:val="14"/>
          <w:szCs w:val="14"/>
          <w:color w:val="auto"/>
        </w:rPr>
      </w:pPr>
    </w:p>
    <w:p>
      <w:pPr>
        <w:ind w:left="320" w:hanging="317"/>
        <w:spacing w:after="0" w:line="279" w:lineRule="auto"/>
        <w:tabs>
          <w:tab w:leader="none" w:pos="3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jc w:val="both"/>
        <w:ind w:left="320" w:hanging="317"/>
        <w:spacing w:after="0" w:line="249" w:lineRule="auto"/>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3" w:lineRule="exact"/>
        <w:rPr>
          <w:rFonts w:ascii="Times New Roman" w:cs="Times New Roman" w:eastAsia="Times New Roman" w:hAnsi="Times New Roman"/>
          <w:sz w:val="14"/>
          <w:szCs w:val="14"/>
          <w:color w:val="auto"/>
        </w:rPr>
      </w:pPr>
    </w:p>
    <w:p>
      <w:pPr>
        <w:jc w:val="both"/>
        <w:ind w:left="320" w:hanging="317"/>
        <w:spacing w:after="0" w:line="249" w:lineRule="auto"/>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4" w:lineRule="exact"/>
        <w:rPr>
          <w:rFonts w:ascii="Times New Roman" w:cs="Times New Roman" w:eastAsia="Times New Roman" w:hAnsi="Times New Roman"/>
          <w:sz w:val="14"/>
          <w:szCs w:val="14"/>
          <w:color w:val="auto"/>
        </w:rPr>
      </w:pPr>
    </w:p>
    <w:p>
      <w:pPr>
        <w:jc w:val="both"/>
        <w:ind w:left="320" w:hanging="317"/>
        <w:spacing w:after="0" w:line="252" w:lineRule="auto"/>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7" w:lineRule="exact"/>
        <w:rPr>
          <w:rFonts w:ascii="Times New Roman" w:cs="Times New Roman" w:eastAsia="Times New Roman" w:hAnsi="Times New Roman"/>
          <w:sz w:val="14"/>
          <w:szCs w:val="14"/>
          <w:color w:val="auto"/>
        </w:rPr>
      </w:pPr>
    </w:p>
    <w:p>
      <w:pPr>
        <w:jc w:val="both"/>
        <w:ind w:left="320" w:hanging="317"/>
        <w:spacing w:after="0" w:line="249" w:lineRule="auto"/>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 w:lineRule="exact"/>
        <w:rPr>
          <w:rFonts w:ascii="Times New Roman" w:cs="Times New Roman" w:eastAsia="Times New Roman" w:hAnsi="Times New Roman"/>
          <w:sz w:val="14"/>
          <w:szCs w:val="14"/>
          <w:color w:val="auto"/>
        </w:rPr>
      </w:pPr>
    </w:p>
    <w:p>
      <w:pPr>
        <w:jc w:val="both"/>
        <w:ind w:left="320" w:hanging="317"/>
        <w:spacing w:after="0" w:line="262" w:lineRule="auto"/>
        <w:tabs>
          <w:tab w:leader="none" w:pos="3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8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shows certain information with respect to the compensation of all non-employee directors of the Company in 2023. These amounts reflect our accounting expense for these RSUs, as further described in the footnotes to the table, and do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represent the actual economic value that was realized in 2023 or may be realized upon vesting by the non-employee director.</w:t>
      </w:r>
    </w:p>
    <w:p>
      <w:pPr>
        <w:sectPr>
          <w:pgSz w:w="11900" w:h="16838" w:orient="portrait"/>
          <w:cols w:equalWidth="0" w:num="1">
            <w:col w:w="11240"/>
          </w:cols>
          <w:pgMar w:left="320" w:top="226" w:right="339" w:bottom="1440" w:gutter="0" w:footer="0" w:header="0"/>
        </w:sectPr>
      </w:pP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24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Nonqualified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1880" w:type="dxa"/>
            <w:vAlign w:val="bottom"/>
            <w:vMerge w:val="restart"/>
          </w:tcPr>
          <w:p>
            <w:pPr>
              <w:jc w:val="center"/>
              <w:ind w:left="434"/>
              <w:spacing w:after="0"/>
              <w:rPr>
                <w:sz w:val="20"/>
                <w:szCs w:val="20"/>
                <w:color w:val="auto"/>
              </w:rPr>
            </w:pPr>
            <w:r>
              <w:rPr>
                <w:rFonts w:ascii="Times New Roman" w:cs="Times New Roman" w:eastAsia="Times New Roman" w:hAnsi="Times New Roman"/>
                <w:sz w:val="17"/>
                <w:szCs w:val="17"/>
                <w:b w:val="1"/>
                <w:bCs w:val="1"/>
                <w:color w:val="auto"/>
              </w:rPr>
              <w:t>Fees Earned or</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660" w:type="dxa"/>
            <w:vAlign w:val="bottom"/>
            <w:vMerge w:val="continue"/>
          </w:tcPr>
          <w:p>
            <w:pPr>
              <w:spacing w:after="0"/>
              <w:rPr>
                <w:sz w:val="14"/>
                <w:szCs w:val="14"/>
                <w:color w:val="auto"/>
              </w:rPr>
            </w:pPr>
          </w:p>
        </w:tc>
        <w:tc>
          <w:tcPr>
            <w:tcW w:w="1240" w:type="dxa"/>
            <w:vAlign w:val="bottom"/>
          </w:tcPr>
          <w:p>
            <w:pPr>
              <w:jc w:val="center"/>
              <w:ind w:left="134"/>
              <w:spacing w:after="0" w:line="167" w:lineRule="exact"/>
              <w:rPr>
                <w:sz w:val="20"/>
                <w:szCs w:val="20"/>
                <w:color w:val="auto"/>
              </w:rPr>
            </w:pPr>
            <w:r>
              <w:rPr>
                <w:rFonts w:ascii="Times New Roman" w:cs="Times New Roman" w:eastAsia="Times New Roman" w:hAnsi="Times New Roman"/>
                <w:sz w:val="17"/>
                <w:szCs w:val="17"/>
                <w:b w:val="1"/>
                <w:bCs w:val="1"/>
                <w:color w:val="auto"/>
                <w:w w:val="99"/>
              </w:rPr>
              <w:t>deferred</w:t>
            </w:r>
          </w:p>
        </w:tc>
        <w:tc>
          <w:tcPr>
            <w:tcW w:w="0" w:type="dxa"/>
            <w:vAlign w:val="bottom"/>
          </w:tcPr>
          <w:p>
            <w:pPr>
              <w:spacing w:after="0"/>
              <w:rPr>
                <w:sz w:val="1"/>
                <w:szCs w:val="1"/>
                <w:color w:val="auto"/>
              </w:rPr>
            </w:pPr>
          </w:p>
        </w:tc>
      </w:tr>
      <w:tr>
        <w:trPr>
          <w:trHeight w:val="180"/>
        </w:trPr>
        <w:tc>
          <w:tcPr>
            <w:tcW w:w="1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incentive plan</w:t>
            </w:r>
          </w:p>
        </w:tc>
        <w:tc>
          <w:tcPr>
            <w:tcW w:w="1240" w:type="dxa"/>
            <w:vAlign w:val="bottom"/>
          </w:tcPr>
          <w:p>
            <w:pPr>
              <w:jc w:val="center"/>
              <w:ind w:left="134"/>
              <w:spacing w:after="0" w:line="181"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219"/>
        </w:trPr>
        <w:tc>
          <w:tcPr>
            <w:tcW w:w="1020" w:type="dxa"/>
            <w:vAlign w:val="bottom"/>
            <w:vMerge w:val="continue"/>
          </w:tcPr>
          <w:p>
            <w:pPr>
              <w:spacing w:after="0"/>
              <w:rPr>
                <w:sz w:val="19"/>
                <w:szCs w:val="19"/>
                <w:color w:val="auto"/>
              </w:rPr>
            </w:pPr>
          </w:p>
        </w:tc>
        <w:tc>
          <w:tcPr>
            <w:tcW w:w="1880" w:type="dxa"/>
            <w:vAlign w:val="bottom"/>
          </w:tcPr>
          <w:p>
            <w:pPr>
              <w:jc w:val="center"/>
              <w:ind w:left="414"/>
              <w:spacing w:after="0"/>
              <w:rPr>
                <w:sz w:val="20"/>
                <w:szCs w:val="20"/>
                <w:color w:val="auto"/>
              </w:rPr>
            </w:pPr>
            <w:r>
              <w:rPr>
                <w:rFonts w:ascii="Times New Roman" w:cs="Times New Roman" w:eastAsia="Times New Roman" w:hAnsi="Times New Roman"/>
                <w:sz w:val="17"/>
                <w:szCs w:val="17"/>
                <w:b w:val="1"/>
                <w:bCs w:val="1"/>
                <w:color w:val="auto"/>
              </w:rPr>
              <w:t>Paid in Cash ($)</w:t>
            </w:r>
          </w:p>
        </w:tc>
        <w:tc>
          <w:tcPr>
            <w:tcW w:w="1240" w:type="dxa"/>
            <w:vAlign w:val="bottom"/>
          </w:tcPr>
          <w:p>
            <w:pPr>
              <w:jc w:val="center"/>
              <w:ind w:right="333"/>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awards ($)</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w:t>
            </w:r>
          </w:p>
        </w:tc>
        <w:tc>
          <w:tcPr>
            <w:tcW w:w="124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earnings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All Other</w:t>
      </w:r>
    </w:p>
    <w:p>
      <w:pPr>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compensation ($)</w:t>
      </w:r>
      <w:r>
        <w:rPr>
          <w:rFonts w:ascii="Times New Roman" w:cs="Times New Roman" w:eastAsia="Times New Roman" w:hAnsi="Times New Roman"/>
          <w:sz w:val="22"/>
          <w:szCs w:val="22"/>
          <w:b w:val="1"/>
          <w:bCs w:val="1"/>
          <w:color w:val="auto"/>
          <w:vertAlign w:val="superscript"/>
        </w:rPr>
        <w:t>(4)</w:t>
      </w:r>
      <w:r>
        <w:rPr>
          <w:sz w:val="20"/>
          <w:szCs w:val="20"/>
          <w:color w:val="auto"/>
        </w:rPr>
        <w:tab/>
      </w:r>
      <w:r>
        <w:rPr>
          <w:rFonts w:ascii="Times New Roman" w:cs="Times New Roman" w:eastAsia="Times New Roman" w:hAnsi="Times New Roman"/>
          <w:sz w:val="16"/>
          <w:szCs w:val="16"/>
          <w:b w:val="1"/>
          <w:bCs w:val="1"/>
          <w:color w:val="auto"/>
        </w:rPr>
        <w:t>Total ($)</w:t>
      </w:r>
    </w:p>
    <w:p>
      <w:pPr>
        <w:spacing w:after="0" w:line="1" w:lineRule="exact"/>
        <w:rPr>
          <w:sz w:val="20"/>
          <w:szCs w:val="20"/>
          <w:color w:val="auto"/>
        </w:rPr>
      </w:pPr>
    </w:p>
    <w:p>
      <w:pPr>
        <w:sectPr>
          <w:pgSz w:w="11900" w:h="16838" w:orient="portrait"/>
          <w:cols w:equalWidth="0" w:num="2">
            <w:col w:w="8140" w:space="420"/>
            <w:col w:w="268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Tony Aquila</w:t>
            </w:r>
          </w:p>
        </w:tc>
        <w:tc>
          <w:tcPr>
            <w:tcW w:w="1420" w:type="dxa"/>
            <w:vAlign w:val="bottom"/>
            <w:tcBorders>
              <w:top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65,000</w:t>
            </w:r>
          </w:p>
        </w:tc>
        <w:tc>
          <w:tcPr>
            <w:tcW w:w="1360" w:type="dxa"/>
            <w:vAlign w:val="bottom"/>
            <w:tcBorders>
              <w:top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600,364</w:t>
            </w:r>
          </w:p>
        </w:tc>
        <w:tc>
          <w:tcPr>
            <w:tcW w:w="13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35,297</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700,661</w:t>
            </w:r>
          </w:p>
        </w:tc>
      </w:tr>
      <w:tr>
        <w:trPr>
          <w:trHeight w:val="203"/>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Anthony Bay</w:t>
            </w:r>
          </w:p>
        </w:tc>
        <w:tc>
          <w:tcPr>
            <w:tcW w:w="1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122,500</w:t>
            </w:r>
          </w:p>
        </w:tc>
        <w:tc>
          <w:tcPr>
            <w:tcW w:w="136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394,114</w:t>
            </w:r>
          </w:p>
        </w:tc>
        <w:tc>
          <w:tcPr>
            <w:tcW w:w="13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516,614</w:t>
            </w:r>
          </w:p>
        </w:tc>
      </w:tr>
      <w:tr>
        <w:trPr>
          <w:trHeight w:val="209"/>
        </w:trPr>
        <w:tc>
          <w:tcPr>
            <w:tcW w:w="17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Douglas Francis</w:t>
            </w:r>
            <w:r>
              <w:rPr>
                <w:rFonts w:ascii="Times New Roman" w:cs="Times New Roman" w:eastAsia="Times New Roman" w:hAnsi="Times New Roman"/>
                <w:sz w:val="20"/>
                <w:szCs w:val="20"/>
                <w:color w:val="auto"/>
                <w:vertAlign w:val="superscript"/>
              </w:rPr>
              <w:t>(5)</w:t>
            </w:r>
          </w:p>
        </w:tc>
        <w:tc>
          <w:tcPr>
            <w:tcW w:w="1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37,768</w:t>
            </w:r>
          </w:p>
        </w:tc>
        <w:tc>
          <w:tcPr>
            <w:tcW w:w="136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30,905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68,673</w:t>
            </w:r>
          </w:p>
        </w:tc>
      </w:tr>
      <w:tr>
        <w:trPr>
          <w:trHeight w:val="203"/>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Brenda Freeman</w:t>
            </w:r>
          </w:p>
        </w:tc>
        <w:tc>
          <w:tcPr>
            <w:tcW w:w="1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183,000</w:t>
            </w:r>
          </w:p>
        </w:tc>
        <w:tc>
          <w:tcPr>
            <w:tcW w:w="136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500,363</w:t>
            </w:r>
          </w:p>
        </w:tc>
        <w:tc>
          <w:tcPr>
            <w:tcW w:w="13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26,775</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710,138</w:t>
            </w:r>
          </w:p>
        </w:tc>
      </w:tr>
      <w:tr>
        <w:trPr>
          <w:trHeight w:val="20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Olga Gonzalez</w:t>
            </w:r>
          </w:p>
        </w:tc>
        <w:tc>
          <w:tcPr>
            <w:tcW w:w="1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120,000</w:t>
            </w:r>
          </w:p>
        </w:tc>
        <w:tc>
          <w:tcPr>
            <w:tcW w:w="136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500,363</w:t>
            </w:r>
          </w:p>
        </w:tc>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27,073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647,436</w:t>
            </w:r>
          </w:p>
        </w:tc>
      </w:tr>
      <w:tr>
        <w:trPr>
          <w:trHeight w:val="203"/>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Scott Gordon</w:t>
            </w:r>
          </w:p>
        </w:tc>
        <w:tc>
          <w:tcPr>
            <w:tcW w:w="142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97,500</w:t>
            </w:r>
          </w:p>
        </w:tc>
        <w:tc>
          <w:tcPr>
            <w:tcW w:w="136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187,864</w:t>
            </w:r>
          </w:p>
        </w:tc>
        <w:tc>
          <w:tcPr>
            <w:tcW w:w="13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37,964</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323,328</w:t>
            </w:r>
          </w:p>
        </w:tc>
      </w:tr>
      <w:tr>
        <w:trPr>
          <w:trHeight w:val="209"/>
        </w:trPr>
        <w:tc>
          <w:tcPr>
            <w:tcW w:w="17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Justin Hartfield</w:t>
            </w:r>
            <w:r>
              <w:rPr>
                <w:rFonts w:ascii="Times New Roman" w:cs="Times New Roman" w:eastAsia="Times New Roman" w:hAnsi="Times New Roman"/>
                <w:sz w:val="20"/>
                <w:szCs w:val="20"/>
                <w:color w:val="auto"/>
                <w:vertAlign w:val="superscript"/>
              </w:rPr>
              <w:t>(3)</w:t>
            </w:r>
          </w:p>
        </w:tc>
        <w:tc>
          <w:tcPr>
            <w:tcW w:w="1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35,000</w:t>
            </w:r>
          </w:p>
        </w:tc>
        <w:tc>
          <w:tcPr>
            <w:tcW w:w="136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rPr>
              <w:t>33,684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68,684</w:t>
            </w:r>
          </w:p>
        </w:tc>
      </w:tr>
      <w:tr>
        <w:trPr>
          <w:trHeight w:val="203"/>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Fiona Tan</w:t>
            </w:r>
          </w:p>
        </w:tc>
        <w:tc>
          <w:tcPr>
            <w:tcW w:w="14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122,000</w:t>
            </w:r>
          </w:p>
        </w:tc>
        <w:tc>
          <w:tcPr>
            <w:tcW w:w="13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color w:val="auto"/>
              </w:rPr>
              <w:t>394,114</w:t>
            </w: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rPr>
              <w:t>36,550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552,664</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28" w:lineRule="exact"/>
        <w:rPr>
          <w:sz w:val="20"/>
          <w:szCs w:val="20"/>
          <w:color w:val="auto"/>
        </w:rPr>
      </w:pPr>
    </w:p>
    <w:p>
      <w:pPr>
        <w:ind w:left="320" w:hanging="317"/>
        <w:spacing w:after="0"/>
        <w:tabs>
          <w:tab w:leader="none" w:pos="3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shows, for each named individual, the aggregate shares under stock awards and the aggregate shares underlying option awards held by that individual as of December 31, 2023.</w:t>
      </w:r>
    </w:p>
    <w:p>
      <w:pPr>
        <w:spacing w:after="0" w:line="23" w:lineRule="exact"/>
        <w:rPr>
          <w:rFonts w:ascii="Times New Roman" w:cs="Times New Roman" w:eastAsia="Times New Roman" w:hAnsi="Times New Roman"/>
          <w:sz w:val="13"/>
          <w:szCs w:val="13"/>
          <w:color w:val="auto"/>
        </w:rPr>
      </w:pPr>
    </w:p>
    <w:p>
      <w:pPr>
        <w:jc w:val="both"/>
        <w:ind w:left="320" w:hanging="317"/>
        <w:spacing w:after="0" w:line="254" w:lineRule="auto"/>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financial statements included in our Annual Report on Form 10-K for the year ended December 31, 2023.</w:t>
      </w:r>
    </w:p>
    <w:p>
      <w:pPr>
        <w:spacing w:after="0" w:line="1"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19"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9"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7"/>
                <w:szCs w:val="17"/>
                <w:color w:val="auto"/>
              </w:rPr>
            </w:pPr>
          </w:p>
        </w:tc>
        <w:tc>
          <w:tcPr>
            <w:tcW w:w="6300" w:type="dxa"/>
            <w:vAlign w:val="bottom"/>
          </w:tcPr>
          <w:p>
            <w:pPr>
              <w:jc w:val="center"/>
              <w:ind w:left="3580"/>
              <w:spacing w:after="0"/>
              <w:rPr>
                <w:sz w:val="20"/>
                <w:szCs w:val="20"/>
                <w:color w:val="auto"/>
              </w:rPr>
            </w:pPr>
            <w:r>
              <w:rPr>
                <w:rFonts w:ascii="Times New Roman" w:cs="Times New Roman" w:eastAsia="Times New Roman" w:hAnsi="Times New Roman"/>
                <w:sz w:val="17"/>
                <w:szCs w:val="17"/>
                <w:b w:val="1"/>
                <w:bCs w:val="1"/>
                <w:color w:val="auto"/>
                <w:w w:val="99"/>
              </w:rPr>
              <w:t>Aggregate Stock Awards</w:t>
            </w:r>
          </w:p>
        </w:tc>
        <w:tc>
          <w:tcPr>
            <w:tcW w:w="0" w:type="dxa"/>
            <w:vAlign w:val="bottom"/>
          </w:tcPr>
          <w:p>
            <w:pPr>
              <w:spacing w:after="0"/>
              <w:rPr>
                <w:sz w:val="1"/>
                <w:szCs w:val="1"/>
                <w:color w:val="auto"/>
              </w:rPr>
            </w:pPr>
          </w:p>
        </w:tc>
      </w:tr>
      <w:tr>
        <w:trPr>
          <w:trHeight w:val="168"/>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300" w:type="dxa"/>
            <w:vAlign w:val="bottom"/>
          </w:tcPr>
          <w:p>
            <w:pPr>
              <w:jc w:val="center"/>
              <w:ind w:left="3600"/>
              <w:spacing w:after="0" w:line="167" w:lineRule="exact"/>
              <w:rPr>
                <w:sz w:val="20"/>
                <w:szCs w:val="20"/>
                <w:color w:val="auto"/>
              </w:rPr>
            </w:pPr>
            <w:r>
              <w:rPr>
                <w:rFonts w:ascii="Times New Roman" w:cs="Times New Roman" w:eastAsia="Times New Roman" w:hAnsi="Times New Roman"/>
                <w:sz w:val="17"/>
                <w:szCs w:val="17"/>
                <w:b w:val="1"/>
                <w:bCs w:val="1"/>
                <w:color w:val="auto"/>
              </w:rPr>
              <w:t>Outstanding as of December 31,</w:t>
            </w:r>
          </w:p>
        </w:tc>
        <w:tc>
          <w:tcPr>
            <w:tcW w:w="0" w:type="dxa"/>
            <w:vAlign w:val="bottom"/>
          </w:tcPr>
          <w:p>
            <w:pPr>
              <w:spacing w:after="0"/>
              <w:rPr>
                <w:sz w:val="1"/>
                <w:szCs w:val="1"/>
                <w:color w:val="auto"/>
              </w:rPr>
            </w:pPr>
          </w:p>
        </w:tc>
      </w:tr>
      <w:tr>
        <w:trPr>
          <w:trHeight w:val="232"/>
        </w:trPr>
        <w:tc>
          <w:tcPr>
            <w:tcW w:w="4940" w:type="dxa"/>
            <w:vAlign w:val="bottom"/>
            <w:tcBorders>
              <w:bottom w:val="single" w:sz="8" w:color="auto"/>
            </w:tcBorders>
            <w:vMerge w:val="continue"/>
          </w:tcPr>
          <w:p>
            <w:pPr>
              <w:spacing w:after="0"/>
              <w:rPr>
                <w:sz w:val="20"/>
                <w:szCs w:val="20"/>
                <w:color w:val="auto"/>
              </w:rPr>
            </w:pPr>
          </w:p>
        </w:tc>
        <w:tc>
          <w:tcPr>
            <w:tcW w:w="6300" w:type="dxa"/>
            <w:vAlign w:val="bottom"/>
            <w:tcBorders>
              <w:bottom w:val="single" w:sz="8" w:color="auto"/>
            </w:tcBorders>
          </w:tcPr>
          <w:p>
            <w:pPr>
              <w:jc w:val="center"/>
              <w:ind w:left="3600"/>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Tony Aquila</w:t>
            </w:r>
          </w:p>
        </w:tc>
        <w:tc>
          <w:tcPr>
            <w:tcW w:w="6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548,582</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Anthony Bay</w:t>
            </w:r>
          </w:p>
        </w:tc>
        <w:tc>
          <w:tcPr>
            <w:tcW w:w="6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432,743</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Douglas Francis</w:t>
            </w:r>
            <w:r>
              <w:rPr>
                <w:rFonts w:ascii="Times New Roman" w:cs="Times New Roman" w:eastAsia="Times New Roman" w:hAnsi="Times New Roman"/>
                <w:sz w:val="20"/>
                <w:szCs w:val="20"/>
                <w:color w:val="auto"/>
                <w:vertAlign w:val="superscript"/>
              </w:rPr>
              <w:t>(2)</w:t>
            </w:r>
          </w:p>
        </w:tc>
        <w:tc>
          <w:tcPr>
            <w:tcW w:w="6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10,094</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Brenda Freeman</w:t>
            </w:r>
          </w:p>
        </w:tc>
        <w:tc>
          <w:tcPr>
            <w:tcW w:w="6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472,824</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Olga Gonzalez</w:t>
            </w:r>
          </w:p>
        </w:tc>
        <w:tc>
          <w:tcPr>
            <w:tcW w:w="6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472,824</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Scott Gordon</w:t>
            </w:r>
          </w:p>
        </w:tc>
        <w:tc>
          <w:tcPr>
            <w:tcW w:w="6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236,082</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Justin Hartfield</w:t>
            </w:r>
            <w:r>
              <w:rPr>
                <w:rFonts w:ascii="Times New Roman" w:cs="Times New Roman" w:eastAsia="Times New Roman" w:hAnsi="Times New Roman"/>
                <w:sz w:val="20"/>
                <w:szCs w:val="20"/>
                <w:color w:val="auto"/>
                <w:vertAlign w:val="superscript"/>
              </w:rPr>
              <w:t>(1)</w:t>
            </w:r>
          </w:p>
        </w:tc>
        <w:tc>
          <w:tcPr>
            <w:tcW w:w="6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Fiona Tan</w:t>
            </w:r>
          </w:p>
        </w:tc>
        <w:tc>
          <w:tcPr>
            <w:tcW w:w="6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392,332</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28" w:lineRule="exact"/>
        <w:rPr>
          <w:sz w:val="20"/>
          <w:szCs w:val="20"/>
          <w:color w:val="auto"/>
        </w:rPr>
      </w:pPr>
    </w:p>
    <w:p>
      <w:pPr>
        <w:ind w:left="320" w:hanging="317"/>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on August 9, 2023.</w:t>
      </w:r>
    </w:p>
    <w:p>
      <w:pPr>
        <w:spacing w:after="0" w:line="11" w:lineRule="exact"/>
        <w:rPr>
          <w:rFonts w:ascii="Times New Roman" w:cs="Times New Roman" w:eastAsia="Times New Roman" w:hAnsi="Times New Roman"/>
          <w:sz w:val="14"/>
          <w:szCs w:val="14"/>
          <w:color w:val="auto"/>
        </w:rPr>
      </w:pPr>
    </w:p>
    <w:p>
      <w:pPr>
        <w:ind w:left="320" w:hanging="317"/>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319" w:lineRule="auto"/>
        <w:rPr>
          <w:sz w:val="20"/>
          <w:szCs w:val="20"/>
          <w:color w:val="auto"/>
        </w:rPr>
      </w:pPr>
      <w:r>
        <w:rPr>
          <w:rFonts w:ascii="Times New Roman" w:cs="Times New Roman" w:eastAsia="Times New Roman" w:hAnsi="Times New Roman"/>
          <w:sz w:val="17"/>
          <w:szCs w:val="17"/>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7"/>
          <w:szCs w:val="17"/>
          <w:color w:val="auto"/>
        </w:rPr>
        <w:t>The following table sets forth information known to us regarding the beneficial ownership of our Common Stock as of May 13, 2024, by</w:t>
      </w:r>
    </w:p>
    <w:p>
      <w:pPr>
        <w:ind w:left="620" w:hanging="307"/>
        <w:spacing w:after="0" w:line="284"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by us to be the beneficial owner of more than 5% of the outstanding shares of our Class A Common Stock and Class V Common Stock;</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current Named Executive Officers and directors;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current executive officers and directors, as a group.</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beneficial ownership percentages set forth in the table below are based on 150,538,096 shares of our Class A Common Stock and Class V Common Stock issued and outstanding as of May 13, 2024 and do not take into account the issuance of any shares of Class A Common Stock upon (i) the exercise of 19,499,973 Warrants to purchase an aggregate of 19,499,973 shares of Class A Common Stock or (ii) the exchange of 14,679,507 Class P Units for up to 14,679,507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2"/>
        </w:trPr>
        <w:tc>
          <w:tcPr>
            <w:tcW w:w="122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00" w:type="dxa"/>
            <w:vAlign w:val="bottom"/>
          </w:tcPr>
          <w:p>
            <w:pPr>
              <w:spacing w:after="0"/>
              <w:rPr>
                <w:sz w:val="24"/>
                <w:szCs w:val="24"/>
                <w:color w:val="auto"/>
              </w:rPr>
            </w:pPr>
          </w:p>
        </w:tc>
        <w:tc>
          <w:tcPr>
            <w:tcW w:w="1620" w:type="dxa"/>
            <w:vAlign w:val="bottom"/>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jc w:val="center"/>
              <w:ind w:right="41"/>
              <w:spacing w:after="0" w:line="181" w:lineRule="exact"/>
              <w:rPr>
                <w:sz w:val="20"/>
                <w:szCs w:val="20"/>
                <w:color w:val="auto"/>
              </w:rPr>
            </w:pPr>
            <w:r>
              <w:rPr>
                <w:rFonts w:ascii="Times New Roman" w:cs="Times New Roman" w:eastAsia="Times New Roman" w:hAnsi="Times New Roman"/>
                <w:sz w:val="17"/>
                <w:szCs w:val="17"/>
                <w:b w:val="1"/>
                <w:bCs w:val="1"/>
                <w:color w:val="auto"/>
              </w:rPr>
              <w:t>of Class V</w:t>
            </w:r>
          </w:p>
        </w:tc>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of Class A</w:t>
            </w:r>
          </w:p>
        </w:tc>
        <w:tc>
          <w:tcPr>
            <w:tcW w:w="1600" w:type="dxa"/>
            <w:vAlign w:val="bottom"/>
            <w:vMerge w:val="restart"/>
          </w:tcPr>
          <w:p>
            <w:pPr>
              <w:jc w:val="right"/>
              <w:ind w:right="322"/>
              <w:spacing w:after="0"/>
              <w:rPr>
                <w:sz w:val="20"/>
                <w:szCs w:val="20"/>
                <w:color w:val="auto"/>
              </w:rPr>
            </w:pPr>
            <w:r>
              <w:rPr>
                <w:rFonts w:ascii="Times New Roman" w:cs="Times New Roman" w:eastAsia="Times New Roman" w:hAnsi="Times New Roman"/>
                <w:sz w:val="17"/>
                <w:szCs w:val="17"/>
                <w:b w:val="1"/>
                <w:bCs w:val="1"/>
                <w:color w:val="auto"/>
              </w:rPr>
              <w:t>% of Class A</w:t>
            </w:r>
          </w:p>
        </w:tc>
        <w:tc>
          <w:tcPr>
            <w:tcW w:w="1620" w:type="dxa"/>
            <w:vAlign w:val="bottom"/>
          </w:tcPr>
          <w:p>
            <w:pPr>
              <w:jc w:val="center"/>
              <w:ind w:right="41"/>
              <w:spacing w:after="0" w:line="167"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1620" w:type="dxa"/>
            <w:vAlign w:val="bottom"/>
            <w:vMerge w:val="restart"/>
          </w:tcPr>
          <w:p>
            <w:pPr>
              <w:jc w:val="right"/>
              <w:ind w:right="302"/>
              <w:spacing w:after="0"/>
              <w:rPr>
                <w:sz w:val="20"/>
                <w:szCs w:val="20"/>
                <w:color w:val="auto"/>
              </w:rPr>
            </w:pPr>
            <w:r>
              <w:rPr>
                <w:rFonts w:ascii="Times New Roman" w:cs="Times New Roman" w:eastAsia="Times New Roman" w:hAnsi="Times New Roman"/>
                <w:sz w:val="17"/>
                <w:szCs w:val="17"/>
                <w:b w:val="1"/>
                <w:bCs w:val="1"/>
                <w:color w:val="auto"/>
              </w:rPr>
              <w:t>% of Class V</w:t>
            </w:r>
          </w:p>
        </w:tc>
        <w:tc>
          <w:tcPr>
            <w:tcW w:w="1640" w:type="dxa"/>
            <w:vAlign w:val="bottom"/>
            <w:vMerge w:val="restart"/>
          </w:tcPr>
          <w:p>
            <w:pPr>
              <w:jc w:val="right"/>
              <w:ind w:right="142"/>
              <w:spacing w:after="0"/>
              <w:rPr>
                <w:sz w:val="20"/>
                <w:szCs w:val="20"/>
                <w:color w:val="auto"/>
              </w:rPr>
            </w:pPr>
            <w:r>
              <w:rPr>
                <w:rFonts w:ascii="Times New Roman" w:cs="Times New Roman" w:eastAsia="Times New Roman" w:hAnsi="Times New Roman"/>
                <w:sz w:val="17"/>
                <w:szCs w:val="17"/>
                <w:b w:val="1"/>
                <w:bCs w:val="1"/>
                <w:color w:val="auto"/>
              </w:rPr>
              <w:t>Combined % of</w:t>
            </w:r>
          </w:p>
        </w:tc>
        <w:tc>
          <w:tcPr>
            <w:tcW w:w="0" w:type="dxa"/>
            <w:vAlign w:val="bottom"/>
          </w:tcPr>
          <w:p>
            <w:pPr>
              <w:spacing w:after="0"/>
              <w:rPr>
                <w:sz w:val="1"/>
                <w:szCs w:val="1"/>
                <w:color w:val="auto"/>
              </w:rPr>
            </w:pPr>
          </w:p>
        </w:tc>
      </w:tr>
      <w:tr>
        <w:trPr>
          <w:trHeight w:val="180"/>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 of Beneficial Owner</w:t>
            </w:r>
            <w:r>
              <w:rPr>
                <w:rFonts w:ascii="Times New Roman" w:cs="Times New Roman" w:eastAsia="Times New Roman" w:hAnsi="Times New Roman"/>
                <w:sz w:val="22"/>
                <w:szCs w:val="22"/>
                <w:b w:val="1"/>
                <w:bCs w:val="1"/>
                <w:color w:val="auto"/>
                <w:vertAlign w:val="superscript"/>
              </w:rPr>
              <w:t>(1)</w:t>
            </w: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1600" w:type="dxa"/>
            <w:vAlign w:val="bottom"/>
            <w:vMerge w:val="continue"/>
          </w:tcPr>
          <w:p>
            <w:pPr>
              <w:spacing w:after="0"/>
              <w:rPr>
                <w:sz w:val="15"/>
                <w:szCs w:val="15"/>
                <w:color w:val="auto"/>
              </w:rPr>
            </w:pPr>
          </w:p>
        </w:tc>
        <w:tc>
          <w:tcPr>
            <w:tcW w:w="1620" w:type="dxa"/>
            <w:vAlign w:val="bottom"/>
          </w:tcPr>
          <w:p>
            <w:pPr>
              <w:jc w:val="center"/>
              <w:ind w:right="41"/>
              <w:spacing w:after="0" w:line="181" w:lineRule="exact"/>
              <w:rPr>
                <w:sz w:val="20"/>
                <w:szCs w:val="20"/>
                <w:color w:val="auto"/>
              </w:rPr>
            </w:pPr>
            <w:r>
              <w:rPr>
                <w:rFonts w:ascii="Times New Roman" w:cs="Times New Roman" w:eastAsia="Times New Roman" w:hAnsi="Times New Roman"/>
                <w:sz w:val="17"/>
                <w:szCs w:val="17"/>
                <w:b w:val="1"/>
                <w:bCs w:val="1"/>
                <w:color w:val="auto"/>
              </w:rPr>
              <w:t>Beneficially</w:t>
            </w:r>
          </w:p>
        </w:tc>
        <w:tc>
          <w:tcPr>
            <w:tcW w:w="16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00" w:type="dxa"/>
            <w:vAlign w:val="bottom"/>
            <w:gridSpan w:val="2"/>
            <w:vMerge w:val="continue"/>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Beneficially Owned</w:t>
            </w:r>
          </w:p>
        </w:tc>
        <w:tc>
          <w:tcPr>
            <w:tcW w:w="1600" w:type="dxa"/>
            <w:vAlign w:val="bottom"/>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620" w:type="dxa"/>
            <w:vAlign w:val="bottom"/>
          </w:tcPr>
          <w:p>
            <w:pPr>
              <w:jc w:val="center"/>
              <w:ind w:right="41"/>
              <w:spacing w:after="0" w:line="219" w:lineRule="exact"/>
              <w:rPr>
                <w:sz w:val="20"/>
                <w:szCs w:val="20"/>
                <w:color w:val="auto"/>
              </w:rPr>
            </w:pPr>
            <w:r>
              <w:rPr>
                <w:rFonts w:ascii="Times New Roman" w:cs="Times New Roman" w:eastAsia="Times New Roman" w:hAnsi="Times New Roman"/>
                <w:sz w:val="17"/>
                <w:szCs w:val="17"/>
                <w:b w:val="1"/>
                <w:bCs w:val="1"/>
                <w:color w:val="auto"/>
                <w:w w:val="95"/>
              </w:rPr>
              <w:t>Owned</w:t>
            </w:r>
            <w:r>
              <w:rPr>
                <w:rFonts w:ascii="Times New Roman" w:cs="Times New Roman" w:eastAsia="Times New Roman" w:hAnsi="Times New Roman"/>
                <w:sz w:val="22"/>
                <w:szCs w:val="22"/>
                <w:b w:val="1"/>
                <w:bCs w:val="1"/>
                <w:color w:val="auto"/>
                <w:w w:val="95"/>
                <w:vertAlign w:val="superscript"/>
              </w:rPr>
              <w:t>(2)</w:t>
            </w:r>
          </w:p>
        </w:tc>
        <w:tc>
          <w:tcPr>
            <w:tcW w:w="1620" w:type="dxa"/>
            <w:vAlign w:val="bottom"/>
          </w:tcPr>
          <w:p>
            <w:pPr>
              <w:jc w:val="right"/>
              <w:ind w:right="222"/>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640" w:type="dxa"/>
            <w:vAlign w:val="bottom"/>
          </w:tcPr>
          <w:p>
            <w:pPr>
              <w:jc w:val="right"/>
              <w:spacing w:after="0" w:line="219" w:lineRule="exact"/>
              <w:rPr>
                <w:sz w:val="20"/>
                <w:szCs w:val="20"/>
                <w:color w:val="auto"/>
              </w:rPr>
            </w:pPr>
            <w:r>
              <w:rPr>
                <w:rFonts w:ascii="Times New Roman" w:cs="Times New Roman" w:eastAsia="Times New Roman" w:hAnsi="Times New Roman"/>
                <w:sz w:val="17"/>
                <w:szCs w:val="17"/>
                <w:b w:val="1"/>
                <w:bCs w:val="1"/>
                <w:color w:val="auto"/>
                <w:w w:val="98"/>
              </w:rPr>
              <w:t>Total Voting Power</w:t>
            </w:r>
            <w:r>
              <w:rPr>
                <w:rFonts w:ascii="Times New Roman" w:cs="Times New Roman" w:eastAsia="Times New Roman" w:hAnsi="Times New Roman"/>
                <w:sz w:val="22"/>
                <w:szCs w:val="22"/>
                <w:b w:val="1"/>
                <w:bCs w:val="1"/>
                <w:color w:val="auto"/>
                <w:w w:val="98"/>
                <w:vertAlign w:val="superscript"/>
              </w:rPr>
              <w:t>(3)</w:t>
            </w:r>
          </w:p>
        </w:tc>
        <w:tc>
          <w:tcPr>
            <w:tcW w:w="0" w:type="dxa"/>
            <w:vAlign w:val="bottom"/>
          </w:tcPr>
          <w:p>
            <w:pPr>
              <w:spacing w:after="0"/>
              <w:rPr>
                <w:sz w:val="1"/>
                <w:szCs w:val="1"/>
                <w:color w:val="auto"/>
              </w:rPr>
            </w:pPr>
          </w:p>
        </w:tc>
      </w:tr>
      <w:tr>
        <w:trPr>
          <w:trHeight w:val="20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p>
        </w:tc>
        <w:tc>
          <w:tcPr>
            <w:tcW w:w="17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Tony Aquila</w:t>
            </w:r>
            <w:r>
              <w:rPr>
                <w:rFonts w:ascii="Times New Roman" w:cs="Times New Roman" w:eastAsia="Times New Roman" w:hAnsi="Times New Roman"/>
                <w:sz w:val="20"/>
                <w:szCs w:val="20"/>
                <w:color w:val="auto"/>
                <w:vertAlign w:val="superscript"/>
              </w:rPr>
              <w:t>(5)</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5,297,761</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5.6 %</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0" w:type="dxa"/>
            <w:vAlign w:val="bottom"/>
          </w:tcPr>
          <w:p>
            <w:pPr>
              <w:spacing w:after="0"/>
              <w:rPr>
                <w:sz w:val="1"/>
                <w:szCs w:val="1"/>
                <w:color w:val="auto"/>
              </w:rPr>
            </w:pPr>
          </w:p>
        </w:tc>
      </w:tr>
      <w:tr>
        <w:trPr>
          <w:trHeight w:val="206"/>
        </w:trPr>
        <w:tc>
          <w:tcPr>
            <w:tcW w:w="30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Douglas Francis</w:t>
            </w:r>
            <w:r>
              <w:rPr>
                <w:rFonts w:ascii="Times New Roman" w:cs="Times New Roman" w:eastAsia="Times New Roman" w:hAnsi="Times New Roman"/>
                <w:sz w:val="20"/>
                <w:szCs w:val="20"/>
                <w:color w:val="auto"/>
                <w:vertAlign w:val="superscript"/>
              </w:rPr>
              <w:t>(6)</w:t>
            </w:r>
          </w:p>
        </w:tc>
        <w:tc>
          <w:tcPr>
            <w:tcW w:w="17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4,792,347</w:t>
            </w:r>
          </w:p>
        </w:tc>
        <w:tc>
          <w:tcPr>
            <w:tcW w:w="1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5.0 %</w:t>
            </w:r>
          </w:p>
        </w:tc>
        <w:tc>
          <w:tcPr>
            <w:tcW w:w="1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22,970,182</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41.4 %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18.4 %</w:t>
            </w:r>
          </w:p>
        </w:tc>
        <w:tc>
          <w:tcPr>
            <w:tcW w:w="0" w:type="dxa"/>
            <w:vAlign w:val="bottom"/>
          </w:tcPr>
          <w:p>
            <w:pPr>
              <w:spacing w:after="0"/>
              <w:rPr>
                <w:sz w:val="1"/>
                <w:szCs w:val="1"/>
                <w:color w:val="auto"/>
              </w:rPr>
            </w:pPr>
          </w:p>
        </w:tc>
      </w:tr>
      <w:tr>
        <w:trPr>
          <w:trHeight w:val="20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Scott Gordon</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376,262</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0.4 %</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Fiona Tan</w:t>
            </w:r>
          </w:p>
        </w:tc>
        <w:tc>
          <w:tcPr>
            <w:tcW w:w="17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271,813</w:t>
            </w:r>
          </w:p>
        </w:tc>
        <w:tc>
          <w:tcPr>
            <w:tcW w:w="1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0.3 %</w:t>
            </w:r>
          </w:p>
        </w:tc>
        <w:tc>
          <w:tcPr>
            <w:tcW w:w="1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0" w:type="dxa"/>
            <w:vAlign w:val="bottom"/>
          </w:tcPr>
          <w:p>
            <w:pPr>
              <w:spacing w:after="0"/>
              <w:rPr>
                <w:sz w:val="1"/>
                <w:szCs w:val="1"/>
                <w:color w:val="auto"/>
              </w:rPr>
            </w:pPr>
          </w:p>
        </w:tc>
      </w:tr>
      <w:tr>
        <w:trPr>
          <w:trHeight w:val="20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Olga Gonzalez</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277,125</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0.3 %</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Brenda Freeman</w:t>
            </w:r>
          </w:p>
        </w:tc>
        <w:tc>
          <w:tcPr>
            <w:tcW w:w="17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277,127</w:t>
            </w:r>
          </w:p>
        </w:tc>
        <w:tc>
          <w:tcPr>
            <w:tcW w:w="1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0.3 %</w:t>
            </w:r>
          </w:p>
        </w:tc>
        <w:tc>
          <w:tcPr>
            <w:tcW w:w="1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0" w:type="dxa"/>
            <w:vAlign w:val="bottom"/>
          </w:tcPr>
          <w:p>
            <w:pPr>
              <w:spacing w:after="0"/>
              <w:rPr>
                <w:sz w:val="1"/>
                <w:szCs w:val="1"/>
                <w:color w:val="auto"/>
              </w:rPr>
            </w:pPr>
          </w:p>
        </w:tc>
      </w:tr>
      <w:tr>
        <w:trPr>
          <w:trHeight w:val="20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Anthony Bay</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291,325</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0.3 %</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Brian Camire</w:t>
            </w:r>
          </w:p>
        </w:tc>
        <w:tc>
          <w:tcPr>
            <w:tcW w:w="17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250,573</w:t>
            </w:r>
          </w:p>
        </w:tc>
        <w:tc>
          <w:tcPr>
            <w:tcW w:w="1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0.3 %</w:t>
            </w:r>
          </w:p>
        </w:tc>
        <w:tc>
          <w:tcPr>
            <w:tcW w:w="1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0" w:type="dxa"/>
            <w:vAlign w:val="bottom"/>
          </w:tcPr>
          <w:p>
            <w:pPr>
              <w:spacing w:after="0"/>
              <w:rPr>
                <w:sz w:val="1"/>
                <w:szCs w:val="1"/>
                <w:color w:val="auto"/>
              </w:rPr>
            </w:pPr>
          </w:p>
        </w:tc>
      </w:tr>
      <w:tr>
        <w:trPr>
          <w:trHeight w:val="20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Duncan Grazier</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161,971</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0.2 %</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0" w:type="dxa"/>
            <w:vAlign w:val="bottom"/>
          </w:tcPr>
          <w:p>
            <w:pPr>
              <w:spacing w:after="0"/>
              <w:rPr>
                <w:sz w:val="1"/>
                <w:szCs w:val="1"/>
                <w:color w:val="auto"/>
              </w:rPr>
            </w:pPr>
          </w:p>
        </w:tc>
      </w:tr>
      <w:tr>
        <w:trPr>
          <w:trHeight w:val="20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Susan Echard</w:t>
            </w:r>
          </w:p>
        </w:tc>
        <w:tc>
          <w:tcPr>
            <w:tcW w:w="17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 %</w:t>
            </w:r>
          </w:p>
        </w:tc>
        <w:tc>
          <w:tcPr>
            <w:tcW w:w="1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All Directors and Executive Officers of the</w:t>
            </w:r>
          </w:p>
        </w:tc>
        <w:tc>
          <w:tcPr>
            <w:tcW w:w="1760" w:type="dxa"/>
            <w:vAlign w:val="bottom"/>
            <w:vMerge w:val="restart"/>
          </w:tcPr>
          <w:p>
            <w:pPr>
              <w:jc w:val="right"/>
              <w:ind w:right="141"/>
              <w:spacing w:after="0"/>
              <w:rPr>
                <w:sz w:val="20"/>
                <w:szCs w:val="20"/>
                <w:color w:val="auto"/>
              </w:rPr>
            </w:pPr>
            <w:r>
              <w:rPr>
                <w:rFonts w:ascii="Times New Roman" w:cs="Times New Roman" w:eastAsia="Times New Roman" w:hAnsi="Times New Roman"/>
                <w:sz w:val="15"/>
                <w:szCs w:val="15"/>
                <w:color w:val="auto"/>
              </w:rPr>
              <w:t>11,996,304</w:t>
            </w:r>
          </w:p>
        </w:tc>
        <w:tc>
          <w:tcPr>
            <w:tcW w:w="1600" w:type="dxa"/>
            <w:vAlign w:val="bottom"/>
            <w:vMerge w:val="restart"/>
          </w:tcPr>
          <w:p>
            <w:pPr>
              <w:jc w:val="right"/>
              <w:ind w:right="22"/>
              <w:spacing w:after="0"/>
              <w:rPr>
                <w:sz w:val="20"/>
                <w:szCs w:val="20"/>
                <w:color w:val="auto"/>
              </w:rPr>
            </w:pPr>
            <w:r>
              <w:rPr>
                <w:rFonts w:ascii="Times New Roman" w:cs="Times New Roman" w:eastAsia="Times New Roman" w:hAnsi="Times New Roman"/>
                <w:sz w:val="15"/>
                <w:szCs w:val="15"/>
                <w:color w:val="auto"/>
              </w:rPr>
              <w:t>12.6 %</w:t>
            </w:r>
          </w:p>
        </w:tc>
        <w:tc>
          <w:tcPr>
            <w:tcW w:w="1620" w:type="dxa"/>
            <w:vAlign w:val="bottom"/>
            <w:vMerge w:val="restart"/>
          </w:tcPr>
          <w:p>
            <w:pPr>
              <w:jc w:val="right"/>
              <w:ind w:right="121"/>
              <w:spacing w:after="0"/>
              <w:rPr>
                <w:sz w:val="20"/>
                <w:szCs w:val="20"/>
                <w:color w:val="auto"/>
              </w:rPr>
            </w:pPr>
            <w:r>
              <w:rPr>
                <w:rFonts w:ascii="Times New Roman" w:cs="Times New Roman" w:eastAsia="Times New Roman" w:hAnsi="Times New Roman"/>
                <w:sz w:val="15"/>
                <w:szCs w:val="15"/>
                <w:color w:val="auto"/>
              </w:rPr>
              <w:t>22,970,182</w:t>
            </w:r>
          </w:p>
        </w:tc>
        <w:tc>
          <w:tcPr>
            <w:tcW w:w="1620" w:type="dxa"/>
            <w:vAlign w:val="bottom"/>
            <w:vMerge w:val="restart"/>
          </w:tcPr>
          <w:p>
            <w:pPr>
              <w:jc w:val="right"/>
              <w:ind w:right="2"/>
              <w:spacing w:after="0"/>
              <w:rPr>
                <w:sz w:val="20"/>
                <w:szCs w:val="20"/>
                <w:color w:val="auto"/>
              </w:rPr>
            </w:pPr>
            <w:r>
              <w:rPr>
                <w:rFonts w:ascii="Times New Roman" w:cs="Times New Roman" w:eastAsia="Times New Roman" w:hAnsi="Times New Roman"/>
                <w:sz w:val="15"/>
                <w:szCs w:val="15"/>
                <w:color w:val="auto"/>
              </w:rPr>
              <w:t>41.4 %</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23.2 %</w:t>
            </w:r>
          </w:p>
        </w:tc>
        <w:tc>
          <w:tcPr>
            <w:tcW w:w="0" w:type="dxa"/>
            <w:vAlign w:val="bottom"/>
          </w:tcPr>
          <w:p>
            <w:pPr>
              <w:spacing w:after="0"/>
              <w:rPr>
                <w:sz w:val="1"/>
                <w:szCs w:val="1"/>
                <w:color w:val="auto"/>
              </w:rPr>
            </w:pPr>
          </w:p>
        </w:tc>
      </w:tr>
      <w:tr>
        <w:trPr>
          <w:trHeight w:val="206"/>
        </w:trPr>
        <w:tc>
          <w:tcPr>
            <w:tcW w:w="30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b w:val="1"/>
                <w:bCs w:val="1"/>
                <w:color w:val="auto"/>
              </w:rPr>
              <w:t>Company as a Group (10 Individuals)</w:t>
            </w:r>
            <w:r>
              <w:rPr>
                <w:rFonts w:ascii="Times New Roman" w:cs="Times New Roman" w:eastAsia="Times New Roman" w:hAnsi="Times New Roman"/>
                <w:sz w:val="20"/>
                <w:szCs w:val="20"/>
                <w:b w:val="1"/>
                <w:bCs w:val="1"/>
                <w:color w:val="auto"/>
                <w:vertAlign w:val="superscript"/>
              </w:rPr>
              <w:t>(8)</w:t>
            </w:r>
          </w:p>
        </w:tc>
        <w:tc>
          <w:tcPr>
            <w:tcW w:w="17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Five Percent Holders:</w:t>
            </w:r>
          </w:p>
        </w:tc>
        <w:tc>
          <w:tcPr>
            <w:tcW w:w="17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Ghost Media Group, LLC</w:t>
            </w:r>
            <w:r>
              <w:rPr>
                <w:rFonts w:ascii="Times New Roman" w:cs="Times New Roman" w:eastAsia="Times New Roman" w:hAnsi="Times New Roman"/>
                <w:sz w:val="20"/>
                <w:szCs w:val="20"/>
                <w:color w:val="auto"/>
                <w:vertAlign w:val="superscript"/>
              </w:rPr>
              <w:t>(6)(7)</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202"/>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8,469,191</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15.3 %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206"/>
        </w:trPr>
        <w:tc>
          <w:tcPr>
            <w:tcW w:w="30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Morgan Stanley</w:t>
            </w:r>
            <w:r>
              <w:rPr>
                <w:rFonts w:ascii="Times New Roman" w:cs="Times New Roman" w:eastAsia="Times New Roman" w:hAnsi="Times New Roman"/>
                <w:sz w:val="20"/>
                <w:szCs w:val="20"/>
                <w:color w:val="auto"/>
                <w:vertAlign w:val="superscript"/>
              </w:rPr>
              <w:t>(9)</w:t>
            </w:r>
          </w:p>
        </w:tc>
        <w:tc>
          <w:tcPr>
            <w:tcW w:w="17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6,016,658</w:t>
            </w:r>
          </w:p>
        </w:tc>
        <w:tc>
          <w:tcPr>
            <w:tcW w:w="1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6.3 %</w:t>
            </w:r>
          </w:p>
        </w:tc>
        <w:tc>
          <w:tcPr>
            <w:tcW w:w="1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0" w:type="dxa"/>
            <w:vAlign w:val="bottom"/>
          </w:tcPr>
          <w:p>
            <w:pPr>
              <w:spacing w:after="0"/>
              <w:rPr>
                <w:sz w:val="1"/>
                <w:szCs w:val="1"/>
                <w:color w:val="auto"/>
              </w:rPr>
            </w:pPr>
          </w:p>
        </w:tc>
      </w:tr>
      <w:tr>
        <w:trPr>
          <w:trHeight w:val="206"/>
        </w:trPr>
        <w:tc>
          <w:tcPr>
            <w:tcW w:w="30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5"/>
                <w:szCs w:val="15"/>
                <w:color w:val="auto"/>
              </w:rPr>
              <w:t>James J. Pallotta</w:t>
            </w:r>
            <w:r>
              <w:rPr>
                <w:rFonts w:ascii="Times New Roman" w:cs="Times New Roman" w:eastAsia="Times New Roman" w:hAnsi="Times New Roman"/>
                <w:sz w:val="20"/>
                <w:szCs w:val="20"/>
                <w:color w:val="auto"/>
                <w:vertAlign w:val="superscript"/>
              </w:rPr>
              <w:t>(10)</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4,980,143</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5.2 %</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0" w:type="dxa"/>
            <w:vAlign w:val="bottom"/>
          </w:tcPr>
          <w:p>
            <w:pPr>
              <w:spacing w:after="0"/>
              <w:rPr>
                <w:sz w:val="1"/>
                <w:szCs w:val="1"/>
                <w:color w:val="auto"/>
              </w:rPr>
            </w:pPr>
          </w:p>
        </w:tc>
      </w:tr>
      <w:tr>
        <w:trPr>
          <w:trHeight w:val="206"/>
        </w:trPr>
        <w:tc>
          <w:tcPr>
            <w:tcW w:w="30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Christopher Beals</w:t>
            </w:r>
            <w:r>
              <w:rPr>
                <w:rFonts w:ascii="Times New Roman" w:cs="Times New Roman" w:eastAsia="Times New Roman" w:hAnsi="Times New Roman"/>
                <w:sz w:val="20"/>
                <w:szCs w:val="20"/>
                <w:color w:val="auto"/>
                <w:vertAlign w:val="superscript"/>
              </w:rPr>
              <w:t>(4)</w:t>
            </w:r>
          </w:p>
        </w:tc>
        <w:tc>
          <w:tcPr>
            <w:tcW w:w="17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428,773</w:t>
            </w:r>
          </w:p>
        </w:tc>
        <w:tc>
          <w:tcPr>
            <w:tcW w:w="1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0.5 %</w:t>
            </w:r>
          </w:p>
        </w:tc>
        <w:tc>
          <w:tcPr>
            <w:tcW w:w="1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6,166,819</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11.1 %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0" w:type="dxa"/>
            <w:vAlign w:val="bottom"/>
          </w:tcPr>
          <w:p>
            <w:pPr>
              <w:spacing w:after="0"/>
              <w:rPr>
                <w:sz w:val="1"/>
                <w:szCs w:val="1"/>
                <w:color w:val="auto"/>
              </w:rPr>
            </w:pPr>
          </w:p>
        </w:tc>
      </w:tr>
      <w:tr>
        <w:trPr>
          <w:trHeight w:val="26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Justin Hartfield</w:t>
            </w:r>
            <w:r>
              <w:rPr>
                <w:rFonts w:ascii="Times New Roman" w:cs="Times New Roman" w:eastAsia="Times New Roman" w:hAnsi="Times New Roman"/>
                <w:sz w:val="20"/>
                <w:szCs w:val="20"/>
                <w:color w:val="auto"/>
                <w:vertAlign w:val="superscript"/>
              </w:rPr>
              <w:t>(7)</w:t>
            </w:r>
          </w:p>
        </w:tc>
        <w:tc>
          <w:tcPr>
            <w:tcW w:w="176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61,679</w:t>
            </w:r>
          </w:p>
        </w:tc>
        <w:tc>
          <w:tcPr>
            <w:tcW w:w="1600" w:type="dxa"/>
            <w:vAlign w:val="bottom"/>
          </w:tcPr>
          <w:p>
            <w:pPr>
              <w:jc w:val="right"/>
              <w:ind w:right="22"/>
              <w:spacing w:after="0"/>
              <w:rPr>
                <w:sz w:val="20"/>
                <w:szCs w:val="20"/>
                <w:color w:val="auto"/>
              </w:rPr>
            </w:pPr>
            <w:r>
              <w:rPr>
                <w:rFonts w:ascii="Times New Roman" w:cs="Times New Roman" w:eastAsia="Times New Roman" w:hAnsi="Times New Roman"/>
                <w:sz w:val="15"/>
                <w:szCs w:val="15"/>
                <w:color w:val="auto"/>
              </w:rPr>
              <w:t>0.1 %</w:t>
            </w:r>
          </w:p>
        </w:tc>
        <w:tc>
          <w:tcPr>
            <w:tcW w:w="1620" w:type="dxa"/>
            <w:vAlign w:val="bottom"/>
          </w:tcPr>
          <w:p>
            <w:pPr>
              <w:jc w:val="right"/>
              <w:ind w:right="121"/>
              <w:spacing w:after="0"/>
              <w:rPr>
                <w:sz w:val="20"/>
                <w:szCs w:val="20"/>
                <w:color w:val="auto"/>
              </w:rPr>
            </w:pPr>
            <w:r>
              <w:rPr>
                <w:rFonts w:ascii="Times New Roman" w:cs="Times New Roman" w:eastAsia="Times New Roman" w:hAnsi="Times New Roman"/>
                <w:sz w:val="15"/>
                <w:szCs w:val="15"/>
                <w:color w:val="auto"/>
              </w:rPr>
              <w:t>29,318,217</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52.8 %</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19.5 %</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28" w:lineRule="exact"/>
        <w:rPr>
          <w:sz w:val="20"/>
          <w:szCs w:val="20"/>
          <w:color w:val="auto"/>
        </w:rPr>
      </w:pPr>
    </w:p>
    <w:p>
      <w:pPr>
        <w:ind w:left="300" w:hanging="297"/>
        <w:spacing w:after="0"/>
        <w:tabs>
          <w:tab w:leader="none" w:pos="3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11" w:lineRule="exact"/>
        <w:rPr>
          <w:rFonts w:ascii="Times New Roman" w:cs="Times New Roman" w:eastAsia="Times New Roman" w:hAnsi="Times New Roman"/>
          <w:sz w:val="14"/>
          <w:szCs w:val="14"/>
          <w:color w:val="auto"/>
        </w:rPr>
      </w:pPr>
    </w:p>
    <w:p>
      <w:pPr>
        <w:jc w:val="both"/>
        <w:ind w:left="320" w:hanging="317"/>
        <w:spacing w:after="0" w:line="256" w:lineRule="auto"/>
        <w:tabs>
          <w:tab w:leader="none" w:pos="3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ind w:left="300" w:hanging="297"/>
        <w:spacing w:after="0"/>
        <w:tabs>
          <w:tab w:leader="none" w:pos="3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19" w:lineRule="exact"/>
        <w:rPr>
          <w:rFonts w:ascii="Times New Roman" w:cs="Times New Roman" w:eastAsia="Times New Roman" w:hAnsi="Times New Roman"/>
          <w:sz w:val="14"/>
          <w:szCs w:val="14"/>
          <w:color w:val="auto"/>
        </w:rPr>
      </w:pPr>
    </w:p>
    <w:p>
      <w:pPr>
        <w:ind w:left="320" w:hanging="317"/>
        <w:spacing w:after="0" w:line="259" w:lineRule="auto"/>
        <w:tabs>
          <w:tab w:leader="none" w:pos="3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jc w:val="both"/>
        <w:ind w:left="320" w:hanging="317"/>
        <w:spacing w:after="0" w:line="249" w:lineRule="auto"/>
        <w:tabs>
          <w:tab w:leader="none" w:pos="3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also includes 1,311,679 shares of Class A Common Stock that Mr. Aquila personally holds, 10,093 shares of underlying restricted stock units that vest on June 16, 2024 and 225,988 shares of underlying restricted stock units that vest on June 21, 2024. The business address of the reporting person is 2126 Hamilton Road Suite 260, Argyle, TX 76226.</w:t>
      </w:r>
    </w:p>
    <w:p>
      <w:pPr>
        <w:spacing w:after="0" w:line="3" w:lineRule="exact"/>
        <w:rPr>
          <w:rFonts w:ascii="Times New Roman" w:cs="Times New Roman" w:eastAsia="Times New Roman" w:hAnsi="Times New Roman"/>
          <w:sz w:val="14"/>
          <w:szCs w:val="14"/>
          <w:color w:val="auto"/>
        </w:rPr>
      </w:pPr>
    </w:p>
    <w:p>
      <w:pPr>
        <w:jc w:val="both"/>
        <w:ind w:left="320" w:hanging="317"/>
        <w:spacing w:after="0" w:line="249" w:lineRule="auto"/>
        <w:tabs>
          <w:tab w:leader="none" w:pos="3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 The 4,792,347 shares of Class A Common Stock held by Mr. Francis include 10,094 shares of underlying restricted stock units that vest on June 16, 2024.</w:t>
      </w:r>
    </w:p>
    <w:p>
      <w:pPr>
        <w:spacing w:after="0" w:line="2" w:lineRule="exact"/>
        <w:rPr>
          <w:rFonts w:ascii="Times New Roman" w:cs="Times New Roman" w:eastAsia="Times New Roman" w:hAnsi="Times New Roman"/>
          <w:sz w:val="14"/>
          <w:szCs w:val="14"/>
          <w:color w:val="auto"/>
        </w:rPr>
      </w:pPr>
    </w:p>
    <w:p>
      <w:pPr>
        <w:ind w:left="320" w:hanging="317"/>
        <w:spacing w:after="0" w:line="275" w:lineRule="auto"/>
        <w:tabs>
          <w:tab w:leader="none" w:pos="3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320"/>
        <w:spacing w:after="0" w:line="259" w:lineRule="auto"/>
        <w:rPr>
          <w:sz w:val="20"/>
          <w:szCs w:val="20"/>
          <w:color w:val="auto"/>
        </w:rPr>
      </w:pPr>
      <w:r>
        <w:rPr>
          <w:rFonts w:ascii="Times New Roman" w:cs="Times New Roman" w:eastAsia="Times New Roman" w:hAnsi="Times New Roman"/>
          <w:sz w:val="14"/>
          <w:szCs w:val="14"/>
          <w:color w:val="auto"/>
        </w:rPr>
        <w:t>and Francis and WM Founders Legacy II, LLC is controlled by Mr. Hartfield. Accordingly, Mr. Hartfield may be deemed to be a beneficial owner of the shares held by Ghost Media Group, LLC and WM Founders Legacy II, LLC.</w:t>
      </w:r>
    </w:p>
    <w:p>
      <w:pPr>
        <w:spacing w:after="0" w:line="1" w:lineRule="exact"/>
        <w:rPr>
          <w:sz w:val="20"/>
          <w:szCs w:val="20"/>
          <w:color w:val="auto"/>
        </w:rPr>
      </w:pPr>
    </w:p>
    <w:p>
      <w:pPr>
        <w:ind w:left="320" w:hanging="317"/>
        <w:spacing w:after="0" w:line="259" w:lineRule="auto"/>
        <w:tabs>
          <w:tab w:leader="none" w:pos="31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consist of (i) 10,386,839 shares held of record by our current executive officers and directors, and (ii) 1,609,465 shares issuable upon the vesting of RSUs within 60 days of May 7, 2024.</w:t>
      </w:r>
    </w:p>
    <w:p>
      <w:pPr>
        <w:ind w:left="320" w:hanging="317"/>
        <w:spacing w:after="0" w:line="259" w:lineRule="auto"/>
        <w:tabs>
          <w:tab w:leader="none" w:pos="31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ind w:left="320" w:hanging="317"/>
        <w:spacing w:after="0" w:line="275" w:lineRule="auto"/>
        <w:tabs>
          <w:tab w:leader="none" w:pos="317"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James J. Pallotta on January 16, 2024, includes 4,980,143 shares of Class A Common Stock. The business address of the reporting person is 2340 Collins Avenue, 5th Floor, Miami Beach, Florida 33139.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summarizes information about our equity compensation plans as of December 31, 2023. Information is included for equity compensation plans approved by our stockholders. We do not have any non-stockholder approved equity compensation plans.</w:t>
      </w:r>
    </w:p>
    <w:p>
      <w:pPr>
        <w:sectPr>
          <w:pgSz w:w="11900" w:h="16838" w:orient="portrait"/>
          <w:cols w:equalWidth="0" w:num="1">
            <w:col w:w="11240"/>
          </w:cols>
          <w:pgMar w:left="320" w:top="226" w:right="339" w:bottom="1440" w:gutter="0" w:footer="0" w:header="0"/>
        </w:sectPr>
      </w:pP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20" w:type="dxa"/>
            <w:vAlign w:val="bottom"/>
          </w:tcPr>
          <w:p>
            <w:pPr>
              <w:spacing w:after="0"/>
              <w:rPr>
                <w:sz w:val="17"/>
                <w:szCs w:val="17"/>
                <w:color w:val="auto"/>
              </w:rPr>
            </w:pPr>
          </w:p>
        </w:tc>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Number of shares to be</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46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b w:val="1"/>
                <w:bCs w:val="1"/>
                <w:color w:val="auto"/>
              </w:rPr>
              <w:t>exercise price of</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1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issued upon exercise of</w:t>
            </w:r>
          </w:p>
        </w:tc>
        <w:tc>
          <w:tcPr>
            <w:tcW w:w="166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7"/>
                <w:szCs w:val="17"/>
                <w:b w:val="1"/>
                <w:bCs w:val="1"/>
                <w:color w:val="auto"/>
              </w:rPr>
              <w:t>outstanding options,</w:t>
            </w:r>
          </w:p>
        </w:tc>
        <w:tc>
          <w:tcPr>
            <w:tcW w:w="0" w:type="dxa"/>
            <w:vAlign w:val="bottom"/>
          </w:tcPr>
          <w:p>
            <w:pPr>
              <w:spacing w:after="0"/>
              <w:rPr>
                <w:sz w:val="1"/>
                <w:szCs w:val="1"/>
                <w:color w:val="auto"/>
              </w:rPr>
            </w:pPr>
          </w:p>
        </w:tc>
      </w:tr>
      <w:tr>
        <w:trPr>
          <w:trHeight w:val="168"/>
        </w:trPr>
        <w:tc>
          <w:tcPr>
            <w:tcW w:w="5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outstanding options,</w:t>
            </w:r>
          </w:p>
        </w:tc>
        <w:tc>
          <w:tcPr>
            <w:tcW w:w="146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b w:val="1"/>
                <w:bCs w:val="1"/>
                <w:color w:val="auto"/>
              </w:rPr>
              <w:t>warrants and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020" w:type="dxa"/>
            <w:vAlign w:val="bottom"/>
            <w:vMerge w:val="continue"/>
          </w:tcPr>
          <w:p>
            <w:pPr>
              <w:spacing w:after="0"/>
              <w:rPr>
                <w:sz w:val="19"/>
                <w:szCs w:val="19"/>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warrants and rights</w:t>
            </w:r>
          </w:p>
        </w:tc>
        <w:tc>
          <w:tcPr>
            <w:tcW w:w="1460" w:type="dxa"/>
            <w:vAlign w:val="bottom"/>
          </w:tcPr>
          <w:p>
            <w:pPr>
              <w:ind w:left="100"/>
              <w:spacing w:after="0" w:line="225" w:lineRule="exact"/>
              <w:rPr>
                <w:sz w:val="20"/>
                <w:szCs w:val="20"/>
                <w:color w:val="auto"/>
              </w:rPr>
            </w:pPr>
            <w:r>
              <w:rPr>
                <w:rFonts w:ascii="Times New Roman" w:cs="Times New Roman" w:eastAsia="Times New Roman" w:hAnsi="Times New Roman"/>
                <w:sz w:val="17"/>
                <w:szCs w:val="17"/>
                <w:b w:val="1"/>
                <w:bCs w:val="1"/>
                <w:color w:val="auto"/>
              </w:rPr>
              <w:t>rights</w:t>
            </w:r>
            <w:r>
              <w:rPr>
                <w:rFonts w:ascii="Times New Roman" w:cs="Times New Roman" w:eastAsia="Times New Roman" w:hAnsi="Times New Roman"/>
                <w:sz w:val="22"/>
                <w:szCs w:val="22"/>
                <w:b w:val="1"/>
                <w:bCs w:val="1"/>
                <w:color w:val="auto"/>
                <w:vertAlign w:val="superscript"/>
              </w:rPr>
              <w:t>(2)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20" w:type="dxa"/>
            <w:vAlign w:val="bottom"/>
          </w:tcPr>
          <w:p>
            <w:pPr>
              <w:spacing w:after="0"/>
              <w:rPr>
                <w:sz w:val="19"/>
                <w:szCs w:val="19"/>
                <w:color w:val="auto"/>
              </w:rPr>
            </w:pPr>
          </w:p>
        </w:tc>
        <w:tc>
          <w:tcPr>
            <w:tcW w:w="1860" w:type="dxa"/>
            <w:vAlign w:val="bottom"/>
          </w:tcPr>
          <w:p>
            <w:pPr>
              <w:ind w:left="840"/>
              <w:spacing w:after="0"/>
              <w:rPr>
                <w:sz w:val="20"/>
                <w:szCs w:val="20"/>
                <w:color w:val="auto"/>
              </w:rPr>
            </w:pPr>
            <w:r>
              <w:rPr>
                <w:rFonts w:ascii="Times New Roman" w:cs="Times New Roman" w:eastAsia="Times New Roman" w:hAnsi="Times New Roman"/>
                <w:sz w:val="17"/>
                <w:szCs w:val="17"/>
                <w:b w:val="1"/>
                <w:bCs w:val="1"/>
                <w:color w:val="auto"/>
              </w:rPr>
              <w:t>(a)</w:t>
            </w:r>
          </w:p>
        </w:tc>
        <w:tc>
          <w:tcPr>
            <w:tcW w:w="146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(b)</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Equity compensation plan approved by stockholders</w:t>
            </w:r>
          </w:p>
        </w:tc>
        <w:tc>
          <w:tcPr>
            <w:tcW w:w="1860" w:type="dxa"/>
            <w:vAlign w:val="bottom"/>
          </w:tcPr>
          <w:p>
            <w:pPr>
              <w:jc w:val="right"/>
              <w:spacing w:after="0" w:line="207" w:lineRule="exact"/>
              <w:rPr>
                <w:sz w:val="20"/>
                <w:szCs w:val="20"/>
                <w:color w:val="auto"/>
              </w:rPr>
            </w:pPr>
            <w:r>
              <w:rPr>
                <w:rFonts w:ascii="Times New Roman" w:cs="Times New Roman" w:eastAsia="Times New Roman" w:hAnsi="Times New Roman"/>
                <w:sz w:val="15"/>
                <w:szCs w:val="15"/>
                <w:color w:val="auto"/>
              </w:rPr>
              <w:t>7,917,973</w:t>
            </w:r>
            <w:r>
              <w:rPr>
                <w:rFonts w:ascii="Times New Roman" w:cs="Times New Roman" w:eastAsia="Times New Roman" w:hAnsi="Times New Roman"/>
                <w:sz w:val="20"/>
                <w:szCs w:val="20"/>
                <w:color w:val="auto"/>
                <w:vertAlign w:val="superscript"/>
              </w:rPr>
              <w:t>(1)</w:t>
            </w:r>
          </w:p>
        </w:tc>
        <w:tc>
          <w:tcPr>
            <w:tcW w:w="1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Equity compensation plan not approved by stockholders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7,917,973</w:t>
            </w:r>
          </w:p>
        </w:tc>
        <w:tc>
          <w:tcPr>
            <w:tcW w:w="1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-433070</wp:posOffset>
            </wp:positionV>
            <wp:extent cx="7138670" cy="1308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155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b w:val="1"/>
          <w:bCs w:val="1"/>
          <w:color w:val="auto"/>
        </w:rPr>
        <w:t>Number of shares remaining available for future issuance under equity compensation plans</w:t>
      </w:r>
    </w:p>
    <w:p>
      <w:pPr>
        <w:ind w:right="380"/>
        <w:spacing w:after="0" w:line="213" w:lineRule="auto"/>
        <w:rPr>
          <w:sz w:val="20"/>
          <w:szCs w:val="20"/>
          <w:color w:val="auto"/>
        </w:rPr>
      </w:pPr>
      <w:r>
        <w:rPr>
          <w:rFonts w:ascii="Times New Roman" w:cs="Times New Roman" w:eastAsia="Times New Roman" w:hAnsi="Times New Roman"/>
          <w:sz w:val="17"/>
          <w:szCs w:val="17"/>
          <w:b w:val="1"/>
          <w:bCs w:val="1"/>
          <w:color w:val="auto"/>
        </w:rPr>
        <w:t>(excluding shares reflected in column (a))</w:t>
      </w:r>
      <w:r>
        <w:rPr>
          <w:rFonts w:ascii="Times New Roman" w:cs="Times New Roman" w:eastAsia="Times New Roman" w:hAnsi="Times New Roman"/>
          <w:sz w:val="22"/>
          <w:szCs w:val="22"/>
          <w:b w:val="1"/>
          <w:bCs w:val="1"/>
          <w:color w:val="auto"/>
          <w:vertAlign w:val="superscript"/>
        </w:rPr>
        <w:t>(3)</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(c)</w:t>
      </w:r>
    </w:p>
    <w:p>
      <w:pPr>
        <w:spacing w:after="0" w:line="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22,149,589</w:t>
      </w:r>
      <w:r>
        <w:rPr>
          <w:rFonts w:ascii="Times New Roman" w:cs="Times New Roman" w:eastAsia="Times New Roman" w:hAnsi="Times New Roman"/>
          <w:sz w:val="20"/>
          <w:szCs w:val="20"/>
          <w:color w:val="auto"/>
          <w:vertAlign w:val="superscript"/>
        </w:rPr>
        <w:t>(4)</w:t>
      </w:r>
    </w:p>
    <w:p>
      <w:pPr>
        <w:jc w:val="right"/>
        <w:ind w:right="60"/>
        <w:spacing w:after="0"/>
        <w:rPr>
          <w:sz w:val="20"/>
          <w:szCs w:val="20"/>
          <w:color w:val="auto"/>
        </w:rPr>
      </w:pPr>
      <w:r>
        <w:rPr>
          <w:rFonts w:ascii="Times New Roman" w:cs="Times New Roman" w:eastAsia="Times New Roman" w:hAnsi="Times New Roman"/>
          <w:sz w:val="15"/>
          <w:szCs w:val="15"/>
          <w:color w:val="auto"/>
        </w:rPr>
        <w:t>—</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22,149,589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16129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2900"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8560" w:space="160"/>
            <w:col w:w="2520"/>
          </w:cols>
          <w:pgMar w:left="320" w:top="2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114" w:lineRule="exact"/>
        <w:rPr>
          <w:sz w:val="20"/>
          <w:szCs w:val="20"/>
          <w:color w:val="auto"/>
        </w:rPr>
      </w:pPr>
    </w:p>
    <w:p>
      <w:pPr>
        <w:ind w:left="80" w:hanging="77"/>
        <w:spacing w:after="0" w:line="229" w:lineRule="auto"/>
        <w:tabs>
          <w:tab w:leader="none" w:pos="86" w:val="left"/>
        </w:tabs>
        <w:numPr>
          <w:ilvl w:val="0"/>
          <w:numId w:val="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number of shares to be issued upon exercise of outstanding options, warrants and rights includes shares that will be issued upon the vesting of outstanding RSU awards of 7,683,598 shares and PRSU awards of 234,375 shares.</w:t>
      </w:r>
    </w:p>
    <w:p>
      <w:pPr>
        <w:spacing w:after="0" w:line="88" w:lineRule="exact"/>
        <w:rPr>
          <w:sz w:val="20"/>
          <w:szCs w:val="20"/>
          <w:color w:val="auto"/>
        </w:rPr>
      </w:pPr>
    </w:p>
    <w:p>
      <w:pPr>
        <w:ind w:left="80" w:hanging="77"/>
        <w:spacing w:after="0" w:line="229" w:lineRule="auto"/>
        <w:tabs>
          <w:tab w:leader="none" w:pos="99" w:val="left"/>
        </w:tabs>
        <w:numPr>
          <w:ilvl w:val="0"/>
          <w:numId w:val="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weighted-average exercise price of outstanding options, warrants and rights does not reflect the shares that will be issued upon the vesting of outstanding awards of RSUs and PRSUs, which have no exercise price.</w:t>
      </w:r>
    </w:p>
    <w:p>
      <w:pPr>
        <w:spacing w:after="0" w:line="88" w:lineRule="exact"/>
        <w:rPr>
          <w:sz w:val="20"/>
          <w:szCs w:val="20"/>
          <w:color w:val="auto"/>
        </w:rPr>
      </w:pPr>
    </w:p>
    <w:p>
      <w:pPr>
        <w:jc w:val="both"/>
        <w:ind w:left="80" w:hanging="77"/>
        <w:spacing w:after="0" w:line="243" w:lineRule="auto"/>
        <w:tabs>
          <w:tab w:leader="none" w:pos="99"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2021 Equity Plan provides that on the first day of each fiscal year beginning with the 2022 fiscal year, the number of shares of Class A Common stock reserved for issuance under the 2021 Equity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w:t>
      </w:r>
    </w:p>
    <w:p>
      <w:pPr>
        <w:spacing w:after="0" w:line="87" w:lineRule="exact"/>
        <w:rPr>
          <w:sz w:val="20"/>
          <w:szCs w:val="20"/>
          <w:color w:val="auto"/>
        </w:rPr>
      </w:pPr>
    </w:p>
    <w:p>
      <w:pPr>
        <w:ind w:left="80" w:hanging="77"/>
        <w:spacing w:after="0" w:line="229" w:lineRule="auto"/>
        <w:tabs>
          <w:tab w:leader="none" w:pos="86" w:val="left"/>
        </w:tabs>
        <w:numPr>
          <w:ilvl w:val="0"/>
          <w:numId w:val="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number Consists of 19,530,046 shares of our common stock reserved for issuance under our 2021 Equity Plan and 2,619,543 shares of our common stock reserved for issuance under our 2021 Employee Stock Purchase Plan.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Officers, directors and greater than ten percent stockholders are required by SEC regulation to furnish us with copies of all Section 16(a) forms they file.</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our knowledge, based solely on a review of the copies of such reports furnished to us and written representations that no other reports were required, during the year ended December 31, 2023, all Section 16(a) filing requirements applicable to our officers, directors and greater than ten percent stockholders were complied with, with the exception of two Form 3s for the initial statement of beneficial ownership, which were inadvertently filed late, one for each of Mmes. Hoitt and McMinn, and two Form 4s for restricted stock unit grants, which were inadvertently filed late, one for each of Messrs. Camire and Grazier, all due to administrative errors.</w:t>
      </w:r>
    </w:p>
    <w:p>
      <w:pPr>
        <w:spacing w:after="0" w:line="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is a summary of transactions since January 1, 2023, to which we have been a party in which the amount involved exceeded $120,000 and in which any of our executive officers, directors, managers, promoters, beneficial holders of more than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5% of our membership interests, or any associates or affiliates thereof had or will have a direct or indirect material interest, other than compensation arrangements which are described in the section entitled “Executive Compensation.”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Operating Company Agreement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titled “Security Ownership of Certain Beneficial Owners and Management.”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of the Units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2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Restrictions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Agreement</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Concurrently with the Closing, we, WMH LLC and the Unit holders, including Messrs. Camire, Grazier, Francis, Hartfield and Ghost Media Group, LLC, as described in the section 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Receivable Agreement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Concurrently with the Closing, we, the Holder Representative and the Class A Unit holders, including Mr. Francis, Mr. Hartfield and Ghost Media Group, LLC, as described in the section 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Registration Rights Agreement</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Concurrently with the Closing, Silver Spike Sponsor, LLC (“Silver Spike Sponsor”) and certain Unit holders, including Messrs. Camire, Grazier, Francis, Silver Spike Sponsor, LLC and Ghost Media Group, LLC, as described in the section 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Silver Spike Related Transactions and Agreements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disclosed in the Company’s Form 10-K.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Legacy WMH Transactions and Agreements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Other Enterprises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Transactions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granted equity awards to certain of our executive officers. For a description of equity awards granted to our Named Executive Officers, see the section entitled “Executive Compensation.”</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Person Transactions Policy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considering related-person transactions, our Audit Committee takes into account the relevant available facts and circumstances, which may include, but are not limited to:</w:t>
      </w:r>
    </w:p>
    <w:p>
      <w:pPr>
        <w:spacing w:after="0" w:line="48" w:lineRule="exact"/>
        <w:rPr>
          <w:sz w:val="20"/>
          <w:szCs w:val="20"/>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cost and benefits to us: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the related person is a director, immediate family member of a director or an entity with which a director is affiliated:</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transaction: and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ACCOUNTING FEES AND SERVICES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represents aggregate fees billed to the Company for the years ended December 31, 2023 and 2022, by Moss Adams LLP, the Company’s principal accountant, and Baker Tilly US, LLP, the Company’s previous principal accountant.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2"/>
        </w:trPr>
        <w:tc>
          <w:tcPr>
            <w:tcW w:w="76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6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2"/>
                <w:szCs w:val="22"/>
                <w:color w:val="auto"/>
                <w:vertAlign w:val="superscript"/>
              </w:rPr>
              <w:t>(1)</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842,400</w:t>
            </w:r>
          </w:p>
        </w:tc>
      </w:tr>
      <w:tr>
        <w:trPr>
          <w:trHeight w:val="219"/>
        </w:trPr>
        <w:tc>
          <w:tcPr>
            <w:tcW w:w="76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2"/>
                <w:szCs w:val="22"/>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19,440</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Fees</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2,124,250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861,840</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28" w:lineRule="exact"/>
        <w:rPr>
          <w:sz w:val="20"/>
          <w:szCs w:val="20"/>
          <w:color w:val="auto"/>
        </w:rPr>
      </w:pPr>
    </w:p>
    <w:p>
      <w:pPr>
        <w:jc w:val="both"/>
        <w:ind w:left="320" w:hanging="317"/>
        <w:spacing w:after="0" w:line="252" w:lineRule="auto"/>
        <w:tabs>
          <w:tab w:leader="none" w:pos="31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2023 fiscal year.</w:t>
      </w:r>
    </w:p>
    <w:p>
      <w:pPr>
        <w:ind w:left="300" w:hanging="297"/>
        <w:spacing w:after="0"/>
        <w:tabs>
          <w:tab w:leader="none" w:pos="3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in connection with employee benefit plan audits, prior auditor consent and successor auditor access to workpapers.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2023 fees described above were pre-approved by the Audit Committee.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Audit Committee has adopted a policy and procedures for the pre-approval of audit and non-audit services rendered by our independent registered public accounting firm, Moss Adams LLP.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Audit Committee has determined that the rendering of services other than audit services by Moss Adams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221" w:lineRule="exact"/>
        <w:rPr>
          <w:sz w:val="20"/>
          <w:szCs w:val="20"/>
          <w:color w:val="auto"/>
        </w:rPr>
      </w:pPr>
    </w:p>
    <w:p>
      <w:pPr>
        <w:ind w:right="6540" w:firstLine="3"/>
        <w:spacing w:after="0" w:line="432" w:lineRule="auto"/>
        <w:tabs>
          <w:tab w:leader="none" w:pos="23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Annual Report: 1. Financial Statements.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5"/>
        </w:trPr>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73"/>
        </w:trPr>
        <w:tc>
          <w:tcPr>
            <w:tcW w:w="10360" w:type="dxa"/>
            <w:vAlign w:val="bottom"/>
            <w:gridSpan w:val="6"/>
          </w:tcPr>
          <w:p>
            <w:pPr>
              <w:spacing w:after="0" w:line="173" w:lineRule="exact"/>
              <w:rPr>
                <w:sz w:val="20"/>
                <w:szCs w:val="20"/>
                <w:color w:val="auto"/>
              </w:rPr>
            </w:pPr>
            <w:r>
              <w:rPr>
                <w:rFonts w:ascii="Times New Roman" w:cs="Times New Roman" w:eastAsia="Times New Roman" w:hAnsi="Times New Roman"/>
                <w:sz w:val="17"/>
                <w:szCs w:val="17"/>
                <w:color w:val="0000FF"/>
              </w:rPr>
              <w:t>Consolidated Balance Sheets</w:t>
            </w:r>
          </w:p>
        </w:tc>
        <w:tc>
          <w:tcPr>
            <w:tcW w:w="320" w:type="dxa"/>
            <w:vAlign w:val="bottom"/>
          </w:tcPr>
          <w:p>
            <w:pPr>
              <w:spacing w:after="0"/>
              <w:rPr>
                <w:sz w:val="15"/>
                <w:szCs w:val="15"/>
                <w:color w:val="auto"/>
              </w:rPr>
            </w:pPr>
          </w:p>
        </w:tc>
        <w:tc>
          <w:tcPr>
            <w:tcW w:w="240" w:type="dxa"/>
            <w:vAlign w:val="bottom"/>
            <w:tcBorders>
              <w:bottom w:val="single" w:sz="8" w:color="0000EE"/>
            </w:tcBorders>
          </w:tcPr>
          <w:p>
            <w:pPr>
              <w:jc w:val="center"/>
              <w:spacing w:after="0" w:line="161" w:lineRule="exact"/>
              <w:rPr>
                <w:sz w:val="20"/>
                <w:szCs w:val="20"/>
                <w:color w:val="auto"/>
              </w:rPr>
            </w:pPr>
            <w:r>
              <w:rPr>
                <w:rFonts w:ascii="Times New Roman" w:cs="Times New Roman" w:eastAsia="Times New Roman" w:hAnsi="Times New Roman"/>
                <w:sz w:val="17"/>
                <w:szCs w:val="17"/>
                <w:color w:val="0000EE"/>
              </w:rPr>
              <w:t>F-1</w:t>
            </w:r>
          </w:p>
        </w:tc>
        <w:tc>
          <w:tcPr>
            <w:tcW w:w="300" w:type="dxa"/>
            <w:vAlign w:val="bottom"/>
          </w:tcPr>
          <w:p>
            <w:pPr>
              <w:spacing w:after="0"/>
              <w:rPr>
                <w:sz w:val="15"/>
                <w:szCs w:val="15"/>
                <w:color w:val="auto"/>
              </w:rPr>
            </w:pPr>
          </w:p>
        </w:tc>
      </w:tr>
      <w:tr>
        <w:trPr>
          <w:trHeight w:val="20"/>
        </w:trPr>
        <w:tc>
          <w:tcPr>
            <w:tcW w:w="20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5"/>
        </w:trPr>
        <w:tc>
          <w:tcPr>
            <w:tcW w:w="2740" w:type="dxa"/>
            <w:vAlign w:val="bottom"/>
            <w:tcBorders>
              <w:bottom w:val="single" w:sz="8" w:color="0000FF"/>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FF"/>
              </w:rPr>
              <w:t>Consolidated Statements of Operations</w:t>
            </w:r>
          </w:p>
        </w:tc>
        <w:tc>
          <w:tcPr>
            <w:tcW w:w="762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0000EE"/>
            </w:tcBorders>
          </w:tcPr>
          <w:p>
            <w:pPr>
              <w:jc w:val="center"/>
              <w:spacing w:after="0" w:line="185" w:lineRule="exact"/>
              <w:rPr>
                <w:sz w:val="20"/>
                <w:szCs w:val="20"/>
                <w:color w:val="auto"/>
              </w:rPr>
            </w:pPr>
            <w:r>
              <w:rPr>
                <w:rFonts w:ascii="Times New Roman" w:cs="Times New Roman" w:eastAsia="Times New Roman" w:hAnsi="Times New Roman"/>
                <w:sz w:val="17"/>
                <w:szCs w:val="17"/>
                <w:color w:val="0000EE"/>
              </w:rPr>
              <w:t>F-2</w:t>
            </w:r>
          </w:p>
        </w:tc>
        <w:tc>
          <w:tcPr>
            <w:tcW w:w="300" w:type="dxa"/>
            <w:vAlign w:val="bottom"/>
          </w:tcPr>
          <w:p>
            <w:pPr>
              <w:spacing w:after="0"/>
              <w:rPr>
                <w:sz w:val="16"/>
                <w:szCs w:val="16"/>
                <w:color w:val="auto"/>
              </w:rPr>
            </w:pPr>
          </w:p>
        </w:tc>
      </w:tr>
      <w:tr>
        <w:trPr>
          <w:trHeight w:val="225"/>
        </w:trPr>
        <w:tc>
          <w:tcPr>
            <w:tcW w:w="2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76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F-3</w:t>
            </w:r>
          </w:p>
        </w:tc>
        <w:tc>
          <w:tcPr>
            <w:tcW w:w="300" w:type="dxa"/>
            <w:vAlign w:val="bottom"/>
          </w:tcPr>
          <w:p>
            <w:pPr>
              <w:spacing w:after="0"/>
              <w:rPr>
                <w:sz w:val="19"/>
                <w:szCs w:val="19"/>
                <w:color w:val="auto"/>
              </w:rPr>
            </w:pPr>
          </w:p>
        </w:tc>
      </w:tr>
      <w:tr>
        <w:trPr>
          <w:trHeight w:val="225"/>
        </w:trPr>
        <w:tc>
          <w:tcPr>
            <w:tcW w:w="2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Consolidated Statements of Cash Flows</w:t>
            </w:r>
          </w:p>
        </w:tc>
        <w:tc>
          <w:tcPr>
            <w:tcW w:w="76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F-4</w:t>
            </w:r>
          </w:p>
        </w:tc>
        <w:tc>
          <w:tcPr>
            <w:tcW w:w="300" w:type="dxa"/>
            <w:vAlign w:val="bottom"/>
          </w:tcPr>
          <w:p>
            <w:pPr>
              <w:spacing w:after="0"/>
              <w:rPr>
                <w:sz w:val="19"/>
                <w:szCs w:val="19"/>
                <w:color w:val="auto"/>
              </w:rPr>
            </w:pPr>
          </w:p>
        </w:tc>
      </w:tr>
      <w:tr>
        <w:trPr>
          <w:trHeight w:val="225"/>
        </w:trPr>
        <w:tc>
          <w:tcPr>
            <w:tcW w:w="1036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320" w:type="dxa"/>
            <w:vAlign w:val="bottom"/>
          </w:tcPr>
          <w:p>
            <w:pPr>
              <w:spacing w:after="0"/>
              <w:rPr>
                <w:sz w:val="19"/>
                <w:szCs w:val="19"/>
                <w:color w:val="auto"/>
              </w:rPr>
            </w:pPr>
          </w:p>
        </w:tc>
        <w:tc>
          <w:tcPr>
            <w:tcW w:w="5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EE"/>
              </w:rPr>
              <w:t>F-6</w:t>
            </w:r>
          </w:p>
        </w:tc>
      </w:tr>
      <w:tr>
        <w:trPr>
          <w:trHeight w:val="20"/>
        </w:trPr>
        <w:tc>
          <w:tcPr>
            <w:tcW w:w="2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Annual Report:</w:t>
      </w:r>
    </w:p>
    <w:p>
      <w:pPr>
        <w:sectPr>
          <w:pgSz w:w="11900" w:h="16838" w:orient="portrait"/>
          <w:cols w:equalWidth="0" w:num="1">
            <w:col w:w="11240"/>
          </w:cols>
          <w:pgMar w:left="320" w:top="226" w:right="339" w:bottom="1440" w:gutter="0" w:footer="0" w:header="0"/>
        </w:sectPr>
      </w:pP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60"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3.1</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3.2</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2">
        <w:r>
          <w:rPr>
            <w:rFonts w:ascii="Times New Roman" w:cs="Times New Roman" w:eastAsia="Times New Roman" w:hAnsi="Times New Roman"/>
            <w:sz w:val="17"/>
            <w:szCs w:val="17"/>
            <w:u w:val="single" w:color="auto"/>
            <w:color w:val="0000FF"/>
          </w:rPr>
          <w:t>4.1</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7"/>
            <w:szCs w:val="17"/>
            <w:u w:val="single" w:color="auto"/>
            <w:color w:val="0000FF"/>
          </w:rPr>
          <w:t>4.2</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4.3</w:t>
        </w:r>
      </w:hyperlink>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4.5</w:t>
      </w:r>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10.1</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10.2</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7">
        <w:r>
          <w:rPr>
            <w:rFonts w:ascii="Times New Roman" w:cs="Times New Roman" w:eastAsia="Times New Roman" w:hAnsi="Times New Roman"/>
            <w:sz w:val="17"/>
            <w:szCs w:val="17"/>
            <w:u w:val="single" w:color="auto"/>
            <w:color w:val="0000FF"/>
          </w:rPr>
          <w:t>10.3</w:t>
        </w:r>
      </w:hyperlink>
    </w:p>
    <w:p>
      <w:pPr>
        <w:spacing w:after="0" w:line="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10.4</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10.5</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10.6#</w:t>
        </w:r>
      </w:hyperlink>
    </w:p>
    <w:p>
      <w:pPr>
        <w:spacing w:after="0" w:line="243"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10.7#</w:t>
        </w:r>
      </w:hyperlink>
    </w:p>
    <w:p>
      <w:pPr>
        <w:spacing w:after="0" w:line="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7"/>
            <w:szCs w:val="17"/>
            <w:u w:val="single" w:color="auto"/>
            <w:color w:val="0000FF"/>
          </w:rPr>
          <w:t>10.7(a)(#)</w:t>
        </w:r>
      </w:hyperlink>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19685</wp:posOffset>
            </wp:positionV>
            <wp:extent cx="7138670" cy="286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8670" cy="286385"/>
                    </a:xfrm>
                    <a:prstGeom prst="rect">
                      <a:avLst/>
                    </a:prstGeom>
                    <a:noFill/>
                  </pic:spPr>
                </pic:pic>
              </a:graphicData>
            </a:graphic>
          </wp:anchor>
        </w:drawing>
      </w:r>
    </w:p>
    <w:p>
      <w:pPr>
        <w:spacing w:after="0" w:line="21"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Certificate of Incorporation of the Company, dated June 15, 2021 (incorporated by reference to Exhibit 3.1 to the Current Report on Form 8-K</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Amended and Restated Bylaws of the Company, dated June 16, 2021 (incorporated by reference to Exhibit 3.2 to the Current Report on Form 8-</w:t>
        </w:r>
      </w:hyperlink>
      <w:hyperlink r:id="rId121">
        <w:r>
          <w:rPr>
            <w:rFonts w:ascii="Times New Roman" w:cs="Times New Roman" w:eastAsia="Times New Roman" w:hAnsi="Times New Roman"/>
            <w:sz w:val="17"/>
            <w:szCs w:val="17"/>
            <w:u w:val="single" w:color="auto"/>
            <w:color w:val="0000FF"/>
          </w:rPr>
          <w:t>K 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122">
        <w:r>
          <w:rPr>
            <w:rFonts w:ascii="Times New Roman" w:cs="Times New Roman" w:eastAsia="Times New Roman" w:hAnsi="Times New Roman"/>
            <w:sz w:val="17"/>
            <w:szCs w:val="17"/>
            <w:u w:val="single" w:color="auto"/>
            <w:color w:val="0000FF"/>
          </w:rPr>
          <w:t>Form of Common Stock Certificate of the Company (incorporated by reference to Exhibit 4.1 to the Current Report on Form 8-K filed on June</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ind w:right="20"/>
        <w:spacing w:after="0" w:line="255" w:lineRule="auto"/>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7"/>
            <w:szCs w:val="17"/>
            <w:u w:val="single" w:color="auto"/>
            <w:color w:val="0000FF"/>
          </w:rPr>
          <w:t>Form of Warrant Certificate of the Company (incorporated by reference to Exhibit 4.2 to the Current Report on Form 8-K filed on June 21,</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2021).</w:t>
        </w:r>
      </w:hyperlink>
    </w:p>
    <w:p>
      <w:pPr>
        <w:spacing w:after="0" w:line="231"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Warrant Agreement, dated August 7, 2019, between the Company and Continental Stock Transfer &amp; Trust Company, as warrant agent</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(incorporated by reference to Exhibit 4.1 filed on Silver Spike’s Current Report on Form 8-K, filed by the Company on August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0000FF"/>
        </w:rPr>
        <w:t>Description of Securities</w:t>
      </w:r>
    </w:p>
    <w:p>
      <w:pPr>
        <w:spacing w:after="0" w:line="49"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Exchange Agreement, dated as of June 16, 2021, by and among the Company, Silver Spike Sponsor and the other parties thereto (incorporated by</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reference to Exhibit 10.1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ind w:right="20"/>
        <w:spacing w:after="0" w:line="269" w:lineRule="auto"/>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Tax Receivable Agreement, dated as of June 16, 2021, by and among the Company and the other parties thereto (incorporated by reference to</w:t>
        </w:r>
      </w:hyperlink>
      <w:r>
        <w:rPr>
          <w:rFonts w:ascii="Times New Roman" w:cs="Times New Roman" w:eastAsia="Times New Roman" w:hAnsi="Times New Roman"/>
          <w:sz w:val="17"/>
          <w:szCs w:val="17"/>
          <w:u w:val="single" w:color="auto"/>
          <w:color w:val="0000FF"/>
        </w:rPr>
        <w:t xml:space="preserve"> </w:t>
      </w:r>
      <w:hyperlink r:id="rId126">
        <w:r>
          <w:rPr>
            <w:rFonts w:ascii="Times New Roman" w:cs="Times New Roman" w:eastAsia="Times New Roman" w:hAnsi="Times New Roman"/>
            <w:sz w:val="17"/>
            <w:szCs w:val="17"/>
            <w:u w:val="single" w:color="auto"/>
            <w:color w:val="0000FF"/>
          </w:rPr>
          <w:t>Exhibit 10.2 to the Current Report on Form 8-K 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127">
        <w:r>
          <w:rPr>
            <w:rFonts w:ascii="Times New Roman" w:cs="Times New Roman" w:eastAsia="Times New Roman" w:hAnsi="Times New Roman"/>
            <w:sz w:val="17"/>
            <w:szCs w:val="17"/>
            <w:u w:val="single" w:color="auto"/>
            <w:color w:val="0000FF"/>
          </w:rPr>
          <w:t>Fourth Amended and Restated Operating Agreement of WMH LLC (incorporated by reference to Exhibit 10.3 to the Current Report on Form 8-</w:t>
        </w:r>
      </w:hyperlink>
      <w:hyperlink r:id="rId127">
        <w:r>
          <w:rPr>
            <w:rFonts w:ascii="Times New Roman" w:cs="Times New Roman" w:eastAsia="Times New Roman" w:hAnsi="Times New Roman"/>
            <w:sz w:val="17"/>
            <w:szCs w:val="17"/>
            <w:u w:val="single" w:color="auto"/>
            <w:color w:val="0000FF"/>
          </w:rPr>
          <w:t>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Form of Subscription Agreement (incorporated by reference to Exhibit 10.1 to the Current Report on Form 8-K filed on December 10, 2020).</w:t>
        </w:r>
      </w:hyperlink>
    </w:p>
    <w:p>
      <w:pPr>
        <w:spacing w:after="0" w:line="49" w:lineRule="exact"/>
        <w:rPr>
          <w:sz w:val="20"/>
          <w:szCs w:val="20"/>
          <w:color w:val="auto"/>
        </w:rPr>
      </w:pPr>
    </w:p>
    <w:p>
      <w:pPr>
        <w:ind w:right="20"/>
        <w:spacing w:after="0" w:line="269" w:lineRule="auto"/>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Amended and Restated Registration Rights Agreement, dated as of June 16, 2021, by and among the Company, Silver Spike Sponsor and the</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other parties thereto (incorporated by reference to Exhibit 10.5 to the Current Report on Form 8-K filed on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ind w:right="20"/>
        <w:spacing w:after="0" w:line="269" w:lineRule="auto"/>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Form of Indemnification Agreement by and between the Company and its directors and officers (incorporated by reference to Exhibit 10.6 to the</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Current Report on Form 8-K filed on June 21, 2021).</w:t>
        </w:r>
      </w:hyperlink>
    </w:p>
    <w:p>
      <w:pPr>
        <w:ind w:right="20"/>
        <w:spacing w:after="0" w:line="269" w:lineRule="auto"/>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WM Technology, Inc. 2021 Equity Incentive Plan (incorporated by reference to Exhibit 10.7 to the Current Report on Form 8-K filed on June 21,</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-275590</wp:posOffset>
            </wp:positionV>
            <wp:extent cx="7138670" cy="278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jc w:val="center"/>
        <w:ind w:right="360"/>
        <w:spacing w:after="0"/>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7"/>
            <w:szCs w:val="17"/>
            <w:u w:val="single" w:color="auto"/>
            <w:color w:val="0000FF"/>
          </w:rPr>
          <w:t>Form of Stock Option Grant Notice (incorporated by reference to Exhibit 10.7(a) to the Current Report on Form 8-K filed on June 21, 2021).</w:t>
        </w:r>
      </w:hyperlink>
    </w:p>
    <w:p>
      <w:pPr>
        <w:spacing w:after="0" w:line="225" w:lineRule="exact"/>
        <w:rPr>
          <w:sz w:val="20"/>
          <w:szCs w:val="20"/>
          <w:color w:val="auto"/>
        </w:rPr>
      </w:pPr>
    </w:p>
    <w:p>
      <w:pPr>
        <w:sectPr>
          <w:pgSz w:w="11900" w:h="16838" w:orient="portrait"/>
          <w:cols w:equalWidth="0" w:num="2">
            <w:col w:w="860" w:space="340"/>
            <w:col w:w="10040"/>
          </w:cols>
          <w:pgMar w:left="320" w:top="226"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Borders>
              <w:bottom w:val="single" w:sz="8" w:color="CCEEFF"/>
            </w:tcBorders>
            <w:gridSpan w:val="5"/>
            <w:vMerge w:val="restart"/>
            <w:shd w:val="clear" w:color="auto" w:fill="CCEEFF"/>
          </w:tcPr>
          <w:p>
            <w:pPr>
              <w:ind w:left="20"/>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7(b)#</w:t>
              </w:r>
            </w:hyperlink>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960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Form of RSU Award Grant Notice (incorporated by reference to Exhibit 10.7(b) to the Current Report on Form 8-K filed on June 21, 2021).</w:t>
              </w:r>
            </w:hyperlink>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40" w:type="dxa"/>
            <w:vAlign w:val="bottom"/>
            <w:tcBorders>
              <w:bottom w:val="single" w:sz="8" w:color="CCEEFF"/>
            </w:tcBorders>
            <w:vMerge w:val="restart"/>
            <w:shd w:val="clear" w:color="auto" w:fill="CCEEFF"/>
          </w:tcPr>
          <w:p>
            <w:pPr>
              <w:spacing w:after="0"/>
              <w:rPr>
                <w:sz w:val="18"/>
                <w:szCs w:val="18"/>
                <w:color w:val="auto"/>
              </w:rPr>
            </w:pPr>
          </w:p>
        </w:tc>
        <w:tc>
          <w:tcPr>
            <w:tcW w:w="220" w:type="dxa"/>
            <w:vAlign w:val="bottom"/>
            <w:tcBorders>
              <w:bottom w:val="single" w:sz="8" w:color="CCEEFF"/>
            </w:tcBorders>
            <w:vMerge w:val="restart"/>
            <w:shd w:val="clear" w:color="auto" w:fill="CCEEFF"/>
          </w:tcPr>
          <w:p>
            <w:pPr>
              <w:spacing w:after="0"/>
              <w:rPr>
                <w:sz w:val="18"/>
                <w:szCs w:val="18"/>
                <w:color w:val="auto"/>
              </w:rPr>
            </w:pPr>
          </w:p>
        </w:tc>
        <w:tc>
          <w:tcPr>
            <w:tcW w:w="4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00" w:type="dxa"/>
            <w:vAlign w:val="bottom"/>
            <w:gridSpan w:val="5"/>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vMerge w:val="continue"/>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220" w:type="dxa"/>
            <w:vAlign w:val="bottom"/>
            <w:vMerge w:val="continue"/>
            <w:shd w:val="clear" w:color="auto" w:fill="CCEEFF"/>
          </w:tcPr>
          <w:p>
            <w:pPr>
              <w:spacing w:after="0"/>
              <w:rPr>
                <w:sz w:val="2"/>
                <w:szCs w:val="2"/>
                <w:color w:val="auto"/>
              </w:rPr>
            </w:pPr>
          </w:p>
        </w:tc>
        <w:tc>
          <w:tcPr>
            <w:tcW w:w="40" w:type="dxa"/>
            <w:vAlign w:val="bottom"/>
            <w:vMerge w:val="continue"/>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14"/>
          </w:tcPr>
          <w:p>
            <w:pPr>
              <w:spacing w:after="0" w:line="181"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WM Technology, Inc. 2021 Employee Stock Purchase Plan (incorporated by reference to Exhibit 10.8 to the Current Report on Form 8-K filed on</w:t>
              </w:r>
            </w:hyperlink>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Times New Roman" w:cs="Times New Roman" w:eastAsia="Times New Roman" w:hAnsi="Times New Roman"/>
                <w:sz w:val="17"/>
                <w:szCs w:val="17"/>
                <w:color w:val="0000FF"/>
                <w:w w:val="93"/>
              </w:rPr>
            </w:pPr>
            <w:hyperlink r:id="rId142">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8#</w:t>
              </w:r>
            </w:hyperlink>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top w:val="single" w:sz="8" w:color="0000FF"/>
              <w:bottom w:val="single" w:sz="8" w:color="0000FF"/>
            </w:tcBorders>
            <w:vMerge w:val="restart"/>
          </w:tcPr>
          <w:p>
            <w:pPr>
              <w:spacing w:after="0"/>
              <w:rPr>
                <w:sz w:val="15"/>
                <w:szCs w:val="15"/>
                <w:color w:val="auto"/>
              </w:rPr>
            </w:pPr>
          </w:p>
        </w:tc>
        <w:tc>
          <w:tcPr>
            <w:tcW w:w="10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7"/>
              </w:rPr>
            </w:pPr>
            <w:hyperlink r:id="rId142">
              <w:r>
                <w:rPr>
                  <w:rFonts w:ascii="Times New Roman" w:cs="Times New Roman" w:eastAsia="Times New Roman" w:hAnsi="Times New Roman"/>
                  <w:sz w:val="17"/>
                  <w:szCs w:val="17"/>
                  <w:color w:val="0000FF"/>
                  <w:w w:val="97"/>
                </w:rPr>
                <w:t>June 21, 2021).</w:t>
              </w:r>
            </w:hyperlink>
          </w:p>
        </w:tc>
        <w:tc>
          <w:tcPr>
            <w:tcW w:w="4860" w:type="dxa"/>
            <w:vAlign w:val="bottom"/>
            <w:tcBorders>
              <w:top w:val="single" w:sz="8" w:color="0000FF"/>
              <w:bottom w:val="single" w:sz="8" w:color="0000FF"/>
            </w:tcBorders>
            <w:vMerge w:val="restart"/>
          </w:tcPr>
          <w:p>
            <w:pPr>
              <w:spacing w:after="0"/>
              <w:rPr>
                <w:sz w:val="15"/>
                <w:szCs w:val="15"/>
                <w:color w:val="auto"/>
              </w:rPr>
            </w:pPr>
          </w:p>
        </w:tc>
        <w:tc>
          <w:tcPr>
            <w:tcW w:w="200" w:type="dxa"/>
            <w:vAlign w:val="bottom"/>
            <w:tcBorders>
              <w:top w:val="single" w:sz="8" w:color="0000FF"/>
              <w:bottom w:val="single" w:sz="8" w:color="0000FF"/>
            </w:tcBorders>
            <w:vMerge w:val="restart"/>
          </w:tcPr>
          <w:p>
            <w:pPr>
              <w:spacing w:after="0"/>
              <w:rPr>
                <w:sz w:val="15"/>
                <w:szCs w:val="15"/>
                <w:color w:val="auto"/>
              </w:rPr>
            </w:pPr>
          </w:p>
        </w:tc>
        <w:tc>
          <w:tcPr>
            <w:tcW w:w="980" w:type="dxa"/>
            <w:vAlign w:val="bottom"/>
            <w:tcBorders>
              <w:top w:val="single" w:sz="8" w:color="0000FF"/>
              <w:bottom w:val="single" w:sz="8" w:color="0000FF"/>
            </w:tcBorders>
            <w:vMerge w:val="restart"/>
          </w:tcPr>
          <w:p>
            <w:pPr>
              <w:spacing w:after="0"/>
              <w:rPr>
                <w:sz w:val="15"/>
                <w:szCs w:val="15"/>
                <w:color w:val="auto"/>
              </w:rPr>
            </w:pPr>
          </w:p>
        </w:tc>
        <w:tc>
          <w:tcPr>
            <w:tcW w:w="2260" w:type="dxa"/>
            <w:vAlign w:val="bottom"/>
            <w:tcBorders>
              <w:top w:val="single" w:sz="8" w:color="0000FF"/>
              <w:bottom w:val="single" w:sz="8" w:color="0000FF"/>
            </w:tcBorders>
            <w:vMerge w:val="restart"/>
          </w:tcPr>
          <w:p>
            <w:pPr>
              <w:spacing w:after="0"/>
              <w:rPr>
                <w:sz w:val="15"/>
                <w:szCs w:val="15"/>
                <w:color w:val="auto"/>
              </w:rPr>
            </w:pPr>
          </w:p>
        </w:tc>
        <w:tc>
          <w:tcPr>
            <w:tcW w:w="20" w:type="dxa"/>
            <w:vAlign w:val="bottom"/>
            <w:tcBorders>
              <w:top w:val="single" w:sz="8" w:color="0000FF"/>
              <w:bottom w:val="single" w:sz="8" w:color="0000FF"/>
            </w:tcBorders>
            <w:vMerge w:val="restart"/>
          </w:tcPr>
          <w:p>
            <w:pPr>
              <w:spacing w:after="0"/>
              <w:rPr>
                <w:sz w:val="15"/>
                <w:szCs w:val="15"/>
                <w:color w:val="auto"/>
              </w:rPr>
            </w:pPr>
          </w:p>
        </w:tc>
        <w:tc>
          <w:tcPr>
            <w:tcW w:w="60" w:type="dxa"/>
            <w:vAlign w:val="bottom"/>
            <w:tcBorders>
              <w:top w:val="single" w:sz="8" w:color="0000FF"/>
              <w:bottom w:val="single" w:sz="8" w:color="0000FF"/>
            </w:tcBorders>
            <w:vMerge w:val="restart"/>
          </w:tcPr>
          <w:p>
            <w:pPr>
              <w:spacing w:after="0"/>
              <w:rPr>
                <w:sz w:val="15"/>
                <w:szCs w:val="15"/>
                <w:color w:val="auto"/>
              </w:rPr>
            </w:pPr>
          </w:p>
        </w:tc>
        <w:tc>
          <w:tcPr>
            <w:tcW w:w="280" w:type="dxa"/>
            <w:vAlign w:val="bottom"/>
            <w:tcBorders>
              <w:top w:val="single" w:sz="8" w:color="0000FF"/>
              <w:bottom w:val="single" w:sz="8" w:color="0000FF"/>
            </w:tcBorders>
            <w:gridSpan w:val="2"/>
            <w:vMerge w:val="restart"/>
          </w:tcPr>
          <w:p>
            <w:pPr>
              <w:spacing w:after="0"/>
              <w:rPr>
                <w:sz w:val="15"/>
                <w:szCs w:val="15"/>
                <w:color w:val="auto"/>
              </w:rPr>
            </w:pPr>
          </w:p>
        </w:tc>
        <w:tc>
          <w:tcPr>
            <w:tcW w:w="40" w:type="dxa"/>
            <w:vAlign w:val="bottom"/>
            <w:tcBorders>
              <w:top w:val="single" w:sz="8" w:color="0000FF"/>
              <w:bottom w:val="single" w:sz="8" w:color="0000FF"/>
            </w:tcBorders>
            <w:vMerge w:val="restart"/>
          </w:tcPr>
          <w:p>
            <w:pPr>
              <w:spacing w:after="0"/>
              <w:rPr>
                <w:sz w:val="15"/>
                <w:szCs w:val="15"/>
                <w:color w:val="auto"/>
              </w:rPr>
            </w:pPr>
          </w:p>
        </w:tc>
        <w:tc>
          <w:tcPr>
            <w:tcW w:w="220" w:type="dxa"/>
            <w:vAlign w:val="bottom"/>
            <w:tcBorders>
              <w:top w:val="single" w:sz="8" w:color="0000FF"/>
              <w:bottom w:val="single" w:sz="8" w:color="0000FF"/>
            </w:tcBorders>
            <w:vMerge w:val="restart"/>
          </w:tcPr>
          <w:p>
            <w:pPr>
              <w:spacing w:after="0"/>
              <w:rPr>
                <w:sz w:val="15"/>
                <w:szCs w:val="15"/>
                <w:color w:val="auto"/>
              </w:rPr>
            </w:pPr>
          </w:p>
        </w:tc>
        <w:tc>
          <w:tcPr>
            <w:tcW w:w="40" w:type="dxa"/>
            <w:vAlign w:val="bottom"/>
            <w:tcBorders>
              <w:top w:val="single" w:sz="8" w:color="0000FF"/>
              <w:bottom w:val="single" w:sz="8" w:color="0000FF"/>
            </w:tcBorders>
            <w:vMerge w:val="restart"/>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380" w:type="dxa"/>
            <w:vAlign w:val="bottom"/>
            <w:tcBorders>
              <w:bottom w:val="single" w:sz="8" w:color="0000FF"/>
            </w:tcBorders>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6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shd w:val="clear" w:color="auto" w:fill="CCEEFF"/>
          </w:tcPr>
          <w:p>
            <w:pPr>
              <w:spacing w:after="0"/>
              <w:rPr>
                <w:sz w:val="15"/>
                <w:szCs w:val="15"/>
                <w:color w:val="auto"/>
              </w:rPr>
            </w:pPr>
          </w:p>
        </w:tc>
        <w:tc>
          <w:tcPr>
            <w:tcW w:w="380" w:type="dxa"/>
            <w:vAlign w:val="bottom"/>
            <w:gridSpan w:val="2"/>
            <w:vMerge w:val="restart"/>
            <w:shd w:val="clear" w:color="auto" w:fill="CCEEFF"/>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9</w:t>
              </w:r>
            </w:hyperlink>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4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Lease by and between the Irvine Company LLC and Ghost Media Group, LLC, dated November 11, 2013, as amended (incorporated by</w:t>
              </w:r>
            </w:hyperlink>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tcBorders>
            <w:gridSpan w:val="2"/>
            <w:vMerge w:val="continue"/>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9380" w:type="dxa"/>
            <w:vAlign w:val="bottom"/>
            <w:tcBorders>
              <w:top w:val="single" w:sz="8" w:color="0000FF"/>
            </w:tcBorders>
            <w:gridSpan w:val="7"/>
            <w:shd w:val="clear" w:color="auto" w:fill="CCEEFF"/>
          </w:tcPr>
          <w:p>
            <w:pPr>
              <w:spacing w:after="0" w:line="148"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reference to Exhibit 10.12 to the Current Report on Form 8-K filed on June 21, 2021).</w:t>
              </w:r>
            </w:hyperlink>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48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720" w:type="dxa"/>
            <w:vAlign w:val="bottom"/>
            <w:tcBorders>
              <w:bottom w:val="single" w:sz="8" w:color="0000FF"/>
            </w:tcBorders>
            <w:gridSpan w:val="10"/>
          </w:tcPr>
          <w:p>
            <w:pPr>
              <w:spacing w:after="0" w:line="172"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First Amendment to Lease and Consent to Assignment by and between Discovery Business Center LLC, as successor-in-interest to the Irvine</w:t>
              </w:r>
            </w:hyperlink>
          </w:p>
        </w:tc>
        <w:tc>
          <w:tcPr>
            <w:tcW w:w="3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0" w:type="dxa"/>
            <w:vAlign w:val="bottom"/>
            <w:gridSpan w:val="2"/>
            <w:vMerge w:val="restart"/>
          </w:tcPr>
          <w:p>
            <w:pPr>
              <w:spacing w:after="0"/>
              <w:rPr>
                <w:rFonts w:ascii="Times New Roman" w:cs="Times New Roman" w:eastAsia="Times New Roman" w:hAnsi="Times New Roman"/>
                <w:sz w:val="17"/>
                <w:szCs w:val="17"/>
                <w:color w:val="0000FF"/>
                <w:w w:val="93"/>
              </w:rPr>
            </w:pPr>
            <w:hyperlink r:id="rId144">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10</w:t>
              </w:r>
            </w:hyperlink>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40" w:type="dxa"/>
            <w:vAlign w:val="bottom"/>
            <w:gridSpan w:val="14"/>
          </w:tcPr>
          <w:p>
            <w:pPr>
              <w:spacing w:after="0" w:line="148"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Company LLC, and Ghost Management Group, LLC, as successor-in-interest to Ghost Media Group, LLC, dated January 27, 2016 (incorporated</w:t>
              </w:r>
            </w:hyperlink>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980" w:type="dxa"/>
            <w:vAlign w:val="bottom"/>
            <w:tcBorders>
              <w:top w:val="single" w:sz="8" w:color="0000FF"/>
            </w:tcBorders>
            <w:gridSpan w:val="12"/>
          </w:tcPr>
          <w:p>
            <w:pPr>
              <w:spacing w:after="0" w:line="161"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by reference to Exhibit 10.13 to the Current Report on Form 8-K filed on June 21, 2021).</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8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Times New Roman" w:cs="Times New Roman" w:eastAsia="Times New Roman" w:hAnsi="Times New Roman"/>
                <w:sz w:val="17"/>
                <w:szCs w:val="17"/>
                <w:color w:val="0000FF"/>
                <w:w w:val="93"/>
              </w:rPr>
            </w:pPr>
            <w:hyperlink r:id="rId145">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11</w:t>
              </w:r>
            </w:hyperlink>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40" w:type="dxa"/>
            <w:vAlign w:val="bottom"/>
            <w:gridSpan w:val="14"/>
            <w:shd w:val="clear" w:color="auto" w:fill="CCEEFF"/>
          </w:tcPr>
          <w:p>
            <w:pPr>
              <w:spacing w:after="0" w:line="190"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Second Amendment to Lease, by and between Discovery Business Center LLC and Ghost Management Group, LLC, dated April 7, 2017</w:t>
              </w:r>
            </w:hyperlink>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tcBorders>
            <w:gridSpan w:val="2"/>
            <w:vMerge w:val="continue"/>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9440" w:type="dxa"/>
            <w:vAlign w:val="bottom"/>
            <w:tcBorders>
              <w:top w:val="single" w:sz="8" w:color="0000FF"/>
            </w:tcBorders>
            <w:gridSpan w:val="8"/>
            <w:shd w:val="clear" w:color="auto" w:fill="CCEEFF"/>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(incorporated by reference to Exhibit 10.14 to the Current Report on Form 8-K filed on June 21, 2021).</w:t>
              </w:r>
            </w:hyperlink>
          </w:p>
        </w:tc>
        <w:tc>
          <w:tcPr>
            <w:tcW w:w="320" w:type="dxa"/>
            <w:vAlign w:val="bottom"/>
            <w:tcBorders>
              <w:top w:val="single" w:sz="8" w:color="CCEEFF"/>
            </w:tcBorders>
            <w:gridSpan w:val="3"/>
            <w:shd w:val="clear" w:color="auto" w:fill="CCEEFF"/>
          </w:tcPr>
          <w:p>
            <w:pPr>
              <w:spacing w:after="0"/>
              <w:rPr>
                <w:sz w:val="14"/>
                <w:szCs w:val="14"/>
                <w:color w:val="auto"/>
              </w:rPr>
            </w:pPr>
          </w:p>
        </w:tc>
        <w:tc>
          <w:tcPr>
            <w:tcW w:w="28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48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80" w:type="dxa"/>
            <w:vAlign w:val="bottom"/>
            <w:gridSpan w:val="2"/>
            <w:vMerge w:val="restart"/>
          </w:tcPr>
          <w:p>
            <w:pPr>
              <w:spacing w:after="0"/>
              <w:rPr>
                <w:rFonts w:ascii="Times New Roman" w:cs="Times New Roman" w:eastAsia="Times New Roman" w:hAnsi="Times New Roman"/>
                <w:sz w:val="17"/>
                <w:szCs w:val="17"/>
                <w:color w:val="0000FF"/>
                <w:w w:val="93"/>
              </w:rPr>
            </w:pPr>
            <w:hyperlink r:id="rId146">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12</w:t>
              </w:r>
            </w:hyperlink>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40" w:type="dxa"/>
            <w:vAlign w:val="bottom"/>
            <w:gridSpan w:val="14"/>
          </w:tcPr>
          <w:p>
            <w:pPr>
              <w:spacing w:after="0" w:line="17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Third Amendment to Lease, by and between Discovery Business Center LLC and Ghost Management Group, LLC, dated December 29, 2017</w:t>
              </w:r>
            </w:hyperlink>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760" w:type="dxa"/>
            <w:vAlign w:val="bottom"/>
            <w:tcBorders>
              <w:top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(incorporated by reference to Exhibit 10.15 to the Current Report on Form 8-K filed on June 21, 2021).</w:t>
              </w:r>
            </w:hyperlink>
          </w:p>
        </w:tc>
        <w:tc>
          <w:tcPr>
            <w:tcW w:w="2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48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Times New Roman" w:cs="Times New Roman" w:eastAsia="Times New Roman" w:hAnsi="Times New Roman"/>
                <w:sz w:val="17"/>
                <w:szCs w:val="17"/>
                <w:color w:val="0000FF"/>
                <w:w w:val="93"/>
              </w:rPr>
            </w:pPr>
            <w:hyperlink r:id="rId147">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13</w:t>
              </w:r>
            </w:hyperlink>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40" w:type="dxa"/>
            <w:vAlign w:val="bottom"/>
            <w:gridSpan w:val="14"/>
            <w:shd w:val="clear" w:color="auto" w:fill="CCEEFF"/>
          </w:tcPr>
          <w:p>
            <w:pPr>
              <w:spacing w:after="0" w:line="192"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Fourth Amendment to Lease, by and between Discovery Business Center LLC and Ghost Management Group, LLC, dated May 3, 2018</w:t>
              </w:r>
            </w:hyperlink>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tcBorders>
            <w:gridSpan w:val="2"/>
            <w:vMerge w:val="continue"/>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9360" w:type="dxa"/>
            <w:vAlign w:val="bottom"/>
            <w:tcBorders>
              <w:top w:val="single" w:sz="8" w:color="0000FF"/>
            </w:tcBorders>
            <w:gridSpan w:val="6"/>
            <w:shd w:val="clear" w:color="auto" w:fill="CCEEFF"/>
          </w:tcPr>
          <w:p>
            <w:pPr>
              <w:spacing w:after="0" w:line="148"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(incorporated by reference to Exhibit 10.16 to the Current Report on Form 8-K filed on June 21, 2021).</w:t>
              </w:r>
            </w:hyperlink>
          </w:p>
        </w:tc>
        <w:tc>
          <w:tcPr>
            <w:tcW w:w="680" w:type="dxa"/>
            <w:vAlign w:val="bottom"/>
            <w:tcBorders>
              <w:top w:val="single" w:sz="8" w:color="CCEEFF"/>
            </w:tcBorders>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48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176"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10.15#</w:t>
        </w:r>
      </w:hyperlink>
    </w:p>
    <w:p>
      <w:pPr>
        <w:spacing w:after="0" w:line="204"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10.16#</w:t>
        </w:r>
      </w:hyperlink>
    </w:p>
    <w:p>
      <w:pPr>
        <w:spacing w:after="0" w:line="28"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10.17#</w:t>
        </w:r>
      </w:hyperlink>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10.18#</w:t>
      </w:r>
    </w:p>
    <w:p>
      <w:pPr>
        <w:spacing w:after="0" w:line="204"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10.19#</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10.20#</w:t>
      </w:r>
    </w:p>
    <w:p>
      <w:pPr>
        <w:spacing w:after="0" w:line="200"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10.21#</w:t>
        </w:r>
      </w:hyperlink>
    </w:p>
    <w:p>
      <w:pPr>
        <w:spacing w:after="0" w:line="204"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10.22#</w:t>
        </w:r>
      </w:hyperlink>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10.23#</w:t>
      </w:r>
    </w:p>
    <w:p>
      <w:pPr>
        <w:spacing w:after="0" w:line="20" w:lineRule="exact"/>
        <w:rPr>
          <w:sz w:val="20"/>
          <w:szCs w:val="20"/>
          <w:color w:val="auto"/>
        </w:rPr>
      </w:pPr>
      <w:r>
        <w:rPr>
          <w:sz w:val="20"/>
          <w:szCs w:val="20"/>
          <w:color w:val="auto"/>
        </w:rPr>
        <w:br w:type="column"/>
      </w:r>
    </w:p>
    <w:p>
      <w:pPr>
        <w:ind w:right="120"/>
        <w:spacing w:after="0" w:line="237" w:lineRule="auto"/>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WM Technology, Inc. Non-Employee Director Compensation Policy (incorporated by reference to Exhibit 10.1 to the Quarterly Report on Form</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10-Q filed on November 12, 2021).</w:t>
        </w:r>
      </w:hyperlink>
    </w:p>
    <w:p>
      <w:pPr>
        <w:spacing w:after="0" w:line="10" w:lineRule="exact"/>
        <w:rPr>
          <w:sz w:val="20"/>
          <w:szCs w:val="20"/>
          <w:color w:val="auto"/>
        </w:rPr>
      </w:pPr>
    </w:p>
    <w:p>
      <w:pPr>
        <w:ind w:right="320"/>
        <w:spacing w:after="0" w:line="239" w:lineRule="auto"/>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Amended and Restated WM Technology, Inc. Non-Employee Director Compensation Policy (incorporated by reference to Exhibit 10.2 to the</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Current Report on Form 8-K filed on October 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-244475</wp:posOffset>
            </wp:positionV>
            <wp:extent cx="7138670" cy="254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Offer letter by and between Ghost Management Group, LLC and Duncan Grazier, dated August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7138670" cy="2540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8"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7"/>
          <w:szCs w:val="17"/>
          <w:u w:val="single" w:color="auto"/>
          <w:color w:val="0000FF"/>
        </w:rPr>
        <w:t>Retention Agreement, effective October 2, 2023, by and between the Company and Duncan Grazier (incorporated by reference to Exhibit 10.1 to the Current Report on Form 8-K filed on October 6, 2023).</w:t>
      </w:r>
    </w:p>
    <w:p>
      <w:pPr>
        <w:spacing w:after="0" w:line="10" w:lineRule="exact"/>
        <w:rPr>
          <w:sz w:val="20"/>
          <w:szCs w:val="20"/>
          <w:color w:val="auto"/>
        </w:rPr>
      </w:pPr>
    </w:p>
    <w:p>
      <w:pPr>
        <w:ind w:right="20"/>
        <w:spacing w:after="0" w:line="239"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Employment Agreement, dated August 15, 2023, by and between the Company and Douglas Francis (incorporated by reference to Exhibit 10.1 to</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the Current Report on Form 8-K filed on October 6, 2023).</w:t>
        </w:r>
      </w:hyperlink>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Employment Agreement, dated April 4, 2019, by and between the Company and Brian Camire.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-121285</wp:posOffset>
            </wp:positionV>
            <wp:extent cx="7138670"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right="180"/>
        <w:spacing w:after="0" w:line="237"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Executive Services Agreement, dated July 16, 2023, by and between SeatonHillPartners, L.P. and WM Technology Inc. (incorporated herein by</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reference to Exhibit 10.1 to the Current Report on Form 8-K filed by WM Technology, Inc. on July 20, 2023).</w:t>
        </w:r>
      </w:hyperlink>
    </w:p>
    <w:p>
      <w:pPr>
        <w:spacing w:after="0" w:line="10" w:lineRule="exact"/>
        <w:rPr>
          <w:sz w:val="20"/>
          <w:szCs w:val="20"/>
          <w:color w:val="auto"/>
        </w:rPr>
      </w:pPr>
    </w:p>
    <w:p>
      <w:pPr>
        <w:ind w:right="200"/>
        <w:spacing w:after="0" w:line="239"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Separation and Release Agreement, by and between Randa McMinn and WM Technology, Inc, dated October 18, 2023 (incorporated herein by</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reference to Exhibit 10.5# to the Quarterly Report on Form 10-Q filed on November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-244475</wp:posOffset>
            </wp:positionV>
            <wp:extent cx="7138670" cy="2540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0000FF"/>
        </w:rPr>
        <w:t>Amendment to Executive Services Agreement, by and between SeatonHillPartners, L.P. and WM Technology Inc., dated February 26, 2024</w:t>
      </w:r>
      <w:r>
        <w:rPr>
          <w:rFonts w:ascii="Times New Roman" w:cs="Times New Roman" w:eastAsia="Times New Roman" w:hAnsi="Times New Roman"/>
          <w:sz w:val="17"/>
          <w:szCs w:val="17"/>
          <w:color w:val="000000"/>
        </w:rPr>
        <w:t>.</w:t>
      </w:r>
    </w:p>
    <w:p>
      <w:pPr>
        <w:spacing w:after="0" w:line="11" w:lineRule="exact"/>
        <w:rPr>
          <w:sz w:val="20"/>
          <w:szCs w:val="20"/>
          <w:color w:val="auto"/>
        </w:rPr>
      </w:pPr>
    </w:p>
    <w:p>
      <w:pPr>
        <w:sectPr>
          <w:pgSz w:w="11900" w:h="16838" w:orient="portrait"/>
          <w:cols w:equalWidth="0" w:num="2">
            <w:col w:w="500" w:space="700"/>
            <w:col w:w="1004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shd w:val="clear" w:color="auto" w:fill="CCEEFF"/>
          </w:tcPr>
          <w:p>
            <w:pPr>
              <w:spacing w:after="0"/>
              <w:rPr>
                <w:sz w:val="16"/>
                <w:szCs w:val="16"/>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FF"/>
              </w:rPr>
              <w:t>21.</w:t>
            </w:r>
            <w:r>
              <w:rPr>
                <w:rFonts w:ascii="Times New Roman" w:cs="Times New Roman" w:eastAsia="Times New Roman" w:hAnsi="Times New Roman"/>
                <w:sz w:val="17"/>
                <w:szCs w:val="17"/>
                <w:u w:val="single" w:color="auto"/>
                <w:color w:val="0000FF"/>
              </w:rPr>
              <w:t>1</w:t>
            </w:r>
          </w:p>
        </w:tc>
        <w:tc>
          <w:tcPr>
            <w:tcW w:w="820" w:type="dxa"/>
            <w:vAlign w:val="bottom"/>
            <w:tcBorders>
              <w:right w:val="single" w:sz="8" w:color="CCEEFF"/>
            </w:tcBorders>
            <w:shd w:val="clear" w:color="auto" w:fill="CCEEFF"/>
          </w:tcPr>
          <w:p>
            <w:pPr>
              <w:spacing w:after="0"/>
              <w:rPr>
                <w:sz w:val="16"/>
                <w:szCs w:val="16"/>
                <w:color w:val="auto"/>
              </w:rPr>
            </w:pPr>
          </w:p>
        </w:tc>
        <w:tc>
          <w:tcPr>
            <w:tcW w:w="100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0000FF"/>
              </w:rPr>
              <w:t>List of Subsidiaries of the Registrant</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8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23.</w:t>
            </w:r>
            <w:r>
              <w:rPr>
                <w:rFonts w:ascii="Times New Roman" w:cs="Times New Roman" w:eastAsia="Times New Roman" w:hAnsi="Times New Roman"/>
                <w:sz w:val="17"/>
                <w:szCs w:val="17"/>
                <w:u w:val="single" w:color="auto"/>
                <w:color w:val="0000FF"/>
              </w:rPr>
              <w:t>1</w:t>
            </w:r>
          </w:p>
        </w:tc>
        <w:tc>
          <w:tcPr>
            <w:tcW w:w="820" w:type="dxa"/>
            <w:vAlign w:val="bottom"/>
          </w:tcPr>
          <w:p>
            <w:pPr>
              <w:spacing w:after="0"/>
              <w:rPr>
                <w:sz w:val="15"/>
                <w:szCs w:val="15"/>
                <w:color w:val="auto"/>
              </w:rPr>
            </w:pPr>
          </w:p>
        </w:tc>
        <w:tc>
          <w:tcPr>
            <w:tcW w:w="100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Consent of Baker Tilly US, LLP</w:t>
            </w:r>
          </w:p>
        </w:tc>
      </w:tr>
      <w:tr>
        <w:trPr>
          <w:trHeight w:val="29"/>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38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23.</w:t>
            </w:r>
            <w:r>
              <w:rPr>
                <w:rFonts w:ascii="Times New Roman" w:cs="Times New Roman" w:eastAsia="Times New Roman" w:hAnsi="Times New Roman"/>
                <w:sz w:val="17"/>
                <w:szCs w:val="17"/>
                <w:u w:val="single" w:color="auto"/>
                <w:color w:val="0000FF"/>
              </w:rPr>
              <w:t>2</w:t>
            </w:r>
          </w:p>
        </w:tc>
        <w:tc>
          <w:tcPr>
            <w:tcW w:w="820" w:type="dxa"/>
            <w:vAlign w:val="bottom"/>
            <w:tcBorders>
              <w:right w:val="single" w:sz="8" w:color="CCEEFF"/>
            </w:tcBorders>
            <w:shd w:val="clear" w:color="auto" w:fill="CCEEFF"/>
          </w:tcPr>
          <w:p>
            <w:pPr>
              <w:spacing w:after="0"/>
              <w:rPr>
                <w:sz w:val="16"/>
                <w:szCs w:val="16"/>
                <w:color w:val="auto"/>
              </w:rPr>
            </w:pPr>
          </w:p>
        </w:tc>
        <w:tc>
          <w:tcPr>
            <w:tcW w:w="1006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Consent of Moss Adams, LLP</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60" w:type="dxa"/>
            <w:vAlign w:val="bottom"/>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Principal Executive Officer pursuant to Rules 13a-14(a) and 15d-14(a) under the Securities Exchange Act of 1934, as adopted</w:t>
            </w:r>
          </w:p>
        </w:tc>
      </w:tr>
      <w:tr>
        <w:trPr>
          <w:trHeight w:val="173"/>
        </w:trPr>
        <w:tc>
          <w:tcPr>
            <w:tcW w:w="400" w:type="dxa"/>
            <w:vAlign w:val="bottom"/>
            <w:gridSpan w:val="4"/>
          </w:tcPr>
          <w:p>
            <w:pPr>
              <w:ind w:left="20"/>
              <w:spacing w:after="0" w:line="173"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82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5"/>
          </w:tcPr>
          <w:p>
            <w:pPr>
              <w:spacing w:after="0" w:line="161" w:lineRule="exact"/>
              <w:rPr>
                <w:sz w:val="20"/>
                <w:szCs w:val="20"/>
                <w:color w:val="auto"/>
              </w:rPr>
            </w:pPr>
            <w:r>
              <w:rPr>
                <w:rFonts w:ascii="Times New Roman" w:cs="Times New Roman" w:eastAsia="Times New Roman" w:hAnsi="Times New Roman"/>
                <w:sz w:val="17"/>
                <w:szCs w:val="17"/>
                <w:color w:val="0000FF"/>
                <w:w w:val="99"/>
              </w:rPr>
              <w:t>pursuant to Section 302 of the Sarbanes-Oxley Act of 2002</w:t>
            </w:r>
          </w:p>
        </w:tc>
        <w:tc>
          <w:tcPr>
            <w:tcW w:w="1340" w:type="dxa"/>
            <w:vAlign w:val="bottom"/>
            <w:tcBorders>
              <w:top w:val="single" w:sz="8" w:color="0000FF"/>
              <w:bottom w:val="single" w:sz="8" w:color="0000FF"/>
            </w:tcBorders>
          </w:tcPr>
          <w:p>
            <w:pPr>
              <w:spacing w:after="0"/>
              <w:rPr>
                <w:sz w:val="15"/>
                <w:szCs w:val="15"/>
                <w:color w:val="auto"/>
              </w:rPr>
            </w:pPr>
          </w:p>
        </w:tc>
        <w:tc>
          <w:tcPr>
            <w:tcW w:w="462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006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the Principal Financial Officer pursuant to Rules 13a-14(a) and 15d-14(a) under the Securities Exchange Act of 1934, as adopted</w:t>
            </w:r>
          </w:p>
        </w:tc>
      </w:tr>
      <w:tr>
        <w:trPr>
          <w:trHeight w:val="223"/>
        </w:trPr>
        <w:tc>
          <w:tcPr>
            <w:tcW w:w="400" w:type="dxa"/>
            <w:vAlign w:val="bottom"/>
            <w:tcBorders>
              <w:top w:val="single" w:sz="8" w:color="CCEEFF"/>
              <w:bottom w:val="single" w:sz="8" w:color="CCEEFF"/>
            </w:tcBorders>
            <w:gridSpan w:val="4"/>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8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40" w:type="dxa"/>
            <w:vAlign w:val="bottom"/>
            <w:tcBorders>
              <w:top w:val="single" w:sz="8" w:color="0000FF"/>
              <w:bottom w:val="single" w:sz="8" w:color="0000FF"/>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0000FF"/>
                <w:w w:val="99"/>
              </w:rPr>
              <w:t>pursuant to Section 302 of the Sarbanes-Oxley Act of 2002</w:t>
            </w:r>
          </w:p>
        </w:tc>
        <w:tc>
          <w:tcPr>
            <w:tcW w:w="1340" w:type="dxa"/>
            <w:vAlign w:val="bottom"/>
            <w:tcBorders>
              <w:top w:val="single" w:sz="8" w:color="0000FF"/>
              <w:bottom w:val="single" w:sz="8" w:color="0000FF"/>
            </w:tcBorders>
            <w:shd w:val="clear" w:color="auto" w:fill="CCEEFF"/>
          </w:tcPr>
          <w:p>
            <w:pPr>
              <w:spacing w:after="0"/>
              <w:rPr>
                <w:sz w:val="18"/>
                <w:szCs w:val="18"/>
                <w:color w:val="auto"/>
              </w:rPr>
            </w:pPr>
          </w:p>
        </w:tc>
        <w:tc>
          <w:tcPr>
            <w:tcW w:w="4640" w:type="dxa"/>
            <w:vAlign w:val="bottom"/>
            <w:tcBorders>
              <w:top w:val="single" w:sz="8" w:color="0000FF"/>
              <w:bottom w:val="single" w:sz="8" w:color="0000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60" w:type="dxa"/>
            <w:vAlign w:val="bottom"/>
            <w:tcBorders>
              <w:top w:val="single" w:sz="8" w:color="CCEEFF"/>
            </w:tcBorders>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Certifications of the Principal Executive Officer and Principal Financial Officer pursuant to 18 U.S.C. Section 1350, as adopted pursuant to</w:t>
            </w:r>
          </w:p>
        </w:tc>
      </w:tr>
      <w:tr>
        <w:trPr>
          <w:trHeight w:val="173"/>
        </w:trPr>
        <w:tc>
          <w:tcPr>
            <w:tcW w:w="400" w:type="dxa"/>
            <w:vAlign w:val="bottom"/>
            <w:gridSpan w:val="4"/>
          </w:tcPr>
          <w:p>
            <w:pPr>
              <w:ind w:left="20"/>
              <w:spacing w:after="0" w:line="17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82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4"/>
          </w:tcPr>
          <w:p>
            <w:pPr>
              <w:spacing w:after="0" w:line="161" w:lineRule="exact"/>
              <w:rPr>
                <w:sz w:val="20"/>
                <w:szCs w:val="20"/>
                <w:color w:val="auto"/>
              </w:rPr>
            </w:pPr>
            <w:r>
              <w:rPr>
                <w:rFonts w:ascii="Times New Roman" w:cs="Times New Roman" w:eastAsia="Times New Roman" w:hAnsi="Times New Roman"/>
                <w:sz w:val="17"/>
                <w:szCs w:val="17"/>
                <w:color w:val="0000FF"/>
                <w:w w:val="99"/>
              </w:rPr>
              <w:t>Section 906 of the Sarbanes-Oxley Act of 2002</w:t>
            </w:r>
          </w:p>
        </w:tc>
        <w:tc>
          <w:tcPr>
            <w:tcW w:w="2140" w:type="dxa"/>
            <w:vAlign w:val="bottom"/>
            <w:tcBorders>
              <w:top w:val="single" w:sz="8" w:color="0000FF"/>
              <w:bottom w:val="single" w:sz="8" w:color="0000FF"/>
            </w:tcBorders>
            <w:gridSpan w:val="2"/>
          </w:tcPr>
          <w:p>
            <w:pPr>
              <w:spacing w:after="0"/>
              <w:rPr>
                <w:sz w:val="15"/>
                <w:szCs w:val="15"/>
                <w:color w:val="auto"/>
              </w:rPr>
            </w:pPr>
          </w:p>
        </w:tc>
        <w:tc>
          <w:tcPr>
            <w:tcW w:w="4660" w:type="dxa"/>
            <w:vAlign w:val="bottom"/>
            <w:tcBorders>
              <w:top w:val="single" w:sz="8" w:color="0000FF"/>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FF"/>
                <w:w w:val="93"/>
              </w:rPr>
              <w:t>97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006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FF"/>
              </w:rPr>
              <w:t>Incentive Compensation Recoupment (Clawback) Policy, dated April 20, 2023</w:t>
            </w:r>
          </w:p>
        </w:tc>
      </w:tr>
      <w:tr>
        <w:trPr>
          <w:trHeight w:val="39"/>
        </w:trPr>
        <w:tc>
          <w:tcPr>
            <w:tcW w:w="2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4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60" w:type="dxa"/>
            <w:vAlign w:val="bottom"/>
            <w:gridSpan w:val="10"/>
          </w:tcPr>
          <w:p>
            <w:pPr>
              <w:spacing w:after="0" w:line="167" w:lineRule="exact"/>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 XBRL tags are embedded within</w:t>
            </w:r>
          </w:p>
        </w:tc>
      </w:tr>
      <w:tr>
        <w:trPr>
          <w:trHeight w:val="232"/>
        </w:trPr>
        <w:tc>
          <w:tcPr>
            <w:tcW w:w="12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Inline XBRL document)</w:t>
            </w:r>
          </w:p>
        </w:tc>
      </w:tr>
      <w:tr>
        <w:trPr>
          <w:trHeight w:val="219"/>
        </w:trPr>
        <w:tc>
          <w:tcPr>
            <w:tcW w:w="122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00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19"/>
        </w:trPr>
        <w:tc>
          <w:tcPr>
            <w:tcW w:w="12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19"/>
        </w:trPr>
        <w:tc>
          <w:tcPr>
            <w:tcW w:w="122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00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19"/>
        </w:trPr>
        <w:tc>
          <w:tcPr>
            <w:tcW w:w="12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19"/>
        </w:trPr>
        <w:tc>
          <w:tcPr>
            <w:tcW w:w="122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00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3"/>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  Indicates management contract or compensatory plan, contract or agreement.</w:t>
      </w:r>
    </w:p>
    <w:p>
      <w:pPr>
        <w:spacing w:after="0" w:line="49" w:lineRule="exact"/>
        <w:rPr>
          <w:sz w:val="20"/>
          <w:szCs w:val="20"/>
          <w:color w:val="auto"/>
        </w:rPr>
      </w:pPr>
    </w:p>
    <w:p>
      <w:pPr>
        <w:jc w:val="both"/>
        <w:ind w:left="360" w:hanging="202"/>
        <w:spacing w:after="0" w:line="254" w:lineRule="auto"/>
        <w:tabs>
          <w:tab w:leader="none" w:pos="3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duly caused this report to be signed on its behalf by the undersigned, thereunto duly authorized.</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7460" w:type="dxa"/>
            <w:vAlign w:val="bottom"/>
            <w:gridSpan w:val="3"/>
          </w:tcPr>
          <w:p>
            <w:pPr>
              <w:ind w:left="2200"/>
              <w:spacing w:after="0"/>
              <w:rPr>
                <w:sz w:val="20"/>
                <w:szCs w:val="20"/>
                <w:color w:val="auto"/>
              </w:rPr>
            </w:pPr>
            <w:r>
              <w:rPr>
                <w:rFonts w:ascii="Times New Roman" w:cs="Times New Roman" w:eastAsia="Times New Roman" w:hAnsi="Times New Roman"/>
                <w:sz w:val="17"/>
                <w:szCs w:val="17"/>
                <w:b w:val="1"/>
                <w:bCs w:val="1"/>
                <w:color w:val="auto"/>
              </w:rPr>
              <w:t>WM TECHNOLOGY, INC.</w:t>
            </w:r>
          </w:p>
        </w:tc>
      </w:tr>
      <w:tr>
        <w:trPr>
          <w:trHeight w:val="709"/>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Date:   May 24, 2024</w:t>
            </w:r>
          </w:p>
        </w:tc>
        <w:tc>
          <w:tcPr>
            <w:tcW w:w="7460" w:type="dxa"/>
            <w:vAlign w:val="bottom"/>
            <w:gridSpan w:val="3"/>
          </w:tcPr>
          <w:p>
            <w:pPr>
              <w:ind w:left="2200"/>
              <w:spacing w:after="0"/>
              <w:rPr>
                <w:sz w:val="20"/>
                <w:szCs w:val="20"/>
                <w:color w:val="auto"/>
              </w:rPr>
            </w:pPr>
            <w:r>
              <w:rPr>
                <w:rFonts w:ascii="Times New Roman" w:cs="Times New Roman" w:eastAsia="Times New Roman" w:hAnsi="Times New Roman"/>
                <w:sz w:val="17"/>
                <w:szCs w:val="17"/>
                <w:color w:val="auto"/>
              </w:rPr>
              <w:t>By:  /s/ Douglas Francis</w:t>
            </w:r>
          </w:p>
        </w:tc>
      </w:tr>
      <w:tr>
        <w:trPr>
          <w:trHeight w:val="209"/>
        </w:trPr>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4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Douglas Francis</w:t>
            </w:r>
          </w:p>
        </w:tc>
      </w:tr>
      <w:tr>
        <w:trPr>
          <w:trHeight w:val="215"/>
        </w:trPr>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Executive Chair</w:t>
            </w:r>
          </w:p>
        </w:tc>
      </w:tr>
      <w:tr>
        <w:trPr>
          <w:trHeight w:val="227"/>
        </w:trPr>
        <w:tc>
          <w:tcPr>
            <w:tcW w:w="3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32"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Douglas Francis and Susan Echard, and each of them, his or her true and lawful attorneys-in-fact and agents, each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76"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8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120" w:type="dxa"/>
            <w:vAlign w:val="bottom"/>
          </w:tcPr>
          <w:p>
            <w:pPr>
              <w:ind w:left="27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0" w:type="dxa"/>
            <w:vAlign w:val="bottom"/>
          </w:tcPr>
          <w:p>
            <w:pPr>
              <w:ind w:left="1660"/>
              <w:spacing w:after="0"/>
              <w:rPr>
                <w:sz w:val="20"/>
                <w:szCs w:val="20"/>
                <w:color w:val="auto"/>
              </w:rPr>
            </w:pPr>
            <w:r>
              <w:rPr>
                <w:rFonts w:ascii="Times New Roman" w:cs="Times New Roman" w:eastAsia="Times New Roman" w:hAnsi="Times New Roman"/>
                <w:sz w:val="17"/>
                <w:szCs w:val="17"/>
                <w:b w:val="1"/>
                <w:bCs w:val="1"/>
                <w:color w:val="auto"/>
                <w:w w:val="94"/>
              </w:rPr>
              <w:t>Date</w:t>
            </w:r>
          </w:p>
        </w:tc>
      </w:tr>
      <w:tr>
        <w:trPr>
          <w:trHeight w:val="4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Francis</w:t>
            </w: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Executive Chair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Francis</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Susan Echard</w:t>
            </w:r>
          </w:p>
        </w:tc>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Interim Chief Financial Officer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Susan Echard</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Tony Aquila</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Tony Aquila</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Anthony Bay</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Anthony Bay</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Brenda Freeman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Brenda Freeman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Olga Gonzalez</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Olga Gonzalez</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Scott Gordon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Gordon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Fiona Tan</w:t>
            </w:r>
          </w:p>
        </w:tc>
        <w:tc>
          <w:tcPr>
            <w:tcW w:w="5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May 24, 2024</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Fiona Tan</w:t>
            </w:r>
          </w:p>
        </w:tc>
        <w:tc>
          <w:tcPr>
            <w:tcW w:w="512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80" w:type="dxa"/>
            <w:vAlign w:val="bottom"/>
            <w:gridSpan w:val="9"/>
          </w:tcPr>
          <w:p>
            <w:pPr>
              <w:ind w:left="3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80" w:type="dxa"/>
            <w:vAlign w:val="bottom"/>
            <w:gridSpan w:val="14"/>
            <w:vMerge w:val="restart"/>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(Moss Adams LLP, Irvine, California, Auditor ID: (PCAOB ID</w:t>
            </w: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2"/>
        </w:trPr>
        <w:tc>
          <w:tcPr>
            <w:tcW w:w="20" w:type="dxa"/>
            <w:vAlign w:val="bottom"/>
          </w:tcPr>
          <w:p>
            <w:pPr>
              <w:spacing w:after="0"/>
              <w:rPr>
                <w:sz w:val="24"/>
                <w:szCs w:val="24"/>
                <w:color w:val="auto"/>
              </w:rPr>
            </w:pPr>
          </w:p>
        </w:tc>
        <w:tc>
          <w:tcPr>
            <w:tcW w:w="8680" w:type="dxa"/>
            <w:vAlign w:val="bottom"/>
            <w:gridSpan w:val="14"/>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EE"/>
              </w:rPr>
              <w:t>659))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868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 (Baker Tilly, LLP, Irvine, California, Auditor ID: (PCAOB ID 23)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1140" w:type="dxa"/>
            <w:vAlign w:val="bottom"/>
            <w:tcBorders>
              <w:top w:val="single" w:sz="8" w:color="0000EE"/>
              <w:bottom w:val="single" w:sz="8" w:color="0000EE"/>
            </w:tcBorders>
          </w:tcPr>
          <w:p>
            <w:pPr>
              <w:spacing w:after="0"/>
              <w:rPr>
                <w:sz w:val="24"/>
                <w:szCs w:val="24"/>
                <w:color w:val="auto"/>
              </w:rPr>
            </w:pPr>
          </w:p>
        </w:tc>
        <w:tc>
          <w:tcPr>
            <w:tcW w:w="312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7"/>
                <w:szCs w:val="17"/>
                <w:color w:val="0000EE"/>
              </w:rPr>
              <w:t>F-1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gridSpan w:val="14"/>
          </w:tcPr>
          <w:p>
            <w:pPr>
              <w:spacing w:after="0" w:line="185" w:lineRule="exact"/>
              <w:rPr>
                <w:sz w:val="20"/>
                <w:szCs w:val="20"/>
                <w:color w:val="auto"/>
              </w:rPr>
            </w:pPr>
            <w:r>
              <w:rPr>
                <w:rFonts w:ascii="Times New Roman" w:cs="Times New Roman" w:eastAsia="Times New Roman" w:hAnsi="Times New Roman"/>
                <w:sz w:val="17"/>
                <w:szCs w:val="17"/>
                <w:color w:val="0000FF"/>
              </w:rPr>
              <w:t>Consolidated Statements of Operations</w:t>
            </w:r>
          </w:p>
        </w:tc>
        <w:tc>
          <w:tcPr>
            <w:tcW w:w="1140" w:type="dxa"/>
            <w:vAlign w:val="bottom"/>
          </w:tcPr>
          <w:p>
            <w:pPr>
              <w:spacing w:after="0"/>
              <w:rPr>
                <w:sz w:val="16"/>
                <w:szCs w:val="16"/>
                <w:color w:val="auto"/>
              </w:rPr>
            </w:pPr>
          </w:p>
        </w:tc>
        <w:tc>
          <w:tcPr>
            <w:tcW w:w="1400" w:type="dxa"/>
            <w:vAlign w:val="bottom"/>
            <w:gridSpan w:val="2"/>
          </w:tcPr>
          <w:p>
            <w:pPr>
              <w:jc w:val="center"/>
              <w:ind w:right="1160"/>
              <w:spacing w:after="0" w:line="185" w:lineRule="exact"/>
              <w:rPr>
                <w:sz w:val="20"/>
                <w:szCs w:val="20"/>
                <w:color w:val="auto"/>
              </w:rPr>
            </w:pPr>
            <w:r>
              <w:rPr>
                <w:rFonts w:ascii="Times New Roman" w:cs="Times New Roman" w:eastAsia="Times New Roman" w:hAnsi="Times New Roman"/>
                <w:sz w:val="17"/>
                <w:szCs w:val="17"/>
                <w:color w:val="0000EE"/>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280" w:type="dxa"/>
            <w:vAlign w:val="bottom"/>
          </w:tcPr>
          <w:p>
            <w:pPr>
              <w:spacing w:after="0"/>
              <w:rPr>
                <w:sz w:val="19"/>
                <w:szCs w:val="19"/>
                <w:color w:val="auto"/>
              </w:rPr>
            </w:pPr>
          </w:p>
        </w:tc>
        <w:tc>
          <w:tcPr>
            <w:tcW w:w="6000" w:type="dxa"/>
            <w:vAlign w:val="bottom"/>
            <w:gridSpan w:val="11"/>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color w:val="0000EE"/>
              </w:rPr>
              <w:t>F-3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Consolidated Statements of Cash Flows</w:t>
            </w:r>
          </w:p>
        </w:tc>
        <w:tc>
          <w:tcPr>
            <w:tcW w:w="5940" w:type="dxa"/>
            <w:vAlign w:val="bottom"/>
            <w:gridSpan w:val="10"/>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color w:val="0000EE"/>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68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1140" w:type="dxa"/>
            <w:vAlign w:val="bottom"/>
          </w:tcPr>
          <w:p>
            <w:pPr>
              <w:spacing w:after="0"/>
              <w:rPr>
                <w:sz w:val="19"/>
                <w:szCs w:val="19"/>
                <w:color w:val="auto"/>
              </w:rPr>
            </w:pPr>
          </w:p>
        </w:tc>
        <w:tc>
          <w:tcPr>
            <w:tcW w:w="140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color w:val="0000EE"/>
              </w:rPr>
              <w:t>F-6</w:t>
            </w:r>
          </w:p>
        </w:tc>
        <w:tc>
          <w:tcPr>
            <w:tcW w:w="0" w:type="dxa"/>
            <w:vAlign w:val="bottom"/>
          </w:tcPr>
          <w:p>
            <w:pPr>
              <w:spacing w:after="0"/>
              <w:rPr>
                <w:sz w:val="1"/>
                <w:szCs w:val="1"/>
                <w:color w:val="auto"/>
              </w:rPr>
            </w:pPr>
          </w:p>
        </w:tc>
      </w:tr>
      <w:tr>
        <w:trPr>
          <w:trHeight w:val="1352"/>
        </w:trPr>
        <w:tc>
          <w:tcPr>
            <w:tcW w:w="20" w:type="dxa"/>
            <w:vAlign w:val="bottom"/>
            <w:tcBorders>
              <w:bottom w:val="single" w:sz="8" w:color="9A9A9A"/>
            </w:tcBorders>
          </w:tcPr>
          <w:p>
            <w:pPr>
              <w:spacing w:after="0"/>
              <w:rPr>
                <w:sz w:val="24"/>
                <w:szCs w:val="24"/>
                <w:color w:val="auto"/>
              </w:rPr>
            </w:pPr>
          </w:p>
        </w:tc>
        <w:tc>
          <w:tcPr>
            <w:tcW w:w="200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Shareholders and the Board of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(2013) </w:t>
      </w:r>
      <w:r>
        <w:rPr>
          <w:rFonts w:ascii="Times New Roman" w:cs="Times New Roman" w:eastAsia="Times New Roman" w:hAnsi="Times New Roman"/>
          <w:sz w:val="17"/>
          <w:szCs w:val="17"/>
          <w:color w:val="auto"/>
        </w:rPr>
        <w:t>issued by the Committee of Sponsoring Organizations of the Treadway Commission (“COSO”).</w:t>
      </w:r>
    </w:p>
    <w:p>
      <w:pPr>
        <w:spacing w:after="0" w:line="20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 Also in our opinion, because of the effect of the material weaknesses identified below 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Restatement of Financial Statements</w:t>
      </w:r>
    </w:p>
    <w:p>
      <w:pPr>
        <w:spacing w:after="0" w:line="6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6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audit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in Item 9A:</w:t>
      </w:r>
    </w:p>
    <w:p>
      <w:pPr>
        <w:spacing w:after="0" w:line="88" w:lineRule="exact"/>
        <w:rPr>
          <w:sz w:val="20"/>
          <w:szCs w:val="20"/>
          <w:color w:val="auto"/>
        </w:rPr>
      </w:pPr>
    </w:p>
    <w:p>
      <w:pPr>
        <w:jc w:val="both"/>
        <w:ind w:left="620" w:hanging="307"/>
        <w:spacing w:after="0" w:line="241" w:lineRule="auto"/>
        <w:tabs>
          <w:tab w:leader="none" w:pos="61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535940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spacing w:after="0" w:line="271" w:lineRule="auto"/>
        <w:rPr>
          <w:sz w:val="20"/>
          <w:szCs w:val="20"/>
          <w:color w:val="auto"/>
        </w:rPr>
      </w:pPr>
      <w:r>
        <w:rPr>
          <w:rFonts w:ascii="Times New Roman" w:cs="Times New Roman" w:eastAsia="Times New Roman" w:hAnsi="Times New Roman"/>
          <w:sz w:val="17"/>
          <w:szCs w:val="17"/>
          <w:color w:val="auto"/>
        </w:rPr>
        <w:t>technology, across the entity, and (iii) sufficiency of selecting and developing control activities that contribute to the mitigation of risks to the achievement of objectives to acceptable levels.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entity level material weaknesses contributed to other material weaknesses within the Company’s system of internal control over financial reporting:</w:t>
      </w:r>
    </w:p>
    <w:p>
      <w:pPr>
        <w:spacing w:after="0" w:line="62" w:lineRule="exact"/>
        <w:rPr>
          <w:sz w:val="20"/>
          <w:szCs w:val="20"/>
          <w:color w:val="auto"/>
        </w:rPr>
      </w:pPr>
    </w:p>
    <w:p>
      <w:pPr>
        <w:jc w:val="both"/>
        <w:ind w:left="620" w:hanging="307"/>
        <w:spacing w:after="0" w:line="244" w:lineRule="auto"/>
        <w:tabs>
          <w:tab w:leader="none" w:pos="6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information technology (IT) general controls for certain information systems supporting its key financial reporting processes. Specifically, the Company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the Company’s financial statement account balances and disclosures.</w:t>
      </w:r>
    </w:p>
    <w:p>
      <w:pPr>
        <w:jc w:val="both"/>
        <w:ind w:left="620" w:hanging="307"/>
        <w:spacing w:after="0" w:line="242" w:lineRule="auto"/>
        <w:tabs>
          <w:tab w:leader="none" w:pos="6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IT general controls for certain information systems supporting its key financial reporting processes. Specifically, the Company did not design, implement and maintain sufficient change management, security, and operations controls for certain in-scope on-premise applications and vendor-supported applications.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1" w:lineRule="auto"/>
        <w:tabs>
          <w:tab w:leader="none" w:pos="6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w:t>
      </w:r>
    </w:p>
    <w:p>
      <w:pPr>
        <w:spacing w:after="0" w:line="1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We considered the material weaknesses in determining the nature, timing, and extent of audit tests applied in our audit of the Company’s consolidated financial statements as of and for the year ended December 31, 2023, and our opinion on such consolidated financial statements was not affected.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ind w:right="220" w:firstLine="3"/>
        <w:spacing w:after="0" w:line="251" w:lineRule="auto"/>
        <w:tabs>
          <w:tab w:leader="none" w:pos="24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 on Accounts Receivable</w:t>
      </w:r>
    </w:p>
    <w:p>
      <w:pPr>
        <w:spacing w:after="0" w:line="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 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566420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7"/>
          <w:szCs w:val="17"/>
          <w:color w:val="auto"/>
        </w:rPr>
        <w:t>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83" w:lineRule="exact"/>
        <w:rPr>
          <w:sz w:val="20"/>
          <w:szCs w:val="20"/>
          <w:color w:val="auto"/>
        </w:rPr>
      </w:pPr>
    </w:p>
    <w:p>
      <w:pPr>
        <w:ind w:left="620" w:hanging="307"/>
        <w:spacing w:after="0"/>
        <w:tabs>
          <w:tab w:leader="none" w:pos="6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Obtaining an understanding of management's processes and assumptions for developing the allowance for credit losses.</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Evaluating the methods and significant assumptions used by management including:</w:t>
      </w:r>
    </w:p>
    <w:p>
      <w:pPr>
        <w:spacing w:after="0" w:line="73" w:lineRule="exact"/>
        <w:rPr>
          <w:rFonts w:ascii="Times New Roman" w:cs="Times New Roman" w:eastAsia="Times New Roman" w:hAnsi="Times New Roman"/>
          <w:sz w:val="21"/>
          <w:szCs w:val="21"/>
          <w:color w:val="auto"/>
        </w:rPr>
      </w:pPr>
    </w:p>
    <w:p>
      <w:pPr>
        <w:ind w:left="1240" w:hanging="309"/>
        <w:spacing w:after="0" w:line="246" w:lineRule="auto"/>
        <w:tabs>
          <w:tab w:leader="none" w:pos="124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7" w:lineRule="exact"/>
        <w:rPr>
          <w:rFonts w:ascii="Times New Roman" w:cs="Times New Roman" w:eastAsia="Times New Roman" w:hAnsi="Times New Roman"/>
          <w:sz w:val="21"/>
          <w:szCs w:val="21"/>
          <w:color w:val="auto"/>
        </w:rPr>
      </w:pPr>
    </w:p>
    <w:p>
      <w:pPr>
        <w:jc w:val="both"/>
        <w:ind w:left="1240" w:hanging="309"/>
        <w:spacing w:after="0" w:line="241" w:lineRule="auto"/>
        <w:tabs>
          <w:tab w:leader="none" w:pos="123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55"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Testing the completeness and accuracy of the underlying data and evaluating the relevance and reliability of the sources of the data used by management.</w:t>
      </w:r>
    </w:p>
    <w:p>
      <w:pPr>
        <w:spacing w:after="0" w:line="73" w:lineRule="exact"/>
        <w:rPr>
          <w:rFonts w:ascii="Times New Roman" w:cs="Times New Roman" w:eastAsia="Times New Roman" w:hAnsi="Times New Roman"/>
          <w:sz w:val="21"/>
          <w:szCs w:val="21"/>
          <w:color w:val="auto"/>
        </w:rPr>
      </w:pPr>
    </w:p>
    <w:p>
      <w:pPr>
        <w:ind w:left="620" w:hanging="307"/>
        <w:spacing w:after="0" w:line="235" w:lineRule="auto"/>
        <w:tabs>
          <w:tab w:leader="none" w:pos="61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Evaluating subsequent collections and write-offs occurring after the balance sheet date for select customers and considering the impact of potential subsequent events on the estimate of the specific customer allowance.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62" w:lineRule="exact"/>
        <w:rPr>
          <w:sz w:val="20"/>
          <w:szCs w:val="20"/>
          <w:color w:val="auto"/>
        </w:rPr>
      </w:pPr>
    </w:p>
    <w:p>
      <w:pPr>
        <w:ind w:left="620" w:right="100" w:hanging="307"/>
        <w:spacing w:after="0" w:line="255" w:lineRule="auto"/>
        <w:tabs>
          <w:tab w:leader="none" w:pos="6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1" w:lineRule="exact"/>
        <w:rPr>
          <w:rFonts w:ascii="Times New Roman" w:cs="Times New Roman" w:eastAsia="Times New Roman" w:hAnsi="Times New Roman"/>
          <w:sz w:val="17"/>
          <w:szCs w:val="17"/>
          <w:color w:val="auto"/>
        </w:rPr>
      </w:pPr>
    </w:p>
    <w:p>
      <w:pPr>
        <w:ind w:left="620" w:right="140" w:hanging="307"/>
        <w:spacing w:after="0" w:line="238" w:lineRule="auto"/>
        <w:tabs>
          <w:tab w:leader="none" w:pos="6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judgments made by management in determining whether to place a customer on a “cash basis” because it was no longer probable that the Company will collect the consideration to which it will be entitled.</w:t>
      </w:r>
    </w:p>
    <w:p>
      <w:pPr>
        <w:ind w:left="620" w:right="240" w:hanging="307"/>
        <w:spacing w:after="0" w:line="242" w:lineRule="auto"/>
        <w:tabs>
          <w:tab w:leader="none" w:pos="6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 w:lineRule="exact"/>
        <w:rPr>
          <w:rFonts w:ascii="Times New Roman" w:cs="Times New Roman" w:eastAsia="Times New Roman" w:hAnsi="Times New Roman"/>
          <w:sz w:val="17"/>
          <w:szCs w:val="17"/>
          <w:color w:val="auto"/>
        </w:rPr>
      </w:pPr>
    </w:p>
    <w:p>
      <w:pPr>
        <w:ind w:left="620" w:right="260" w:hanging="307"/>
        <w:spacing w:after="0" w:line="245" w:lineRule="auto"/>
        <w:tabs>
          <w:tab w:leader="none" w:pos="6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ind w:left="620" w:hanging="30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completeness and accuracy of the underlying data used in management’s analysis.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Irvine,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847725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and board of directors of WM Technology,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w:t>
      </w:r>
    </w:p>
    <w:p>
      <w:pPr>
        <w:jc w:val="both"/>
        <w:spacing w:after="0" w:line="246" w:lineRule="auto"/>
        <w:rPr>
          <w:sz w:val="20"/>
          <w:szCs w:val="20"/>
          <w:color w:val="auto"/>
        </w:rPr>
      </w:pPr>
      <w:r>
        <w:rPr>
          <w:rFonts w:ascii="Times New Roman" w:cs="Times New Roman" w:eastAsia="Times New Roman" w:hAnsi="Times New Roman"/>
          <w:sz w:val="17"/>
          <w:szCs w:val="17"/>
          <w:color w:val="auto"/>
        </w:rPr>
        <w:t>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Emphasis of Matter Related to the Company’s Operations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Baker Tilly US,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served as the Company's auditor from 2014 to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Irvine,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1122680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5"/>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875"/>
        </w:trPr>
        <w:tc>
          <w:tcPr>
            <w:tcW w:w="1220" w:type="dxa"/>
            <w:vAlign w:val="bottom"/>
            <w:tcBorders>
              <w:top w:val="single" w:sz="8" w:color="0000FF"/>
            </w:tcBorders>
          </w:tcPr>
          <w:p>
            <w:pPr>
              <w:spacing w:after="0"/>
              <w:rPr>
                <w:sz w:val="24"/>
                <w:szCs w:val="24"/>
                <w:color w:val="auto"/>
              </w:rPr>
            </w:pPr>
          </w:p>
        </w:tc>
        <w:tc>
          <w:tcPr>
            <w:tcW w:w="7380" w:type="dxa"/>
            <w:vAlign w:val="bottom"/>
            <w:gridSpan w:val="2"/>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220" w:type="dxa"/>
            <w:vAlign w:val="bottom"/>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220" w:type="dxa"/>
            <w:vAlign w:val="bottom"/>
          </w:tcPr>
          <w:p>
            <w:pPr>
              <w:jc w:val="center"/>
              <w:ind w:left="249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4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6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28,583</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17,438</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8,962</w:t>
            </w: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54,983</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24,928</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68,368</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31,447</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8,970</w:t>
            </w: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167,021</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199,035</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5"/>
        </w:trPr>
        <w:tc>
          <w:tcPr>
            <w:tcW w:w="744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33,635</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6,256</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6,334</w:t>
            </w:r>
          </w:p>
        </w:tc>
      </w:tr>
      <w:tr>
        <w:trPr>
          <w:trHeight w:val="21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Tax receivable agreement liability, current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33,715</w:t>
            </w: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46,323</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33,043</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non-current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r>
      <w:tr>
        <w:trPr>
          <w:trHeight w:val="21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2,302</w:t>
            </w:r>
          </w:p>
        </w:tc>
      </w:tr>
      <w:tr>
        <w:trPr>
          <w:trHeight w:val="21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63,870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84,258</w:t>
            </w:r>
          </w:p>
        </w:tc>
      </w:tr>
      <w:tr>
        <w:trPr>
          <w:trHeight w:val="21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5)</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68"/>
        </w:trPr>
        <w:tc>
          <w:tcPr>
            <w:tcW w:w="744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7"/>
                <w:szCs w:val="17"/>
                <w:color w:val="auto"/>
              </w:rPr>
              <w:t>Preferred Stock - $0.0001 par value; 75,000,000 shares authorized; no shares issued and outstanding at</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December 31, 2023 and December 31, 2022</w:t>
            </w:r>
          </w:p>
        </w:tc>
        <w:tc>
          <w:tcPr>
            <w:tcW w:w="1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440" w:type="dxa"/>
            <w:vAlign w:val="bottom"/>
            <w:gridSpan w:val="2"/>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A Common Stock - $0.0001 par value; 1,500,000,000 shares authorized; 94,383,053 shares</w:t>
            </w:r>
          </w:p>
        </w:tc>
        <w:tc>
          <w:tcPr>
            <w:tcW w:w="1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77"/>
        </w:trPr>
        <w:tc>
          <w:tcPr>
            <w:tcW w:w="7440" w:type="dxa"/>
            <w:vAlign w:val="bottom"/>
            <w:gridSpan w:val="2"/>
            <w:shd w:val="clear" w:color="auto" w:fill="CCEEFF"/>
          </w:tcPr>
          <w:p>
            <w:pPr>
              <w:ind w:left="320"/>
              <w:spacing w:after="0" w:line="177" w:lineRule="exact"/>
              <w:rPr>
                <w:sz w:val="20"/>
                <w:szCs w:val="20"/>
                <w:color w:val="auto"/>
              </w:rPr>
            </w:pPr>
            <w:r>
              <w:rPr>
                <w:rFonts w:ascii="Times New Roman" w:cs="Times New Roman" w:eastAsia="Times New Roman" w:hAnsi="Times New Roman"/>
                <w:sz w:val="17"/>
                <w:szCs w:val="17"/>
                <w:color w:val="auto"/>
              </w:rPr>
              <w:t>issued and outstanding at December 31, 2023 and 92,062,468 shares issued and outstanding at</w:t>
            </w:r>
          </w:p>
        </w:tc>
        <w:tc>
          <w:tcPr>
            <w:tcW w:w="1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3"/>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2022</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168"/>
        </w:trPr>
        <w:tc>
          <w:tcPr>
            <w:tcW w:w="744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7"/>
                <w:szCs w:val="17"/>
                <w:color w:val="auto"/>
              </w:rPr>
              <w:t>Class V Common Stock - $0.0001 par value; 500,000,000 shares authorized, 55,486,361 shares issued</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2"/>
        </w:trPr>
        <w:tc>
          <w:tcPr>
            <w:tcW w:w="74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and outstanding at December 31, 2023 and December 31, 2022</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80,884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67,986</w:t>
            </w:r>
          </w:p>
        </w:tc>
      </w:tr>
      <w:tr>
        <w:trPr>
          <w:trHeight w:val="219"/>
        </w:trPr>
        <w:tc>
          <w:tcPr>
            <w:tcW w:w="7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(64,518)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(54,620)</w:t>
            </w:r>
          </w:p>
        </w:tc>
      </w:tr>
      <w:tr>
        <w:trPr>
          <w:trHeight w:val="21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WM Technology, Inc. stockholders’ equity</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13,380</w:t>
            </w:r>
          </w:p>
        </w:tc>
      </w:tr>
      <w:tr>
        <w:trPr>
          <w:trHeight w:val="219"/>
        </w:trPr>
        <w:tc>
          <w:tcPr>
            <w:tcW w:w="7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86,771</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101,397</w:t>
            </w:r>
          </w:p>
        </w:tc>
      </w:tr>
      <w:tr>
        <w:trPr>
          <w:trHeight w:val="212"/>
        </w:trPr>
        <w:tc>
          <w:tcPr>
            <w:tcW w:w="7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103,151</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114,777</w:t>
            </w:r>
          </w:p>
        </w:tc>
      </w:tr>
      <w:tr>
        <w:trPr>
          <w:trHeight w:val="212"/>
        </w:trPr>
        <w:tc>
          <w:tcPr>
            <w:tcW w:w="74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167,021</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199,035</w:t>
            </w:r>
          </w:p>
        </w:tc>
      </w:tr>
      <w:tr>
        <w:trPr>
          <w:trHeight w:val="20"/>
        </w:trPr>
        <w:tc>
          <w:tcPr>
            <w:tcW w:w="1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6700" w:type="dxa"/>
            <w:vAlign w:val="bottom"/>
            <w:gridSpan w:val="6"/>
          </w:tcPr>
          <w:p>
            <w:pPr>
              <w:jc w:val="center"/>
              <w:ind w:left="201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700" w:type="dxa"/>
            <w:vAlign w:val="bottom"/>
            <w:gridSpan w:val="6"/>
          </w:tcPr>
          <w:p>
            <w:pPr>
              <w:jc w:val="center"/>
              <w:ind w:left="2034"/>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OPERATIONS</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160" w:type="dxa"/>
            <w:vAlign w:val="bottom"/>
            <w:gridSpan w:val="3"/>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193,146</w:t>
            </w:r>
          </w:p>
        </w:tc>
      </w:tr>
      <w:tr>
        <w:trPr>
          <w:trHeight w:val="245"/>
        </w:trPr>
        <w:tc>
          <w:tcPr>
            <w:tcW w:w="420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68"/>
        </w:trPr>
        <w:tc>
          <w:tcPr>
            <w:tcW w:w="5920" w:type="dxa"/>
            <w:vAlign w:val="bottom"/>
            <w:gridSpan w:val="4"/>
          </w:tcPr>
          <w:p>
            <w:pPr>
              <w:ind w:left="120"/>
              <w:spacing w:after="0" w:line="167" w:lineRule="exact"/>
              <w:rPr>
                <w:sz w:val="20"/>
                <w:szCs w:val="20"/>
                <w:color w:val="auto"/>
              </w:rPr>
            </w:pPr>
            <w:r>
              <w:rPr>
                <w:rFonts w:ascii="Times New Roman" w:cs="Times New Roman" w:eastAsia="Times New Roman" w:hAnsi="Times New Roman"/>
                <w:sz w:val="17"/>
                <w:szCs w:val="17"/>
                <w:color w:val="auto"/>
              </w:rPr>
              <w:t>Cost of revenues (exclusive of depreciation and amortization shown</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2"/>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separately below)</w:t>
            </w: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7,938</w:t>
            </w: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56,119</w:t>
            </w:r>
          </w:p>
        </w:tc>
      </w:tr>
      <w:tr>
        <w:trPr>
          <w:trHeight w:val="21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Product development</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35,395</w:t>
            </w: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95,075</w:t>
            </w:r>
          </w:p>
        </w:tc>
      </w:tr>
      <w:tr>
        <w:trPr>
          <w:trHeight w:val="21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4,425</w:t>
            </w: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1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w:t>
            </w:r>
          </w:p>
        </w:tc>
      </w:tr>
      <w:tr>
        <w:trPr>
          <w:trHeight w:val="212"/>
        </w:trPr>
        <w:tc>
          <w:tcPr>
            <w:tcW w:w="42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3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206,450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285,153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201,324</w:t>
            </w:r>
          </w:p>
        </w:tc>
      </w:tr>
      <w:tr>
        <w:trPr>
          <w:trHeight w:val="21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(69,622)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(8,178)</w:t>
            </w:r>
          </w:p>
        </w:tc>
      </w:tr>
      <w:tr>
        <w:trPr>
          <w:trHeight w:val="21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(expenses), net</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166,518</w:t>
            </w:r>
          </w:p>
        </w:tc>
      </w:tr>
      <w:tr>
        <w:trPr>
          <w:trHeight w:val="21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(expense)</w:t>
            </w:r>
          </w:p>
        </w:tc>
        <w:tc>
          <w:tcPr>
            <w:tcW w:w="1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(6,723)</w:t>
            </w:r>
          </w:p>
        </w:tc>
      </w:tr>
      <w:tr>
        <w:trPr>
          <w:trHeight w:val="212"/>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151,617</w:t>
            </w: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r>
      <w:tr>
        <w:trPr>
          <w:trHeight w:val="212"/>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152,218</w:t>
            </w:r>
          </w:p>
        </w:tc>
      </w:tr>
      <w:tr>
        <w:trPr>
          <w:trHeight w:val="219"/>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13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91,835</w:t>
            </w:r>
          </w:p>
        </w:tc>
      </w:tr>
      <w:tr>
        <w:trPr>
          <w:trHeight w:val="212"/>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income (loss) attributable to WM Technology, Inc.</w:t>
            </w:r>
          </w:p>
        </w:tc>
        <w:tc>
          <w:tcPr>
            <w:tcW w:w="13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60,383</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 income (loss) per share</w:t>
            </w:r>
          </w:p>
        </w:tc>
        <w:tc>
          <w:tcPr>
            <w:tcW w:w="172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56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1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Diluted income (loss) per share</w:t>
            </w:r>
          </w:p>
        </w:tc>
        <w:tc>
          <w:tcPr>
            <w:tcW w:w="172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560" w:type="dxa"/>
            <w:vAlign w:val="bottom"/>
            <w:gridSpan w:val="2"/>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r>
      <w:tr>
        <w:trPr>
          <w:trHeight w:val="245"/>
        </w:trPr>
        <w:tc>
          <w:tcPr>
            <w:tcW w:w="4200" w:type="dxa"/>
            <w:vAlign w:val="bottom"/>
            <w:gridSpan w:val="2"/>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93,244,911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65,013,517</w:t>
            </w:r>
          </w:p>
        </w:tc>
      </w:tr>
      <w:tr>
        <w:trPr>
          <w:trHeight w:val="223"/>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93,244,911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66,813,417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-4127500</wp:posOffset>
            </wp:positionV>
            <wp:extent cx="5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(In thousands, except for share data)</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43"/>
        </w:trPr>
        <w:tc>
          <w:tcPr>
            <w:tcW w:w="2040" w:type="dxa"/>
            <w:vAlign w:val="bottom"/>
          </w:tcPr>
          <w:p>
            <w:pPr>
              <w:spacing w:after="0"/>
              <w:rPr>
                <w:sz w:val="12"/>
                <w:szCs w:val="12"/>
                <w:color w:val="auto"/>
              </w:rPr>
            </w:pPr>
          </w:p>
        </w:tc>
        <w:tc>
          <w:tcPr>
            <w:tcW w:w="1800" w:type="dxa"/>
            <w:vAlign w:val="bottom"/>
            <w:tcBorders>
              <w:top w:val="single" w:sz="8" w:color="auto"/>
            </w:tcBorders>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tcBorders>
              <w:top w:val="single" w:sz="8" w:color="auto"/>
            </w:tcBorders>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Total WM</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40" w:type="dxa"/>
            <w:vAlign w:val="bottom"/>
          </w:tcPr>
          <w:p>
            <w:pPr>
              <w:spacing w:after="0"/>
              <w:rPr>
                <w:sz w:val="6"/>
                <w:szCs w:val="6"/>
                <w:color w:val="auto"/>
              </w:rPr>
            </w:pPr>
          </w:p>
        </w:tc>
        <w:tc>
          <w:tcPr>
            <w:tcW w:w="1800" w:type="dxa"/>
            <w:vAlign w:val="bottom"/>
            <w:gridSpan w:val="4"/>
            <w:vMerge w:val="continue"/>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restart"/>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6"/>
                <w:szCs w:val="6"/>
                <w:color w:val="auto"/>
              </w:rPr>
            </w:pPr>
          </w:p>
        </w:tc>
        <w:tc>
          <w:tcPr>
            <w:tcW w:w="82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1120" w:type="dxa"/>
            <w:vAlign w:val="bottom"/>
            <w:gridSpan w:val="3"/>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Technology, Inc.</w:t>
            </w:r>
          </w:p>
        </w:tc>
        <w:tc>
          <w:tcPr>
            <w:tcW w:w="100" w:type="dxa"/>
            <w:vAlign w:val="bottom"/>
          </w:tcPr>
          <w:p>
            <w:pPr>
              <w:spacing w:after="0"/>
              <w:rPr>
                <w:sz w:val="6"/>
                <w:szCs w:val="6"/>
                <w:color w:val="auto"/>
              </w:rPr>
            </w:pPr>
          </w:p>
        </w:tc>
        <w:tc>
          <w:tcPr>
            <w:tcW w:w="800" w:type="dxa"/>
            <w:vAlign w:val="bottom"/>
            <w:gridSpan w:val="2"/>
            <w:vMerge w:val="restart"/>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1720" w:type="dxa"/>
            <w:vAlign w:val="bottom"/>
            <w:gridSpan w:val="3"/>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vMerge w:val="restart"/>
          </w:tcPr>
          <w:p>
            <w:pPr>
              <w:spacing w:after="0"/>
              <w:rPr>
                <w:sz w:val="5"/>
                <w:szCs w:val="5"/>
                <w:color w:val="auto"/>
              </w:rPr>
            </w:pPr>
          </w:p>
        </w:tc>
        <w:tc>
          <w:tcPr>
            <w:tcW w:w="1600" w:type="dxa"/>
            <w:vAlign w:val="bottom"/>
            <w:gridSpan w:val="3"/>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172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29,271</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29,271</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30,423</w:t>
            </w: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(18,998)</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Class B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Proceeds and shares issued in the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(84,721)</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Business Combination</w:t>
            </w: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1,938,798</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29,312</w:t>
            </w:r>
          </w:p>
        </w:tc>
        <w:tc>
          <w:tcPr>
            <w:tcW w:w="0" w:type="dxa"/>
            <w:vAlign w:val="bottom"/>
          </w:tcPr>
          <w:p>
            <w:pPr>
              <w:spacing w:after="0"/>
              <w:rPr>
                <w:sz w:val="1"/>
                <w:szCs w:val="1"/>
                <w:color w:val="auto"/>
              </w:rPr>
            </w:pPr>
          </w:p>
        </w:tc>
      </w:tr>
      <w:tr>
        <w:trPr>
          <w:trHeight w:val="183"/>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15,078</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152,218</w:t>
            </w:r>
          </w:p>
        </w:tc>
        <w:tc>
          <w:tcPr>
            <w:tcW w:w="0" w:type="dxa"/>
            <w:vAlign w:val="bottom"/>
          </w:tcPr>
          <w:p>
            <w:pPr>
              <w:spacing w:after="0"/>
              <w:rPr>
                <w:sz w:val="1"/>
                <w:szCs w:val="1"/>
                <w:color w:val="auto"/>
              </w:rPr>
            </w:pPr>
          </w:p>
        </w:tc>
      </w:tr>
      <w:tr>
        <w:trPr>
          <w:trHeight w:val="18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65,677,361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65,502,347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2,173</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61,369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63,556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68,384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131,940</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25,160</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net of shares withheld for</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3,447,946</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taxes</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4,721,706</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15,889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28,725</w:t>
            </w:r>
          </w:p>
        </w:tc>
        <w:tc>
          <w:tcPr>
            <w:tcW w:w="0" w:type="dxa"/>
            <w:vAlign w:val="bottom"/>
          </w:tcPr>
          <w:p>
            <w:pPr>
              <w:spacing w:after="0"/>
              <w:rPr>
                <w:sz w:val="1"/>
                <w:szCs w:val="1"/>
                <w:color w:val="auto"/>
              </w:rPr>
            </w:pPr>
          </w:p>
        </w:tc>
      </w:tr>
      <w:tr>
        <w:trPr>
          <w:trHeight w:val="183"/>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warrants exercised</w:t>
            </w: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10,015,986</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(10,015,986)</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Unit exchange</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8,199,449</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P Unit exchange</w:t>
            </w: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Impact of tax receivable</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4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agreement due to exchanges of</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Units</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(82,651)</w:t>
            </w:r>
          </w:p>
        </w:tc>
        <w:tc>
          <w:tcPr>
            <w:tcW w:w="0" w:type="dxa"/>
            <w:vAlign w:val="bottom"/>
          </w:tcPr>
          <w:p>
            <w:pPr>
              <w:spacing w:after="0"/>
              <w:rPr>
                <w:sz w:val="1"/>
                <w:szCs w:val="1"/>
                <w:color w:val="auto"/>
              </w:rPr>
            </w:pPr>
          </w:p>
        </w:tc>
      </w:tr>
      <w:tr>
        <w:trPr>
          <w:trHeight w:val="181"/>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92,062,468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55,486,361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67,986</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(54,620)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13,380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101,397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114,777</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14,901</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Issuance of common stock -</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net of shares withheld for</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2,242,930</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2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taxes</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Discharge of holdback obligation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0" w:type="dxa"/>
            <w:vAlign w:val="bottom"/>
          </w:tcPr>
          <w:p>
            <w:pPr>
              <w:spacing w:after="0"/>
              <w:rPr>
                <w:sz w:val="1"/>
                <w:szCs w:val="1"/>
                <w:color w:val="auto"/>
              </w:rPr>
            </w:pPr>
          </w:p>
        </w:tc>
      </w:tr>
      <w:tr>
        <w:trPr>
          <w:trHeight w:val="183"/>
        </w:trPr>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related to prior acquisition</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shd w:val="clear" w:color="auto" w:fill="CCEEFF"/>
          </w:tcPr>
          <w:p>
            <w:pPr>
              <w:ind w:left="120"/>
              <w:spacing w:after="0" w:line="139" w:lineRule="exact"/>
              <w:rPr>
                <w:sz w:val="20"/>
                <w:szCs w:val="20"/>
                <w:color w:val="auto"/>
              </w:rPr>
            </w:pPr>
            <w:r>
              <w:rPr>
                <w:rFonts w:ascii="Times New Roman" w:cs="Times New Roman" w:eastAsia="Times New Roman" w:hAnsi="Times New Roman"/>
                <w:sz w:val="14"/>
                <w:szCs w:val="14"/>
                <w:color w:val="auto"/>
              </w:rPr>
              <w:t>Class A Common shares issued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77,655</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P Unit exchange</w:t>
            </w: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(15,727)</w:t>
            </w:r>
          </w:p>
        </w:tc>
        <w:tc>
          <w:tcPr>
            <w:tcW w:w="0" w:type="dxa"/>
            <w:vAlign w:val="bottom"/>
          </w:tcPr>
          <w:p>
            <w:pPr>
              <w:spacing w:after="0"/>
              <w:rPr>
                <w:sz w:val="1"/>
                <w:szCs w:val="1"/>
                <w:color w:val="auto"/>
              </w:rPr>
            </w:pPr>
          </w:p>
        </w:tc>
      </w:tr>
      <w:tr>
        <w:trPr>
          <w:trHeight w:val="21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94,383,053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55,486,361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80,884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(64,518)</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86,771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103,151</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5"/>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72"/>
        </w:trPr>
        <w:tc>
          <w:tcPr>
            <w:tcW w:w="1220" w:type="dxa"/>
            <w:vAlign w:val="bottom"/>
            <w:tcBorders>
              <w:top w:val="single" w:sz="8" w:color="0000FF"/>
            </w:tcBorders>
          </w:tcPr>
          <w:p>
            <w:pPr>
              <w:spacing w:after="0"/>
              <w:rPr>
                <w:sz w:val="24"/>
                <w:szCs w:val="24"/>
                <w:color w:val="auto"/>
              </w:rPr>
            </w:pPr>
          </w:p>
        </w:tc>
        <w:tc>
          <w:tcPr>
            <w:tcW w:w="7080" w:type="dxa"/>
            <w:vAlign w:val="bottom"/>
            <w:gridSpan w:val="4"/>
          </w:tcPr>
          <w:p>
            <w:pPr>
              <w:jc w:val="center"/>
              <w:ind w:left="1634"/>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80" w:type="dxa"/>
            <w:vAlign w:val="bottom"/>
            <w:gridSpan w:val="4"/>
          </w:tcPr>
          <w:p>
            <w:pPr>
              <w:jc w:val="center"/>
              <w:ind w:left="163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5560" w:type="dxa"/>
            <w:vAlign w:val="bottom"/>
          </w:tcPr>
          <w:p>
            <w:pPr>
              <w:jc w:val="center"/>
              <w:ind w:left="31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152,218</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4,425</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(166,518)</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Change in tax receivable agreement liability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right-of -use lease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4,402</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Asset 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29,324</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Deferred tax asset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Discharge of holdback obligation related to prior acquisition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5,487</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(13,609)</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(43,323)</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8,235</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r>
      <w:tr>
        <w:trPr>
          <w:trHeight w:val="219"/>
        </w:trPr>
        <w:tc>
          <w:tcPr>
            <w:tcW w:w="6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44,840</w:t>
            </w:r>
          </w:p>
        </w:tc>
      </w:tr>
      <w:tr>
        <w:trPr>
          <w:trHeight w:val="212"/>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30,190</w:t>
            </w:r>
          </w:p>
        </w:tc>
      </w:tr>
      <w:tr>
        <w:trPr>
          <w:trHeight w:val="225"/>
        </w:trPr>
        <w:tc>
          <w:tcPr>
            <w:tcW w:w="12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Capitalized software and expenditures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(7,935)</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paid for acquisition holdback release</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for other investments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212"/>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(17,768)</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(30,435)</w:t>
            </w:r>
          </w:p>
        </w:tc>
      </w:tr>
      <w:tr>
        <w:trPr>
          <w:trHeight w:val="225"/>
        </w:trPr>
        <w:tc>
          <w:tcPr>
            <w:tcW w:w="122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(18,998)</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Repayment of insurance premium financing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(7,098)</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Proceeds from collection of related party note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business combination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79,969</w:t>
            </w:r>
          </w:p>
        </w:tc>
      </w:tr>
      <w:tr>
        <w:trPr>
          <w:trHeight w:val="219"/>
        </w:trPr>
        <w:tc>
          <w:tcPr>
            <w:tcW w:w="67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Payment of note payable</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19"/>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 of Class B Units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r>
      <w:tr>
        <w:trPr>
          <w:trHeight w:val="212"/>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(9,805)</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48,103</w:t>
            </w:r>
          </w:p>
        </w:tc>
      </w:tr>
      <w:tr>
        <w:trPr>
          <w:trHeight w:val="225"/>
        </w:trPr>
        <w:tc>
          <w:tcPr>
            <w:tcW w:w="1220" w:type="dxa"/>
            <w:vAlign w:val="bottom"/>
            <w:shd w:val="clear" w:color="auto" w:fill="CCEEFF"/>
          </w:tcPr>
          <w:p>
            <w:pPr>
              <w:spacing w:after="0"/>
              <w:rPr>
                <w:sz w:val="19"/>
                <w:szCs w:val="19"/>
                <w:color w:val="auto"/>
              </w:rPr>
            </w:pPr>
          </w:p>
        </w:tc>
        <w:tc>
          <w:tcPr>
            <w:tcW w:w="5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47,858</w:t>
            </w:r>
          </w:p>
        </w:tc>
      </w:tr>
      <w:tr>
        <w:trPr>
          <w:trHeight w:val="21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19,919</w:t>
            </w:r>
          </w:p>
        </w:tc>
      </w:tr>
      <w:tr>
        <w:trPr>
          <w:trHeight w:val="212"/>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 end of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28,583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67,777</w:t>
            </w:r>
          </w:p>
        </w:tc>
      </w:tr>
      <w:tr>
        <w:trPr>
          <w:trHeight w:val="20"/>
        </w:trPr>
        <w:tc>
          <w:tcPr>
            <w:tcW w:w="1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-5958840</wp:posOffset>
            </wp:positionV>
            <wp:extent cx="57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12"/>
        </w:trPr>
        <w:tc>
          <w:tcPr>
            <w:tcW w:w="67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5"/>
        </w:trPr>
        <w:tc>
          <w:tcPr>
            <w:tcW w:w="6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(refunded from) paid for income taxes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45"/>
        </w:trPr>
        <w:tc>
          <w:tcPr>
            <w:tcW w:w="6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Issuance of equity for acquisitions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29,312</w:t>
            </w:r>
          </w:p>
        </w:tc>
      </w:tr>
      <w:tr>
        <w:trPr>
          <w:trHeight w:val="21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Insurance premium financing</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11,205</w:t>
            </w:r>
          </w:p>
        </w:tc>
      </w:tr>
      <w:tr>
        <w:trPr>
          <w:trHeight w:val="219"/>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liabilities assumed in connection with acquisition</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 capitalized for software development</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r>
      <w:tr>
        <w:trPr>
          <w:trHeight w:val="219"/>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Capitalized assets included in accounts payable and accrued expenses</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1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Holdback liability recognized in connection with acquisition</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Warranty liability assumed from the Business Combination</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193,978</w:t>
            </w:r>
          </w:p>
        </w:tc>
      </w:tr>
      <w:tr>
        <w:trPr>
          <w:trHeight w:val="21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receivable agreement liability recognized in connection with the Business Combination</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128,567</w:t>
            </w:r>
          </w:p>
        </w:tc>
      </w:tr>
      <w:tr>
        <w:trPr>
          <w:trHeight w:val="219"/>
        </w:trPr>
        <w:tc>
          <w:tcPr>
            <w:tcW w:w="6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tax assets recognized in connection with the Business Combination</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151,255</w:t>
            </w:r>
          </w:p>
        </w:tc>
      </w:tr>
      <w:tr>
        <w:trPr>
          <w:trHeight w:val="21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assumed from the Business Combination</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-2119630</wp:posOffset>
            </wp:positionV>
            <wp:extent cx="5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Organization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2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Legacy WHM was reorganized into an Up-C structure, in which substantially all of the assets and business of Legacy WHM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fiscal years presented. All such adjustments are of a normal recurring nature. Certain prior year amounts have been reclassified to conform to the current year presentation.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Restatement of Previously Reported 2023 Quarterly Revenue and Credit Losses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until cash was collected for the services that were provided. The Company refers to the 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2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w:t>
      </w:r>
    </w:p>
    <w:p>
      <w:pPr>
        <w:spacing w:after="0" w:line="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or adjusted EBITDA for any periods presented. The consolidated statement of equity is not effected by this restatement.</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restated its unaudited condensed consolidated statements of operations for the periods ended March 31, 2023, June 30, 2023 and September 30, 2023, as follows (in thousands):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6"/>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Three Months Ended March 31, 2023</w:t>
            </w:r>
          </w:p>
        </w:tc>
        <w:tc>
          <w:tcPr>
            <w:tcW w:w="1320" w:type="dxa"/>
            <w:vAlign w:val="bottom"/>
            <w:tcBorders>
              <w:bottom w:val="single" w:sz="8" w:color="auto"/>
            </w:tcBorders>
          </w:tcPr>
          <w:p>
            <w:pPr>
              <w:spacing w:after="0"/>
              <w:rPr>
                <w:sz w:val="19"/>
                <w:szCs w:val="19"/>
                <w:color w:val="auto"/>
              </w:rPr>
            </w:pPr>
          </w:p>
        </w:tc>
      </w:tr>
      <w:tr>
        <w:trPr>
          <w:trHeight w:val="212"/>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Previously Reported</w:t>
            </w: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42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9"/>
              </w:rPr>
              <w:t>As Restated</w:t>
            </w:r>
          </w:p>
        </w:tc>
      </w:tr>
      <w:tr>
        <w:trPr>
          <w:trHeight w:val="212"/>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46,416</w:t>
            </w: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20,909</w:t>
            </w: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50,564</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7"/>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Three Months Ended June 30, 2023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7"/>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Six Months Ended June 30, 2023</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7"/>
                <w:szCs w:val="17"/>
                <w:b w:val="1"/>
                <w:bCs w:val="1"/>
                <w:color w:val="auto"/>
                <w:w w:val="99"/>
              </w:rPr>
              <w:t>Previously</w:t>
            </w:r>
          </w:p>
        </w:tc>
        <w:tc>
          <w:tcPr>
            <w:tcW w:w="140" w:type="dxa"/>
            <w:vAlign w:val="bottom"/>
          </w:tcPr>
          <w:p>
            <w:pPr>
              <w:spacing w:after="0"/>
              <w:rPr>
                <w:sz w:val="13"/>
                <w:szCs w:val="13"/>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80" w:type="dxa"/>
            <w:vAlign w:val="bottom"/>
          </w:tcPr>
          <w:p>
            <w:pPr>
              <w:spacing w:after="0"/>
              <w:rPr>
                <w:sz w:val="13"/>
                <w:szCs w:val="13"/>
                <w:color w:val="auto"/>
              </w:rPr>
            </w:pPr>
          </w:p>
        </w:tc>
        <w:tc>
          <w:tcPr>
            <w:tcW w:w="120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7"/>
                <w:szCs w:val="17"/>
                <w:b w:val="1"/>
                <w:bCs w:val="1"/>
                <w:color w:val="auto"/>
              </w:rPr>
              <w:t>Previously</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140" w:type="dxa"/>
            <w:vAlign w:val="bottom"/>
          </w:tcPr>
          <w:p>
            <w:pPr>
              <w:spacing w:after="0"/>
              <w:rPr>
                <w:sz w:val="13"/>
                <w:szCs w:val="13"/>
                <w:color w:val="auto"/>
              </w:rPr>
            </w:pPr>
          </w:p>
        </w:tc>
        <w:tc>
          <w:tcPr>
            <w:tcW w:w="11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0" w:type="dxa"/>
            <w:vAlign w:val="bottom"/>
          </w:tcPr>
          <w:p>
            <w:pPr>
              <w:spacing w:after="0"/>
              <w:rPr>
                <w:sz w:val="1"/>
                <w:szCs w:val="1"/>
                <w:color w:val="auto"/>
              </w:rPr>
            </w:pPr>
          </w:p>
        </w:tc>
      </w:tr>
      <w:tr>
        <w:trPr>
          <w:trHeight w:val="232"/>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48,423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94,839</w:t>
            </w:r>
          </w:p>
        </w:tc>
        <w:tc>
          <w:tcPr>
            <w:tcW w:w="0" w:type="dxa"/>
            <w:vAlign w:val="bottom"/>
          </w:tcPr>
          <w:p>
            <w:pPr>
              <w:spacing w:after="0"/>
              <w:rPr>
                <w:sz w:val="1"/>
                <w:szCs w:val="1"/>
                <w:color w:val="auto"/>
              </w:rPr>
            </w:pPr>
          </w:p>
        </w:tc>
      </w:tr>
      <w:tr>
        <w:trPr>
          <w:trHeight w:val="219"/>
        </w:trPr>
        <w:tc>
          <w:tcPr>
            <w:tcW w:w="3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41,708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37,688</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95,204</w:t>
            </w:r>
          </w:p>
        </w:tc>
        <w:tc>
          <w:tcPr>
            <w:tcW w:w="0" w:type="dxa"/>
            <w:vAlign w:val="bottom"/>
          </w:tcPr>
          <w:p>
            <w:pPr>
              <w:spacing w:after="0"/>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7"/>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 September 30, 2023</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7"/>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Nine Months Ended September 30, 2023</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74"/>
              <w:spacing w:after="0" w:line="166" w:lineRule="exact"/>
              <w:rPr>
                <w:sz w:val="20"/>
                <w:szCs w:val="20"/>
                <w:color w:val="auto"/>
              </w:rPr>
            </w:pPr>
            <w:r>
              <w:rPr>
                <w:rFonts w:ascii="Times New Roman" w:cs="Times New Roman" w:eastAsia="Times New Roman" w:hAnsi="Times New Roman"/>
                <w:sz w:val="17"/>
                <w:szCs w:val="17"/>
                <w:b w:val="1"/>
                <w:bCs w:val="1"/>
                <w:color w:val="auto"/>
              </w:rPr>
              <w:t>Previously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74"/>
              <w:spacing w:after="0" w:line="166" w:lineRule="exact"/>
              <w:rPr>
                <w:sz w:val="20"/>
                <w:szCs w:val="20"/>
                <w:color w:val="auto"/>
              </w:rPr>
            </w:pPr>
            <w:r>
              <w:rPr>
                <w:rFonts w:ascii="Times New Roman" w:cs="Times New Roman" w:eastAsia="Times New Roman" w:hAnsi="Times New Roman"/>
                <w:sz w:val="17"/>
                <w:szCs w:val="17"/>
                <w:b w:val="1"/>
                <w:bCs w:val="1"/>
                <w:color w:val="auto"/>
              </w:rPr>
              <w:t>Previously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0" w:type="dxa"/>
            <w:vAlign w:val="bottom"/>
          </w:tcPr>
          <w:p>
            <w:pPr>
              <w:spacing w:after="0"/>
              <w:rPr>
                <w:sz w:val="1"/>
                <w:szCs w:val="1"/>
                <w:color w:val="auto"/>
              </w:rPr>
            </w:pPr>
          </w:p>
        </w:tc>
      </w:tr>
      <w:tr>
        <w:trPr>
          <w:trHeight w:val="227"/>
        </w:trPr>
        <w:tc>
          <w:tcPr>
            <w:tcW w:w="30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46,687</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146,584</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141,526</w:t>
            </w:r>
          </w:p>
        </w:tc>
        <w:tc>
          <w:tcPr>
            <w:tcW w:w="0" w:type="dxa"/>
            <w:vAlign w:val="bottom"/>
          </w:tcPr>
          <w:p>
            <w:pPr>
              <w:spacing w:after="0"/>
              <w:rPr>
                <w:sz w:val="1"/>
                <w:szCs w:val="1"/>
                <w:color w:val="auto"/>
              </w:rPr>
            </w:pPr>
          </w:p>
        </w:tc>
      </w:tr>
      <w:tr>
        <w:trPr>
          <w:trHeight w:val="19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18,151</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60,897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55,839</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147,439</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restated its unaudited condensed consolidated Statements of Cash Flows for the periods ended March 31, 2023, June 30, 2023 and September 30, 2023,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6"/>
          </w:tcPr>
          <w:p>
            <w:pPr>
              <w:jc w:val="center"/>
              <w:ind w:left="1134"/>
              <w:spacing w:after="0"/>
              <w:rPr>
                <w:sz w:val="20"/>
                <w:szCs w:val="20"/>
                <w:color w:val="auto"/>
              </w:rPr>
            </w:pPr>
            <w:r>
              <w:rPr>
                <w:rFonts w:ascii="Times New Roman" w:cs="Times New Roman" w:eastAsia="Times New Roman" w:hAnsi="Times New Roman"/>
                <w:sz w:val="17"/>
                <w:szCs w:val="17"/>
                <w:b w:val="1"/>
                <w:bCs w:val="1"/>
                <w:color w:val="auto"/>
              </w:rPr>
              <w:t>Three Months Ended March 31, 2023</w:t>
            </w:r>
          </w:p>
        </w:tc>
        <w:tc>
          <w:tcPr>
            <w:tcW w:w="1320" w:type="dxa"/>
            <w:vAlign w:val="bottom"/>
            <w:tcBorders>
              <w:bottom w:val="single" w:sz="8" w:color="auto"/>
            </w:tcBorders>
          </w:tcPr>
          <w:p>
            <w:pPr>
              <w:spacing w:after="0"/>
              <w:rPr>
                <w:sz w:val="19"/>
                <w:szCs w:val="19"/>
                <w:color w:val="auto"/>
              </w:rPr>
            </w:pPr>
          </w:p>
        </w:tc>
      </w:tr>
      <w:tr>
        <w:trPr>
          <w:trHeight w:val="212"/>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Previously Reported</w:t>
            </w: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420" w:type="dxa"/>
            <w:vAlign w:val="bottom"/>
          </w:tcPr>
          <w:p>
            <w:pPr>
              <w:spacing w:after="0"/>
              <w:rPr>
                <w:sz w:val="18"/>
                <w:szCs w:val="18"/>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9"/>
              </w:rPr>
              <w:t>As Restated</w:t>
            </w:r>
          </w:p>
        </w:tc>
      </w:tr>
      <w:tr>
        <w:trPr>
          <w:trHeight w:val="148"/>
        </w:trPr>
        <w:tc>
          <w:tcPr>
            <w:tcW w:w="58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Adjustments to reconcile net income (loss) to net cash (used in) provided by</w:t>
            </w:r>
          </w:p>
        </w:tc>
        <w:tc>
          <w:tcPr>
            <w:tcW w:w="12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r>
      <w:tr>
        <w:trPr>
          <w:trHeight w:val="23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9"/>
        </w:trPr>
        <w:tc>
          <w:tcPr>
            <w:tcW w:w="5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45"/>
        </w:trPr>
        <w:tc>
          <w:tcPr>
            <w:tcW w:w="5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6"/>
          </w:tcPr>
          <w:p>
            <w:pPr>
              <w:jc w:val="center"/>
              <w:ind w:left="1214"/>
              <w:spacing w:after="0"/>
              <w:rPr>
                <w:sz w:val="20"/>
                <w:szCs w:val="20"/>
                <w:color w:val="auto"/>
              </w:rPr>
            </w:pPr>
            <w:r>
              <w:rPr>
                <w:rFonts w:ascii="Times New Roman" w:cs="Times New Roman" w:eastAsia="Times New Roman" w:hAnsi="Times New Roman"/>
                <w:sz w:val="17"/>
                <w:szCs w:val="17"/>
                <w:b w:val="1"/>
                <w:bCs w:val="1"/>
                <w:color w:val="auto"/>
              </w:rPr>
              <w:t>Six Months Ended June 30, 2023</w:t>
            </w:r>
          </w:p>
        </w:tc>
        <w:tc>
          <w:tcPr>
            <w:tcW w:w="1420" w:type="dxa"/>
            <w:vAlign w:val="bottom"/>
            <w:tcBorders>
              <w:bottom w:val="single" w:sz="8" w:color="auto"/>
            </w:tcBorders>
          </w:tcPr>
          <w:p>
            <w:pPr>
              <w:spacing w:after="0"/>
              <w:rPr>
                <w:sz w:val="19"/>
                <w:szCs w:val="19"/>
                <w:color w:val="auto"/>
              </w:rPr>
            </w:pPr>
          </w:p>
        </w:tc>
      </w:tr>
      <w:tr>
        <w:trPr>
          <w:trHeight w:val="212"/>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Previously Reported</w:t>
            </w: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320" w:type="dxa"/>
            <w:vAlign w:val="bottom"/>
          </w:tcPr>
          <w:p>
            <w:pPr>
              <w:spacing w:after="0"/>
              <w:rPr>
                <w:sz w:val="18"/>
                <w:szCs w:val="18"/>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As Restated</w:t>
            </w:r>
          </w:p>
        </w:tc>
      </w:tr>
      <w:tr>
        <w:trPr>
          <w:trHeight w:val="148"/>
        </w:trPr>
        <w:tc>
          <w:tcPr>
            <w:tcW w:w="58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Adjustments to reconcile net income (loss) to net cash (used in) provided by</w:t>
            </w:r>
          </w:p>
        </w:tc>
        <w:tc>
          <w:tcPr>
            <w:tcW w:w="12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r>
      <w:tr>
        <w:trPr>
          <w:trHeight w:val="23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9"/>
        </w:trPr>
        <w:tc>
          <w:tcPr>
            <w:tcW w:w="5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(4,020)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45"/>
        </w:trPr>
        <w:tc>
          <w:tcPr>
            <w:tcW w:w="5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center"/>
              <w:ind w:left="874"/>
              <w:spacing w:after="0"/>
              <w:rPr>
                <w:sz w:val="20"/>
                <w:szCs w:val="20"/>
                <w:color w:val="auto"/>
              </w:rPr>
            </w:pPr>
            <w:r>
              <w:rPr>
                <w:rFonts w:ascii="Times New Roman" w:cs="Times New Roman" w:eastAsia="Times New Roman" w:hAnsi="Times New Roman"/>
                <w:sz w:val="17"/>
                <w:szCs w:val="17"/>
                <w:color w:val="auto"/>
              </w:rPr>
              <w:t>4,020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w:t>
            </w:r>
          </w:p>
        </w:tc>
      </w:tr>
      <w:tr>
        <w:trPr>
          <w:trHeight w:val="438"/>
        </w:trPr>
        <w:tc>
          <w:tcPr>
            <w:tcW w:w="5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7"/>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Nine Months Ended September 30, 2023</w:t>
            </w:r>
          </w:p>
        </w:tc>
      </w:tr>
      <w:tr>
        <w:trPr>
          <w:trHeight w:val="212"/>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Previously Reported</w:t>
            </w: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320" w:type="dxa"/>
            <w:vAlign w:val="bottom"/>
          </w:tcPr>
          <w:p>
            <w:pPr>
              <w:spacing w:after="0"/>
              <w:rPr>
                <w:sz w:val="18"/>
                <w:szCs w:val="18"/>
                <w:color w:val="auto"/>
              </w:rPr>
            </w:pP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As Restated</w:t>
            </w:r>
          </w:p>
        </w:tc>
      </w:tr>
      <w:tr>
        <w:trPr>
          <w:trHeight w:val="148"/>
        </w:trPr>
        <w:tc>
          <w:tcPr>
            <w:tcW w:w="58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Adjustments to reconcile net income (loss) to net cash (used in) provided by</w:t>
            </w:r>
          </w:p>
        </w:tc>
        <w:tc>
          <w:tcPr>
            <w:tcW w:w="12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r>
      <w:tr>
        <w:trPr>
          <w:trHeight w:val="23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9"/>
        </w:trPr>
        <w:tc>
          <w:tcPr>
            <w:tcW w:w="5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4,862</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(5,058)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45"/>
        </w:trPr>
        <w:tc>
          <w:tcPr>
            <w:tcW w:w="5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center"/>
              <w:ind w:left="874"/>
              <w:spacing w:after="0"/>
              <w:rPr>
                <w:sz w:val="20"/>
                <w:szCs w:val="20"/>
                <w:color w:val="auto"/>
              </w:rPr>
            </w:pPr>
            <w:r>
              <w:rPr>
                <w:rFonts w:ascii="Times New Roman" w:cs="Times New Roman" w:eastAsia="Times New Roman" w:hAnsi="Times New Roman"/>
                <w:sz w:val="17"/>
                <w:szCs w:val="17"/>
                <w:color w:val="auto"/>
              </w:rPr>
              <w:t>5,058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that permit use of cannabis were to change their laws or the federal government was to actively enforce the CSA or other laws related to the federal prohibition on cannabis, the Company’s business could be adversely affected.</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changes in the allowance for credit losses: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48"/>
        </w:trPr>
        <w:tc>
          <w:tcPr>
            <w:tcW w:w="58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Years Ended December 31,</w:t>
            </w:r>
          </w:p>
        </w:tc>
        <w:tc>
          <w:tcPr>
            <w:tcW w:w="1340" w:type="dxa"/>
            <w:vAlign w:val="bottom"/>
            <w:tcBorders>
              <w:bottom w:val="single" w:sz="8" w:color="auto"/>
            </w:tcBorders>
          </w:tcPr>
          <w:p>
            <w:pPr>
              <w:spacing w:after="0"/>
              <w:rPr>
                <w:sz w:val="24"/>
                <w:szCs w:val="24"/>
                <w:color w:val="auto"/>
              </w:rPr>
            </w:pPr>
          </w:p>
        </w:tc>
      </w:tr>
      <w:tr>
        <w:trPr>
          <w:trHeight w:val="212"/>
        </w:trPr>
        <w:tc>
          <w:tcPr>
            <w:tcW w:w="58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beginning of year</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5,487</w:t>
            </w: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 net of recoveries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end of year</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5,169</w:t>
            </w:r>
          </w:p>
        </w:tc>
      </w:tr>
      <w:tr>
        <w:trPr>
          <w:trHeight w:val="20"/>
        </w:trPr>
        <w:tc>
          <w:tcPr>
            <w:tcW w:w="5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Equity Securities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and equipment are carried at cost, less accumulated depreciation, amortization and asset impairment charges, and consist of internally developed software, computer equipment, furniture and fixtures and leasehold improvements. Depreciation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statements of operations. No intangible asset impairment charges have been recorded for the years ended December 31, 2022 and 2021. See Note 9, “Goodwill and Intangible Assets,” to these consolidated financial statements for additional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impairment charges of ROU assets are included in asset impairment charges in the consolidated statements of operations. See Note 4, “Leases,” to these consolidated financial statements for additional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become Public Warrants and be redeemable by the Company and exercisable by such holders on the same basis as the other Public Warrants.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Company evaluated the Warrants under ASC 815-40 </w:t>
      </w:r>
      <w:r>
        <w:rPr>
          <w:rFonts w:ascii="Times New Roman" w:cs="Times New Roman" w:eastAsia="Times New Roman" w:hAnsi="Times New Roman"/>
          <w:sz w:val="17"/>
          <w:szCs w:val="17"/>
          <w:i w:val="1"/>
          <w:iCs w:val="1"/>
          <w:color w:val="auto"/>
        </w:rPr>
        <w:t>- Derivatives and Hedging - Contracts in Entity’s Own Equity</w:t>
      </w:r>
      <w:r>
        <w:rPr>
          <w:rFonts w:ascii="Times New Roman" w:cs="Times New Roman" w:eastAsia="Times New Roman" w:hAnsi="Times New Roman"/>
          <w:sz w:val="17"/>
          <w:szCs w:val="17"/>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7"/>
          <w:szCs w:val="17"/>
          <w:i w:val="1"/>
          <w:iCs w:val="1"/>
          <w:color w:val="auto"/>
        </w:rPr>
        <w:t>“Revenue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the Company recognizes revenue by applying the following five steps: the contract with the customer is identified; the performance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 (Exclusive of Depreciation and Amortization)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cost of revenue primarily consists of web hosting, internet service costs, credit card processing costs and other third party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w:t>
      </w:r>
    </w:p>
    <w:p>
      <w:pPr>
        <w:spacing w:after="0" w:line="1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 Plan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(Loss) Per Share</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issued Accounting Standards Update (“ASU”) 2023-09, </w:t>
      </w:r>
      <w:r>
        <w:rPr>
          <w:rFonts w:ascii="Times New Roman" w:cs="Times New Roman" w:eastAsia="Times New Roman" w:hAnsi="Times New Roman"/>
          <w:sz w:val="17"/>
          <w:szCs w:val="17"/>
          <w:i w:val="1"/>
          <w:iCs w:val="1"/>
          <w:color w:val="auto"/>
        </w:rPr>
        <w:t>“Income Taxes - Improvements to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Tax Disclosures” </w:t>
      </w:r>
      <w:r>
        <w:rPr>
          <w:rFonts w:ascii="Times New Roman" w:cs="Times New Roman" w:eastAsia="Times New Roman" w:hAnsi="Times New Roman"/>
          <w:sz w:val="17"/>
          <w:szCs w:val="17"/>
          <w:color w:val="auto"/>
        </w:rPr>
        <w:t>requiring enhancements and further transparency to certain income tax disclosures, most notably the tax rate reconciliation and 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paid. This ASU is effective for fiscal years beginning after December 15, 2024 on a prospective basis and retrospective application is permitted. We are currently evaluating the impact of the adoption of this standard.</w:t>
      </w:r>
    </w:p>
    <w:p>
      <w:pPr>
        <w:spacing w:after="0" w:line="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also reviewed other recently issued accounting pronouncements to be adopted in future periods and determined that they are not expected to have a material impact on the consolidated financial statements.</w:t>
      </w:r>
    </w:p>
    <w:p>
      <w:pPr>
        <w:spacing w:after="0" w:line="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Revenue from Contracts with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sells a monthly subscription offering to retailer and brand clients as well as upsell and add-on offerings to licensed clients. The Company’s 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Weedmaps for Business monthly subscription package includes:</w:t>
      </w:r>
    </w:p>
    <w:p>
      <w:pPr>
        <w:spacing w:after="0" w:line="97" w:lineRule="exact"/>
        <w:rPr>
          <w:sz w:val="20"/>
          <w:szCs w:val="20"/>
          <w:color w:val="auto"/>
        </w:rPr>
      </w:pPr>
    </w:p>
    <w:p>
      <w:pPr>
        <w:jc w:val="both"/>
        <w:ind w:left="620" w:hanging="307"/>
        <w:spacing w:after="0" w:line="270" w:lineRule="auto"/>
        <w:tabs>
          <w:tab w:leader="none" w:pos="61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20" w:hanging="307"/>
        <w:spacing w:after="0" w:line="270" w:lineRule="auto"/>
        <w:tabs>
          <w:tab w:leader="none" w:pos="61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offers other add-on products for additional fees, including:</w:t>
      </w:r>
    </w:p>
    <w:p>
      <w:pPr>
        <w:spacing w:after="0" w:line="114" w:lineRule="exact"/>
        <w:rPr>
          <w:sz w:val="20"/>
          <w:szCs w:val="20"/>
          <w:color w:val="auto"/>
        </w:rPr>
      </w:pPr>
    </w:p>
    <w:p>
      <w:pPr>
        <w:ind w:left="620" w:hanging="307"/>
        <w:spacing w:after="0" w:line="287" w:lineRule="auto"/>
        <w:tabs>
          <w:tab w:leader="none" w:pos="61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Ads: Ad solutions on the Weedmaps marketplace designed for clients to amplify their businesses and reach more highly engaged cannabis consumers throughout their buying journey including:</w:t>
      </w:r>
    </w:p>
    <w:p>
      <w:pPr>
        <w:spacing w:after="0" w:line="48"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Featured Listings: Premium placement ad solutions on high visibility locations on the Weedmaps marketplace (desktop and mobile) to amplify our clients’ businesses and maximize clients’ listings and deal presence.</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3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1" w:lineRule="exact"/>
        <w:rPr>
          <w:rFonts w:ascii="Times New Roman" w:cs="Times New Roman" w:eastAsia="Times New Roman" w:hAnsi="Times New Roman"/>
          <w:sz w:val="17"/>
          <w:szCs w:val="17"/>
          <w:color w:val="auto"/>
        </w:rPr>
      </w:pPr>
    </w:p>
    <w:p>
      <w:pPr>
        <w:ind w:left="1240" w:hanging="309"/>
        <w:spacing w:after="0" w:line="284" w:lineRule="auto"/>
        <w:tabs>
          <w:tab w:leader="none" w:pos="1262"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disaggregated net revenue information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Years Ended December 31,</w:t>
            </w:r>
          </w:p>
        </w:tc>
        <w:tc>
          <w:tcPr>
            <w:tcW w:w="1280" w:type="dxa"/>
            <w:vAlign w:val="bottom"/>
            <w:tcBorders>
              <w:bottom w:val="single" w:sz="8" w:color="auto"/>
            </w:tcBorders>
          </w:tcPr>
          <w:p>
            <w:pPr>
              <w:spacing w:after="0"/>
              <w:rPr>
                <w:sz w:val="19"/>
                <w:szCs w:val="19"/>
                <w:color w:val="auto"/>
              </w:rPr>
            </w:pPr>
          </w:p>
        </w:tc>
      </w:tr>
      <w:tr>
        <w:trPr>
          <w:trHeight w:val="212"/>
        </w:trPr>
        <w:tc>
          <w:tcPr>
            <w:tcW w:w="60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25"/>
        </w:trPr>
        <w:tc>
          <w:tcPr>
            <w:tcW w:w="6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6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Featured and deal listings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126,546</w:t>
            </w:r>
          </w:p>
        </w:tc>
        <w:tc>
          <w:tcPr>
            <w:tcW w:w="54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149,621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138,480</w:t>
            </w:r>
          </w:p>
        </w:tc>
      </w:tr>
      <w:tr>
        <w:trPr>
          <w:trHeight w:val="21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Weedmaps for Business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42,611</w:t>
            </w:r>
          </w:p>
        </w:tc>
      </w:tr>
      <w:tr>
        <w:trPr>
          <w:trHeight w:val="212"/>
        </w:trPr>
        <w:tc>
          <w:tcPr>
            <w:tcW w:w="6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181,091</w:t>
            </w:r>
          </w:p>
        </w:tc>
      </w:tr>
      <w:tr>
        <w:trPr>
          <w:trHeight w:val="219"/>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ad solutions</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12,055</w:t>
            </w:r>
          </w:p>
        </w:tc>
      </w:tr>
      <w:tr>
        <w:trPr>
          <w:trHeight w:val="212"/>
        </w:trPr>
        <w:tc>
          <w:tcPr>
            <w:tcW w:w="6060" w:type="dxa"/>
            <w:vAlign w:val="bottom"/>
          </w:tcPr>
          <w:p>
            <w:pPr>
              <w:ind w:left="220"/>
              <w:spacing w:after="0" w:line="212" w:lineRule="exact"/>
              <w:rPr>
                <w:sz w:val="20"/>
                <w:szCs w:val="20"/>
                <w:color w:val="auto"/>
              </w:rPr>
            </w:pPr>
            <w:r>
              <w:rPr>
                <w:rFonts w:ascii="Times New Roman" w:cs="Times New Roman" w:eastAsia="Times New Roman" w:hAnsi="Times New Roman"/>
                <w:sz w:val="17"/>
                <w:szCs w:val="17"/>
                <w:color w:val="auto"/>
              </w:rPr>
              <w:t>Total net revenues</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187,993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215,531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193,146</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114" w:lineRule="exact"/>
        <w:rPr>
          <w:sz w:val="20"/>
          <w:szCs w:val="20"/>
          <w:color w:val="auto"/>
        </w:rPr>
      </w:pPr>
    </w:p>
    <w:p>
      <w:pPr>
        <w:ind w:firstLine="3"/>
        <w:spacing w:after="0" w:line="229" w:lineRule="auto"/>
        <w:tabs>
          <w:tab w:leader="none" w:pos="84" w:val="left"/>
        </w:tabs>
        <w:numPr>
          <w:ilvl w:val="0"/>
          <w:numId w:val="8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Leases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Effective January 1, 2021, the Company adopted ASC 842 -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lease related costs, net for the years ended December 31, 2023, 2022 and 2021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8"/>
              </w:rPr>
              <w:t>Years Ended December 31,</w:t>
            </w:r>
          </w:p>
        </w:tc>
        <w:tc>
          <w:tcPr>
            <w:tcW w:w="1280" w:type="dxa"/>
            <w:vAlign w:val="bottom"/>
            <w:tcBorders>
              <w:bottom w:val="single" w:sz="8" w:color="auto"/>
            </w:tcBorders>
          </w:tcPr>
          <w:p>
            <w:pPr>
              <w:spacing w:after="0"/>
              <w:rPr>
                <w:sz w:val="19"/>
                <w:szCs w:val="19"/>
                <w:color w:val="auto"/>
              </w:rPr>
            </w:pPr>
          </w:p>
        </w:tc>
      </w:tr>
      <w:tr>
        <w:trPr>
          <w:trHeight w:val="212"/>
        </w:trPr>
        <w:tc>
          <w:tcPr>
            <w:tcW w:w="60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w:t>
            </w:r>
          </w:p>
        </w:tc>
      </w:tr>
      <w:tr>
        <w:trPr>
          <w:trHeight w:val="21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w:t>
            </w:r>
          </w:p>
        </w:tc>
      </w:tr>
      <w:tr>
        <w:trPr>
          <w:trHeight w:val="212"/>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cost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11,446</w:t>
            </w:r>
          </w:p>
        </w:tc>
      </w:tr>
      <w:tr>
        <w:trPr>
          <w:trHeight w:val="21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37"/>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lease cost, net</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Sublease rental income is recognized as a reduction to the related lease expense on a straight-line basis over the sublease term. For the years ended December 31, 2023, 2022 and 2021, the Company recorded rent income related to a sublease of $2.2 million, $1.9 million and $0.2 million, respectively. 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2023, future minimum payments for the next five years and thereafter are as follows (in thousands):</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96"/>
        </w:trPr>
        <w:tc>
          <w:tcPr>
            <w:tcW w:w="9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Operating</w:t>
            </w:r>
          </w:p>
        </w:tc>
      </w:tr>
      <w:tr>
        <w:trPr>
          <w:trHeight w:val="230"/>
        </w:trPr>
        <w:tc>
          <w:tcPr>
            <w:tcW w:w="9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Leases</w:t>
            </w:r>
          </w:p>
        </w:tc>
      </w:tr>
      <w:tr>
        <w:trPr>
          <w:trHeight w:val="20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Years Ending December 31,</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9,405</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5,830</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5,408</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5,570</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5,737</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13,016</w:t>
            </w: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44,966</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(11,923)</w:t>
            </w: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33,043</w:t>
            </w:r>
          </w:p>
        </w:tc>
      </w:tr>
      <w:tr>
        <w:trPr>
          <w:trHeight w:val="20"/>
        </w:trPr>
        <w:tc>
          <w:tcPr>
            <w:tcW w:w="9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30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Termination Costs</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ectPr>
          <w:pgSz w:w="11900" w:h="16838" w:orient="portrait"/>
          <w:cols w:equalWidth="0" w:num="1">
            <w:col w:w="11240"/>
          </w:cols>
          <w:pgMar w:left="320" w:top="123" w:right="339" w:bottom="1440"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roll forward of employee termination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353060</wp:posOffset>
            </wp:positionV>
            <wp:extent cx="7138670" cy="147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Unpaid employee termination costs, January 1, 2022</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Employee termination costs - severance and other cash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paid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Unpaid employee termination costs,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Employee termination costs - severance and other cash costs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Unpaid employee termination costs, December 31,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termination costs are included in general and administrative expenses on the consolidated statements of operations.</w:t>
      </w:r>
    </w:p>
    <w:p>
      <w:pPr>
        <w:spacing w:after="0" w:line="11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Fair Value Measurements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Employee Termination</w:t>
      </w:r>
    </w:p>
    <w:p>
      <w:pPr>
        <w:jc w:val="center"/>
        <w:spacing w:after="0"/>
        <w:rPr>
          <w:sz w:val="20"/>
          <w:szCs w:val="20"/>
          <w:color w:val="auto"/>
        </w:rPr>
      </w:pPr>
      <w:r>
        <w:rPr>
          <w:rFonts w:ascii="Times New Roman" w:cs="Times New Roman" w:eastAsia="Times New Roman" w:hAnsi="Times New Roman"/>
          <w:sz w:val="17"/>
          <w:szCs w:val="17"/>
          <w:b w:val="1"/>
          <w:bCs w:val="1"/>
          <w:color w:val="auto"/>
        </w:rPr>
        <w:t>Costs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w:t>
            </w:r>
          </w:p>
        </w:tc>
      </w:tr>
      <w:tr>
        <w:trPr>
          <w:trHeight w:val="223"/>
        </w:trPr>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w:t>
            </w:r>
          </w:p>
        </w:tc>
      </w:tr>
      <w:tr>
        <w:trPr>
          <w:trHeight w:val="209"/>
        </w:trPr>
        <w:tc>
          <w:tcPr>
            <w:tcW w:w="86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w:t>
            </w:r>
          </w:p>
        </w:tc>
      </w:tr>
      <w:tr>
        <w:trPr>
          <w:trHeight w:val="219"/>
        </w:trPr>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23"/>
        </w:trPr>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(3,840)</w:t>
            </w:r>
          </w:p>
        </w:tc>
      </w:tr>
      <w:tr>
        <w:trPr>
          <w:trHeight w:val="212"/>
        </w:trPr>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01" w:lineRule="exact"/>
        <w:rPr>
          <w:sz w:val="20"/>
          <w:szCs w:val="20"/>
          <w:color w:val="auto"/>
        </w:rPr>
      </w:pPr>
    </w:p>
    <w:p>
      <w:pPr>
        <w:sectPr>
          <w:pgSz w:w="11900" w:h="16838" w:orient="portrait"/>
          <w:cols w:equalWidth="0" w:num="2">
            <w:col w:w="8640" w:space="460"/>
            <w:col w:w="2140"/>
          </w:cols>
          <w:pgMar w:left="320" w:top="123" w:right="339" w:bottom="1440" w:gutter="0" w:footer="0" w:header="0"/>
          <w:type w:val="continuous"/>
        </w:sectPr>
      </w:pPr>
    </w:p>
    <w:p>
      <w:pPr>
        <w:spacing w:after="0" w:line="292" w:lineRule="auto"/>
        <w:rPr>
          <w:sz w:val="20"/>
          <w:szCs w:val="20"/>
          <w:color w:val="auto"/>
        </w:rPr>
      </w:pPr>
      <w:r>
        <w:rPr>
          <w:rFonts w:ascii="Times New Roman" w:cs="Times New Roman" w:eastAsia="Times New Roman" w:hAnsi="Times New Roman"/>
          <w:sz w:val="17"/>
          <w:szCs w:val="17"/>
          <w:color w:val="auto"/>
        </w:rPr>
        <w:t xml:space="preserve">The Company follows the guidance in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for its financial assets and liabilities that are re-measured and reported at fair value at each reporting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 w:lineRule="exact"/>
        <w:rPr>
          <w:sz w:val="20"/>
          <w:szCs w:val="20"/>
          <w:color w:val="auto"/>
        </w:rPr>
      </w:pPr>
    </w:p>
    <w:p>
      <w:pPr>
        <w:ind w:left="620" w:hanging="307"/>
        <w:spacing w:after="0" w:line="284" w:lineRule="auto"/>
        <w:tabs>
          <w:tab w:leader="none" w:pos="6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based on the Company assessment of the assumptions that market participants would use in pricing the asset or liability.</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Level</w:t>
            </w:r>
          </w:p>
        </w:tc>
        <w:tc>
          <w:tcPr>
            <w:tcW w:w="22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Pr>
          <w:p>
            <w:pPr>
              <w:spacing w:after="0"/>
              <w:rPr>
                <w:sz w:val="19"/>
                <w:szCs w:val="19"/>
                <w:color w:val="auto"/>
              </w:rPr>
            </w:pPr>
          </w:p>
        </w:tc>
        <w:tc>
          <w:tcPr>
            <w:tcW w:w="18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19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 – Public Warrants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liability – Private Placement Warrants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r>
      <w:tr>
        <w:trPr>
          <w:trHeight w:val="212"/>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warrant liability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w:t>
            </w:r>
          </w:p>
        </w:tc>
      </w:tr>
      <w:tr>
        <w:trPr>
          <w:trHeight w:val="20"/>
        </w:trPr>
        <w:tc>
          <w:tcPr>
            <w:tcW w:w="4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-596900</wp:posOffset>
            </wp:positionV>
            <wp:extent cx="571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-596900</wp:posOffset>
            </wp:positionV>
            <wp:extent cx="5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the changes in the fair value of the warrant liabilities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40" w:type="dxa"/>
            <w:vAlign w:val="bottom"/>
          </w:tcPr>
          <w:p>
            <w:pPr>
              <w:spacing w:after="0"/>
              <w:rPr>
                <w:sz w:val="13"/>
                <w:szCs w:val="13"/>
                <w:color w:val="auto"/>
              </w:rPr>
            </w:pPr>
          </w:p>
        </w:tc>
        <w:tc>
          <w:tcPr>
            <w:tcW w:w="1080" w:type="dxa"/>
            <w:vAlign w:val="bottom"/>
          </w:tcPr>
          <w:p>
            <w:pPr>
              <w:jc w:val="right"/>
              <w:ind w:right="314"/>
              <w:spacing w:after="0" w:line="161"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32"/>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40" w:type="dxa"/>
            <w:vAlign w:val="bottom"/>
          </w:tcPr>
          <w:p>
            <w:pPr>
              <w:spacing w:after="0"/>
              <w:rPr>
                <w:sz w:val="20"/>
                <w:szCs w:val="20"/>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94"/>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(1,505)</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Public Warrants</w:t>
            </w:r>
          </w:p>
        </w:tc>
        <w:tc>
          <w:tcPr>
            <w:tcW w:w="1520" w:type="dxa"/>
            <w:vAlign w:val="bottom"/>
            <w:gridSpan w:val="3"/>
          </w:tcPr>
          <w:p>
            <w:pPr>
              <w:jc w:val="center"/>
              <w:ind w:right="100"/>
              <w:spacing w:after="0" w:line="166" w:lineRule="exact"/>
              <w:rPr>
                <w:sz w:val="20"/>
                <w:szCs w:val="20"/>
                <w:color w:val="auto"/>
              </w:rPr>
            </w:pPr>
            <w:r>
              <w:rPr>
                <w:rFonts w:ascii="Times New Roman" w:cs="Times New Roman" w:eastAsia="Times New Roman" w:hAnsi="Times New Roman"/>
                <w:sz w:val="17"/>
                <w:szCs w:val="17"/>
                <w:b w:val="1"/>
                <w:bCs w:val="1"/>
                <w:color w:val="auto"/>
              </w:rPr>
              <w:t>Private Placement</w:t>
            </w:r>
          </w:p>
        </w:tc>
        <w:tc>
          <w:tcPr>
            <w:tcW w:w="340" w:type="dxa"/>
            <w:vAlign w:val="bottom"/>
          </w:tcPr>
          <w:p>
            <w:pPr>
              <w:spacing w:after="0"/>
              <w:rPr>
                <w:sz w:val="14"/>
                <w:szCs w:val="14"/>
                <w:color w:val="auto"/>
              </w:rPr>
            </w:pPr>
          </w:p>
        </w:tc>
        <w:tc>
          <w:tcPr>
            <w:tcW w:w="1080" w:type="dxa"/>
            <w:vAlign w:val="bottom"/>
          </w:tcPr>
          <w:p>
            <w:pPr>
              <w:jc w:val="right"/>
              <w:ind w:right="314"/>
              <w:spacing w:after="0" w:line="166" w:lineRule="exact"/>
              <w:rPr>
                <w:sz w:val="20"/>
                <w:szCs w:val="20"/>
                <w:color w:val="auto"/>
              </w:rPr>
            </w:pPr>
            <w:r>
              <w:rPr>
                <w:rFonts w:ascii="Times New Roman" w:cs="Times New Roman" w:eastAsia="Times New Roman" w:hAnsi="Times New Roman"/>
                <w:sz w:val="17"/>
                <w:szCs w:val="17"/>
                <w:b w:val="1"/>
                <w:bCs w:val="1"/>
                <w:color w:val="auto"/>
              </w:rPr>
              <w:t>Warrant</w:t>
            </w:r>
          </w:p>
        </w:tc>
        <w:tc>
          <w:tcPr>
            <w:tcW w:w="0" w:type="dxa"/>
            <w:vAlign w:val="bottom"/>
          </w:tcPr>
          <w:p>
            <w:pPr>
              <w:spacing w:after="0"/>
              <w:rPr>
                <w:sz w:val="1"/>
                <w:szCs w:val="1"/>
                <w:color w:val="auto"/>
              </w:rPr>
            </w:pPr>
          </w:p>
        </w:tc>
      </w:tr>
      <w:tr>
        <w:trPr>
          <w:trHeight w:val="227"/>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340" w:type="dxa"/>
            <w:vAlign w:val="bottom"/>
          </w:tcPr>
          <w:p>
            <w:pPr>
              <w:spacing w:after="0"/>
              <w:rPr>
                <w:sz w:val="19"/>
                <w:szCs w:val="19"/>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inputs or other assumptions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(25,370)</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quantitative information regarding Level 3 fair value measurements inputs at their measurement dates: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00" w:type="dxa"/>
            <w:vAlign w:val="bottom"/>
          </w:tcPr>
          <w:p>
            <w:pPr>
              <w:spacing w:after="0"/>
              <w:rPr>
                <w:sz w:val="19"/>
                <w:szCs w:val="19"/>
                <w:color w:val="auto"/>
              </w:rPr>
            </w:pPr>
          </w:p>
        </w:tc>
        <w:tc>
          <w:tcPr>
            <w:tcW w:w="21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2"/>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11.50</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0.72</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82.3 %</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(years)</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4.17 %</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changes in the volatility would result in a significant lower or higher fair value measurement,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in or out of Level 3 from other levels in the fair value hierarchy.</w:t>
      </w:r>
    </w:p>
    <w:p>
      <w:pPr>
        <w:spacing w:after="0" w:line="110" w:lineRule="exact"/>
        <w:rPr>
          <w:sz w:val="20"/>
          <w:szCs w:val="20"/>
          <w:color w:val="auto"/>
        </w:rPr>
      </w:pPr>
    </w:p>
    <w:p>
      <w:pPr>
        <w:ind w:left="340" w:hanging="337"/>
        <w:spacing w:after="0"/>
        <w:tabs>
          <w:tab w:leader="none" w:pos="34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Accordingly, for accounting purposes, the Reverse Recapitalization was treated as the equivalent of Legacy WMH issuing stock for the net assets of Silver Spike, accompanied by a recapitalization.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Legacy WMH was determined to be the accounting acquirer based on evaluation of the following facts and circumstances:</w:t>
      </w:r>
    </w:p>
    <w:p>
      <w:pPr>
        <w:spacing w:after="0" w:line="28" w:lineRule="exact"/>
        <w:rPr>
          <w:sz w:val="20"/>
          <w:szCs w:val="20"/>
          <w:color w:val="auto"/>
        </w:rPr>
      </w:pPr>
    </w:p>
    <w:p>
      <w:pPr>
        <w:ind w:left="1240" w:hanging="309"/>
        <w:spacing w:after="0" w:line="266" w:lineRule="auto"/>
        <w:tabs>
          <w:tab w:leader="none" w:pos="123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Class A Unit holders, through their ownership of the Class V Common Stock, had the greatest voting interest in the Company with over 50% of the voting interest;</w:t>
      </w:r>
    </w:p>
    <w:p>
      <w:pPr>
        <w:spacing w:after="0" w:line="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selected the majority of the new board of directors of the Company;</w:t>
      </w:r>
    </w:p>
    <w:p>
      <w:pPr>
        <w:spacing w:after="0" w:line="6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senior management was the senior management of the Company; and</w:t>
      </w:r>
    </w:p>
    <w:p>
      <w:pPr>
        <w:spacing w:after="0" w:line="6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WMH was the larger entity based on historical operating activity and had the larger employee base.</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Closing, the following occurred:</w:t>
      </w:r>
    </w:p>
    <w:p>
      <w:pPr>
        <w:spacing w:after="0" w:line="114" w:lineRule="exact"/>
        <w:rPr>
          <w:sz w:val="20"/>
          <w:szCs w:val="20"/>
          <w:color w:val="auto"/>
        </w:rPr>
      </w:pPr>
    </w:p>
    <w:p>
      <w:pPr>
        <w:ind w:left="620" w:hanging="30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Silver Spike was domesticated and continues as a Delaware corporation, changing its name to “WM Technology, Inc.”</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the aggregate amount of transaction expenses incurred by the parties to the Business Combination Agreement.</w:t>
      </w:r>
    </w:p>
    <w:p>
      <w:pPr>
        <w:spacing w:after="0" w:line="4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transferred $455.2 million to the Legacy WMH equity holders as cash consideration.</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Legacy WMH equity holders retained an aggregate of 65,502,347 Class A Units and 25,896,042 Class P Units.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hanging="307"/>
        <w:spacing w:after="0" w:line="284" w:lineRule="auto"/>
        <w:tabs>
          <w:tab w:leader="none" w:pos="6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65,502,347 shares of Class V Common Stock to Class A Unit holders, representing the same number of Class A Units retained by the Legacy WMH equity holders.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Business Combination</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 Silver Spike trust and cash, net of redemptions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254,203</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 PIPE Financing</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cash consideration paid to Legacy WMH equity holders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(455,182)</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transaction costs and advisory fees</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(44,052)</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proceeds from the Business Combination</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79,969</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initial fair value of warrant liability recognized in the Business Combination</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(193,978)</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transaction costs allocated to Warrants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non-cash assets assumed from Silver Spike</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deferred tax asset</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151,255</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tax receivable agreement liability</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(128,567)</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adjustment to total equity from the Business Combination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(84,721)</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number of shares of common stock issued immediately following the Closing: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9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outstanding prior to the Business Combination</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24,998,575</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redemption of shares of Silver Spike’s Class A common stock</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10,012</w:t>
            </w:r>
          </w:p>
        </w:tc>
        <w:tc>
          <w:tcPr>
            <w:tcW w:w="0" w:type="dxa"/>
            <w:vAlign w:val="bottom"/>
          </w:tcPr>
          <w:p>
            <w:pPr>
              <w:spacing w:after="0"/>
              <w:rPr>
                <w:sz w:val="1"/>
                <w:szCs w:val="1"/>
                <w:color w:val="auto"/>
              </w:rPr>
            </w:pPr>
          </w:p>
        </w:tc>
      </w:tr>
      <w:tr>
        <w:trPr>
          <w:trHeight w:val="212"/>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Shares of Silver Spike’s Class A common stock</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24,988,563</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Class A Common Stock held by Silver Spike’s Sponsor</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6,250,000</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Class A Common Stock issued in the PIPE Financing</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32,500,000</w:t>
            </w:r>
          </w:p>
        </w:tc>
        <w:tc>
          <w:tcPr>
            <w:tcW w:w="0" w:type="dxa"/>
            <w:vAlign w:val="bottom"/>
          </w:tcPr>
          <w:p>
            <w:pPr>
              <w:spacing w:after="0"/>
              <w:rPr>
                <w:sz w:val="1"/>
                <w:szCs w:val="1"/>
                <w:color w:val="auto"/>
              </w:rPr>
            </w:pP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Shares of Class A Common Stock issued in the Business Combination</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63,738,563</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Class V Common Stock issued to Legacy WMH equity holders</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65,502,347</w:t>
            </w:r>
          </w:p>
        </w:tc>
        <w:tc>
          <w:tcPr>
            <w:tcW w:w="0" w:type="dxa"/>
            <w:vAlign w:val="bottom"/>
          </w:tcPr>
          <w:p>
            <w:pPr>
              <w:spacing w:after="0"/>
              <w:rPr>
                <w:sz w:val="1"/>
                <w:szCs w:val="1"/>
                <w:color w:val="auto"/>
              </w:rPr>
            </w:pPr>
          </w:p>
        </w:tc>
      </w:tr>
      <w:tr>
        <w:trPr>
          <w:trHeight w:val="212"/>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shares of common stock issued in the Business Combination</w:t>
            </w: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129,240,910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7"/>
        <w:spacing w:after="0"/>
        <w:tabs>
          <w:tab w:leader="none" w:pos="34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Eyechronic</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(“ASC 805”). The acquired assets and liabilities of Eyechronic were recorded at their acquisition date fair values.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estimated fair value of assets acquired (in thousands):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48"/>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9"/>
        </w:trPr>
        <w:tc>
          <w:tcPr>
            <w:tcW w:w="9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Share consideration </w:t>
            </w:r>
            <w:r>
              <w:rPr>
                <w:rFonts w:ascii="Times New Roman" w:cs="Times New Roman" w:eastAsia="Times New Roman" w:hAnsi="Times New Roman"/>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28,725</w:t>
            </w: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6" w:lineRule="exact"/>
        <w:rPr>
          <w:sz w:val="20"/>
          <w:szCs w:val="20"/>
          <w:color w:val="auto"/>
        </w:rPr>
      </w:pPr>
    </w:p>
    <w:p>
      <w:pPr>
        <w:ind w:left="320" w:hanging="240"/>
        <w:spacing w:after="0" w:line="237" w:lineRule="auto"/>
        <w:tabs>
          <w:tab w:leader="none" w:pos="31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$0.2 million settlement of pre-existing accounts payable with Eyechronic and holdback of $0.1 million recorded within other current liabilities on the Company’s accompanying consolidated balance sheets.</w:t>
      </w:r>
    </w:p>
    <w:p>
      <w:pPr>
        <w:ind w:left="320" w:hanging="240"/>
        <w:spacing w:after="0" w:line="236" w:lineRule="auto"/>
        <w:tabs>
          <w:tab w:leader="none" w:pos="31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Assets Acquired and Liabilities Assumed: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Fixed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3,631</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Order Backlog</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23,073</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31,658</w:t>
            </w:r>
          </w:p>
        </w:tc>
      </w:tr>
      <w:tr>
        <w:trPr>
          <w:trHeight w:val="225"/>
        </w:trPr>
        <w:tc>
          <w:tcPr>
            <w:tcW w:w="9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9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Long-term liabilities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(2,236)</w:t>
            </w:r>
          </w:p>
        </w:tc>
      </w:tr>
      <w:tr>
        <w:trPr>
          <w:trHeight w:val="225"/>
        </w:trPr>
        <w:tc>
          <w:tcPr>
            <w:tcW w:w="98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7"/>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and $2.6 million related to property and equipment associated with the sunset of WM Screens, which is included in asset impairment charges in the consolidated statements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Transport Logistics Holding</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fair value of assets acquired (in thousands):</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Cash consideration </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(2)</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10,126</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14,648</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 acquired</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4" w:lineRule="exact"/>
        <w:rPr>
          <w:sz w:val="20"/>
          <w:szCs w:val="20"/>
          <w:color w:val="auto"/>
        </w:rPr>
      </w:pPr>
    </w:p>
    <w:p>
      <w:pPr>
        <w:ind w:left="300" w:hanging="297"/>
        <w:spacing w:after="0"/>
        <w:tabs>
          <w:tab w:leader="none" w:pos="3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holdback of $1.0 million, which was paid during the second quarter of 2022.</w:t>
      </w:r>
    </w:p>
    <w:p>
      <w:pPr>
        <w:ind w:left="320" w:hanging="317"/>
        <w:spacing w:after="0" w:line="249" w:lineRule="auto"/>
        <w:tabs>
          <w:tab w:leader="none" w:pos="31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Goodwill is primarily attributable to the expected synergies from combining operations. Goodwill recognized was allocated to the Company’s one operating segment and is generally deductible for tax purposes.</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Sprout</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components of consideration and the fair value of assets acquired (in thousands):</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0" w:type="dxa"/>
            <w:vAlign w:val="bottom"/>
          </w:tcPr>
          <w:p>
            <w:pPr>
              <w:spacing w:after="0"/>
              <w:rPr>
                <w:sz w:val="1"/>
                <w:szCs w:val="1"/>
                <w:color w:val="auto"/>
              </w:rPr>
            </w:pPr>
          </w:p>
        </w:tc>
      </w:tr>
      <w:tr>
        <w:trPr>
          <w:trHeight w:val="219"/>
        </w:trPr>
        <w:tc>
          <w:tcPr>
            <w:tcW w:w="916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2"/>
                <w:szCs w:val="22"/>
                <w:color w:val="auto"/>
                <w:vertAlign w:val="superscript"/>
              </w:rPr>
              <w:t>(1)</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19,186</w:t>
            </w:r>
          </w:p>
        </w:tc>
        <w:tc>
          <w:tcPr>
            <w:tcW w:w="0" w:type="dxa"/>
            <w:vAlign w:val="bottom"/>
          </w:tcPr>
          <w:p>
            <w:pPr>
              <w:spacing w:after="0"/>
              <w:rPr>
                <w:sz w:val="1"/>
                <w:szCs w:val="1"/>
                <w:color w:val="auto"/>
              </w:rPr>
            </w:pPr>
          </w:p>
        </w:tc>
      </w:tr>
      <w:tr>
        <w:trPr>
          <w:trHeight w:val="237"/>
        </w:trPr>
        <w:tc>
          <w:tcPr>
            <w:tcW w:w="9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consideration</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 and Liabilities Assumed: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acquired:</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Software technology</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 name</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19"/>
        </w:trPr>
        <w:tc>
          <w:tcPr>
            <w:tcW w:w="9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26,686</w:t>
            </w:r>
          </w:p>
        </w:tc>
        <w:tc>
          <w:tcPr>
            <w:tcW w:w="0" w:type="dxa"/>
            <w:vAlign w:val="bottom"/>
          </w:tcPr>
          <w:p>
            <w:pPr>
              <w:spacing w:after="0"/>
              <w:rPr>
                <w:sz w:val="1"/>
                <w:szCs w:val="1"/>
                <w:color w:val="auto"/>
              </w:rPr>
            </w:pP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31,286</w:t>
            </w:r>
          </w:p>
        </w:tc>
        <w:tc>
          <w:tcPr>
            <w:tcW w:w="0" w:type="dxa"/>
            <w:vAlign w:val="bottom"/>
          </w:tcPr>
          <w:p>
            <w:pPr>
              <w:spacing w:after="0"/>
              <w:rPr>
                <w:sz w:val="1"/>
                <w:szCs w:val="1"/>
                <w:color w:val="auto"/>
              </w:rPr>
            </w:pPr>
          </w:p>
        </w:tc>
      </w:tr>
      <w:tr>
        <w:trPr>
          <w:trHeight w:val="245"/>
        </w:trPr>
        <w:tc>
          <w:tcPr>
            <w:tcW w:w="9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31,186</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16" w:lineRule="exact"/>
        <w:rPr>
          <w:sz w:val="20"/>
          <w:szCs w:val="20"/>
          <w:color w:val="auto"/>
        </w:rPr>
      </w:pPr>
    </w:p>
    <w:p>
      <w:pPr>
        <w:ind w:left="320" w:hanging="317"/>
        <w:spacing w:after="0" w:line="249" w:lineRule="auto"/>
        <w:tabs>
          <w:tab w:leader="none" w:pos="31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Goodwill is primarily attributable to the expected synergies from combining operations. Goodwill recognized was allocated to the Company’s one operating segment and is generally deductible for tax purposes.</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December 31, 2023, the Company completed the sunset of certain product offerings including WM CRM, a product offering associated with the acquisition of Sprout, as the Company continues to focus the efforts on other 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 Forma Results and Acquisition-Related Costs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37"/>
        <w:spacing w:after="0"/>
        <w:tabs>
          <w:tab w:leader="none" w:pos="34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0"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7"/>
          <w:szCs w:val="17"/>
          <w:color w:val="auto"/>
        </w:rPr>
        <w:t>Goodwill totaled $68.4 million as of December 31, 2023 and 2022. No goodwill impairment charges were recorded for the years ended December 31, 2023, 2022 and 2021.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consisted of the following for the periods presented below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8"/>
          </w:tcPr>
          <w:p>
            <w:pPr>
              <w:ind w:left="12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00" w:type="dxa"/>
            <w:vAlign w:val="bottom"/>
          </w:tcPr>
          <w:p>
            <w:pPr>
              <w:spacing w:after="0"/>
              <w:rPr>
                <w:sz w:val="15"/>
                <w:szCs w:val="15"/>
                <w:color w:val="auto"/>
              </w:rPr>
            </w:pPr>
          </w:p>
        </w:tc>
        <w:tc>
          <w:tcPr>
            <w:tcW w:w="2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21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00" w:type="dxa"/>
            <w:vAlign w:val="bottom"/>
          </w:tcPr>
          <w:p>
            <w:pPr>
              <w:spacing w:after="0"/>
              <w:rPr>
                <w:sz w:val="19"/>
                <w:szCs w:val="19"/>
                <w:color w:val="auto"/>
              </w:rPr>
            </w:pPr>
          </w:p>
        </w:tc>
        <w:tc>
          <w:tcPr>
            <w:tcW w:w="2020" w:type="dxa"/>
            <w:vAlign w:val="bottom"/>
            <w:gridSpan w:val="4"/>
            <w:vMerge w:val="continue"/>
          </w:tcPr>
          <w:p>
            <w:pPr>
              <w:spacing w:after="0"/>
              <w:rPr>
                <w:sz w:val="19"/>
                <w:szCs w:val="19"/>
                <w:color w:val="auto"/>
              </w:rPr>
            </w:pPr>
          </w:p>
        </w:tc>
        <w:tc>
          <w:tcPr>
            <w:tcW w:w="212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domain names</w:t>
            </w:r>
          </w:p>
        </w:tc>
        <w:tc>
          <w:tcPr>
            <w:tcW w:w="20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technology</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8"/>
          </w:tcPr>
          <w:p>
            <w:pPr>
              <w:ind w:left="124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Amortization Period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Intangible Assets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Net Intangible Assets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and domain names</w:t>
            </w:r>
          </w:p>
        </w:tc>
        <w:tc>
          <w:tcPr>
            <w:tcW w:w="202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(4,699)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Software technology</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(921)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Order Backlog</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210</w:t>
            </w:r>
          </w:p>
        </w:tc>
        <w:tc>
          <w:tcPr>
            <w:tcW w:w="20" w:type="dxa"/>
            <w:vAlign w:val="bottom"/>
          </w:tcPr>
          <w:p>
            <w:pPr>
              <w:spacing w:after="0"/>
              <w:rPr>
                <w:sz w:val="19"/>
                <w:szCs w:val="19"/>
                <w:color w:val="auto"/>
              </w:rPr>
            </w:pPr>
          </w:p>
        </w:tc>
        <w:tc>
          <w:tcPr>
            <w:tcW w:w="38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w:t>
            </w: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intangible assets</w:t>
            </w:r>
          </w:p>
        </w:tc>
        <w:tc>
          <w:tcPr>
            <w:tcW w:w="202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20,572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(10,233)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future amortization expense of intangible assets as of December 31, 2023 is as follows (in thousands):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19685</wp:posOffset>
            </wp:positionV>
            <wp:extent cx="6805930" cy="1390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Years ended December 31,</w:t>
      </w:r>
    </w:p>
    <w:p>
      <w:pPr>
        <w:spacing w:after="0" w:line="24" w:lineRule="exact"/>
        <w:rPr>
          <w:sz w:val="20"/>
          <w:szCs w:val="20"/>
          <w:color w:val="auto"/>
        </w:rPr>
      </w:pPr>
    </w:p>
    <w:p>
      <w:pPr>
        <w:ind w:left="640"/>
        <w:spacing w:after="0"/>
        <w:tabs>
          <w:tab w:leader="none" w:pos="9780" w:val="left"/>
        </w:tabs>
        <w:rPr>
          <w:sz w:val="20"/>
          <w:szCs w:val="20"/>
          <w:color w:val="auto"/>
        </w:rPr>
      </w:pPr>
      <w:r>
        <w:rPr>
          <w:rFonts w:ascii="Times New Roman" w:cs="Times New Roman" w:eastAsia="Times New Roman" w:hAnsi="Times New Roman"/>
          <w:sz w:val="17"/>
          <w:szCs w:val="17"/>
          <w:color w:val="auto"/>
        </w:rPr>
        <w:t>2024</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2025</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2027</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14605</wp:posOffset>
            </wp:positionV>
            <wp:extent cx="9937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13"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6207125</wp:posOffset>
            </wp:positionH>
            <wp:positionV relativeFrom="paragraph">
              <wp:posOffset>17145</wp:posOffset>
            </wp:positionV>
            <wp:extent cx="9937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993775" cy="8255"/>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41910</wp:posOffset>
            </wp:positionV>
            <wp:extent cx="9937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20" w:top="123" w:right="2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hanging="437"/>
        <w:spacing w:after="0"/>
        <w:tabs>
          <w:tab w:leader="none" w:pos="44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expenses and other current assets as of December 31, 2023 and 2022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00" w:type="dxa"/>
            <w:vAlign w:val="bottom"/>
          </w:tcPr>
          <w:p>
            <w:pPr>
              <w:spacing w:after="0"/>
              <w:rPr>
                <w:sz w:val="19"/>
                <w:szCs w:val="19"/>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marketing</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2,321</w:t>
            </w: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software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r>
      <w:tr>
        <w:trPr>
          <w:trHeight w:val="21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r>
      <w:tr>
        <w:trPr>
          <w:trHeight w:val="237"/>
        </w:trPr>
        <w:tc>
          <w:tcPr>
            <w:tcW w:w="7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-744220</wp:posOffset>
            </wp:positionV>
            <wp:extent cx="57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-744220</wp:posOffset>
            </wp:positionV>
            <wp:extent cx="571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5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7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58" w:lineRule="exact"/>
        <w:rPr>
          <w:sz w:val="20"/>
          <w:szCs w:val="20"/>
          <w:color w:val="auto"/>
        </w:rPr>
      </w:pPr>
    </w:p>
    <w:p>
      <w:pPr>
        <w:ind w:left="420" w:hanging="417"/>
        <w:spacing w:after="0"/>
        <w:tabs>
          <w:tab w:leader="none" w:pos="42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liabilities as of December 31, 2023 and 2022 consisted of the following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w:t>
            </w:r>
          </w:p>
        </w:tc>
      </w:t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other accrued liabilities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employee expenses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-466090</wp:posOffset>
            </wp:positionV>
            <wp:extent cx="57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-466090</wp:posOffset>
            </wp:positionV>
            <wp:extent cx="571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4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68" w:lineRule="exact"/>
        <w:rPr>
          <w:sz w:val="20"/>
          <w:szCs w:val="20"/>
          <w:color w:val="auto"/>
        </w:rPr>
      </w:pPr>
    </w:p>
    <w:p>
      <w:pPr>
        <w:ind w:left="420" w:hanging="417"/>
        <w:spacing w:after="0"/>
        <w:tabs>
          <w:tab w:leader="none" w:pos="42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 Liability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2023, there were 12,499,973 Public Warrants outstanding and 7,000,000 Private Placement Warrants outstanding.</w:t>
      </w:r>
    </w:p>
    <w:p>
      <w:pPr>
        <w:spacing w:after="0" w:line="114"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2"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7"/>
          <w:szCs w:val="17"/>
          <w:color w:val="auto"/>
        </w:rPr>
        <w:t>Simultaneously with Silver Spike’s initial public offering, Silver Spike consummated a private placement of 7,000,000 Private Placement Warrants with Silver Spike’s sponsor (“Silver Spike Sponsor”). Each Private Placement Warrant is exercisable for</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may exercise its redemption right even if it is unable to register or qualify the underlying securities for sale under all applicable state securities laws.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Hedging </w:t>
      </w:r>
      <w:r>
        <w:rPr>
          <w:rFonts w:ascii="Times New Roman" w:cs="Times New Roman" w:eastAsia="Times New Roman" w:hAnsi="Times New Roman"/>
          <w:sz w:val="17"/>
          <w:szCs w:val="17"/>
          <w:color w:val="auto"/>
        </w:rPr>
        <w:t>(as described in Note 2) and are recorded as liabilities. Upon the Closing, the fair value of the Warrants was recorded on the balance sheet.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Warrants are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62" w:lineRule="exact"/>
        <w:rPr>
          <w:sz w:val="20"/>
          <w:szCs w:val="20"/>
          <w:color w:val="auto"/>
        </w:rPr>
      </w:pPr>
    </w:p>
    <w:p>
      <w:pPr>
        <w:ind w:left="440" w:hanging="437"/>
        <w:spacing w:after="0"/>
        <w:tabs>
          <w:tab w:leader="none" w:pos="44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privileges of holders of shares of Class A Common Stock will be subject to those of the holders of any shares of the preferred stock that the Company may issue in the future.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V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the Company’s board of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upon Liquidation, Dissolution and Winding-Up</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Class V Common Stock are not entitled to receive any of the Company’s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Preemptive or Other Rights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Issuance and Retirement of Class V Common Stock</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278" w:lineRule="exact"/>
        <w:rPr>
          <w:sz w:val="20"/>
          <w:szCs w:val="20"/>
          <w:color w:val="auto"/>
        </w:rPr>
      </w:pPr>
    </w:p>
    <w:p>
      <w:pPr>
        <w:ind w:left="440" w:hanging="437"/>
        <w:spacing w:after="0"/>
        <w:tabs>
          <w:tab w:leader="none" w:pos="44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Holding Company, LLC Equity Incentive Plan</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7"/>
          <w:szCs w:val="17"/>
          <w:i w:val="1"/>
          <w:iCs w:val="1"/>
          <w:color w:val="auto"/>
        </w:rPr>
        <w:t>Stock Based Compensation</w:t>
      </w:r>
      <w:r>
        <w:rPr>
          <w:rFonts w:ascii="Times New Roman" w:cs="Times New Roman" w:eastAsia="Times New Roman" w:hAnsi="Times New Roman"/>
          <w:sz w:val="17"/>
          <w:szCs w:val="17"/>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the Class P Unit activity for the periods presented is as follows:</w:t>
            </w:r>
          </w:p>
        </w:tc>
        <w:tc>
          <w:tcPr>
            <w:tcW w:w="2080" w:type="dxa"/>
            <w:vAlign w:val="bottom"/>
          </w:tcPr>
          <w:p>
            <w:pPr>
              <w:spacing w:after="0"/>
              <w:rPr>
                <w:sz w:val="19"/>
                <w:szCs w:val="19"/>
                <w:color w:val="auto"/>
              </w:rPr>
            </w:pPr>
          </w:p>
        </w:tc>
      </w:tr>
      <w:tr>
        <w:trPr>
          <w:trHeight w:val="245"/>
        </w:trPr>
        <w:tc>
          <w:tcPr>
            <w:tcW w:w="916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Units</w:t>
            </w:r>
          </w:p>
        </w:tc>
      </w:tr>
      <w:tr>
        <w:trPr>
          <w:trHeight w:val="21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15,125,429</w:t>
            </w:r>
          </w:p>
        </w:tc>
      </w:tr>
      <w:tr>
        <w:trPr>
          <w:trHeight w:val="219"/>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(75,922)</w:t>
            </w:r>
          </w:p>
        </w:tc>
      </w:tr>
      <w:tr>
        <w:trPr>
          <w:trHeight w:val="21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Exchanged for Class A Common Stock</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(245,000)</w:t>
            </w: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Class P Units, December 31, 2023</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14,804,507</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36"/>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December 31, 2023</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14,723,936</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WM Technology, Inc. Equity Incentive Plan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restricted stock unit (“RSU”) activity for the year ended December 31, 2023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20" w:type="dxa"/>
            <w:vAlign w:val="bottom"/>
          </w:tcPr>
          <w:p>
            <w:pPr>
              <w:spacing w:after="0"/>
              <w:rPr>
                <w:sz w:val="17"/>
                <w:szCs w:val="17"/>
                <w:color w:val="auto"/>
              </w:rPr>
            </w:pPr>
          </w:p>
        </w:tc>
        <w:tc>
          <w:tcPr>
            <w:tcW w:w="210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9"/>
              </w:rPr>
              <w:t>Weighted-average Grant</w:t>
            </w: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6,269,868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6,634,013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(2,245,844)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Cancelled/Forfeited/Expired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(2,974,439)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7,683,598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the PRSU activity for the year ended December 31, 2023 is as follows:</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6920" w:type="dxa"/>
            <w:vAlign w:val="bottom"/>
          </w:tcPr>
          <w:p>
            <w:pPr>
              <w:spacing w:after="0"/>
              <w:rPr>
                <w:sz w:val="24"/>
                <w:szCs w:val="24"/>
                <w:color w:val="auto"/>
              </w:rPr>
            </w:pPr>
          </w:p>
        </w:tc>
        <w:tc>
          <w:tcPr>
            <w:tcW w:w="21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Number of PRSUs</w:t>
            </w:r>
          </w:p>
        </w:tc>
        <w:tc>
          <w:tcPr>
            <w:tcW w:w="140" w:type="dxa"/>
            <w:vAlign w:val="bottom"/>
          </w:tcPr>
          <w:p>
            <w:pPr>
              <w:spacing w:after="0"/>
              <w:rPr>
                <w:sz w:val="24"/>
                <w:szCs w:val="24"/>
                <w:color w:val="auto"/>
              </w:rPr>
            </w:pPr>
          </w:p>
        </w:tc>
        <w:tc>
          <w:tcPr>
            <w:tcW w:w="20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9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859,375</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Cancelled/Forfeited/Expired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(625,000)</w:t>
            </w:r>
          </w:p>
        </w:tc>
        <w:tc>
          <w:tcPr>
            <w:tcW w:w="2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234,375</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cost related to the Class P Units, RSUs and PRSUs in the following expense categories on the consolidated statements of operations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2"/>
        </w:trPr>
        <w:tc>
          <w:tcPr>
            <w:tcW w:w="48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36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development</w:t>
            </w: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5,103</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18,200</w:t>
            </w:r>
          </w:p>
        </w:tc>
      </w:tr>
      <w:tr>
        <w:trPr>
          <w:trHeight w:val="212"/>
        </w:trPr>
        <w:tc>
          <w:tcPr>
            <w:tcW w:w="4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29,324</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capitalized to software development</w:t>
            </w:r>
          </w:p>
        </w:tc>
        <w:tc>
          <w:tcPr>
            <w:tcW w:w="1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r>
      <w:tr>
        <w:trPr>
          <w:trHeight w:val="212"/>
        </w:trPr>
        <w:tc>
          <w:tcPr>
            <w:tcW w:w="4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cost</w:t>
            </w:r>
          </w:p>
        </w:tc>
        <w:tc>
          <w:tcPr>
            <w:tcW w:w="136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14,901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30,423</w:t>
            </w:r>
          </w:p>
        </w:tc>
      </w:tr>
      <w:tr>
        <w:trPr>
          <w:trHeight w:val="20"/>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959"/>
        </w:trPr>
        <w:tc>
          <w:tcPr>
            <w:tcW w:w="4820" w:type="dxa"/>
            <w:vAlign w:val="bottom"/>
          </w:tcPr>
          <w:p>
            <w:pPr>
              <w:spacing w:after="0"/>
              <w:rPr>
                <w:sz w:val="24"/>
                <w:szCs w:val="24"/>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F-31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8"/>
        </w:trPr>
        <w:tc>
          <w:tcPr>
            <w:tcW w:w="48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hanging="437"/>
        <w:spacing w:after="0"/>
        <w:tabs>
          <w:tab w:leader="none" w:pos="44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12"/>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(82,651)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152,218</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WMH prior to the Business Combination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15,078</w:t>
            </w:r>
          </w:p>
        </w:tc>
      </w:tr>
      <w:tr>
        <w:trPr>
          <w:trHeight w:val="21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interests after the Business Combination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76,757</w:t>
            </w:r>
          </w:p>
        </w:tc>
      </w:tr>
      <w:tr>
        <w:trPr>
          <w:trHeight w:val="212"/>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(loss) attributable to WM Technology, Inc. - 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60,383</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68"/>
        </w:trPr>
        <w:tc>
          <w:tcPr>
            <w:tcW w:w="67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Change in fair value of Public and Private Placement Warrants, net of amounts attributable to</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72,483</w:t>
            </w:r>
          </w:p>
        </w:tc>
      </w:tr>
      <w:tr>
        <w:trPr>
          <w:trHeight w:val="212"/>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 attributable to WM Technology, Inc. - diluted</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5"/>
        </w:trPr>
        <w:tc>
          <w:tcPr>
            <w:tcW w:w="67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93,244,911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65,013,517</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effect of dilutive securities: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Public warrants¹</w:t>
            </w: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1,153,782</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warrants¹</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646,118</w:t>
            </w:r>
          </w:p>
        </w:tc>
      </w:tr>
      <w:tr>
        <w:trPr>
          <w:trHeight w:val="212"/>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93,244,911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85,027,120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66,813,417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6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share of Class A Common Stock:</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Class A common share - basic</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7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Net income (loss) per Class A common share - diluted</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(0.18)</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¹ Calculated using the treasury stock method.</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V Shares</w:t>
            </w: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55,486,361</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55,486,361</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65,502,347</w:t>
            </w: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P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14,804,507</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15,125,429</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25,660,529</w:t>
            </w:r>
          </w:p>
        </w:tc>
      </w:tr>
      <w:tr>
        <w:trPr>
          <w:trHeight w:val="21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outstanding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7,683,598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6,269,868</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6,398,707</w:t>
            </w: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PRSUs outstanding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234,375</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859,375</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2,437,500</w:t>
            </w:r>
          </w:p>
        </w:tc>
      </w:tr>
      <w:tr>
        <w:trPr>
          <w:trHeight w:val="21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12,499,973</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12,499,973</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Private Placement Warrants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 holdback shares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677,847</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73" w:lineRule="exact"/>
        <w:rPr>
          <w:sz w:val="20"/>
          <w:szCs w:val="20"/>
          <w:color w:val="auto"/>
        </w:rPr>
      </w:pPr>
    </w:p>
    <w:p>
      <w:pPr>
        <w:ind w:left="440" w:hanging="437"/>
        <w:spacing w:after="0"/>
        <w:tabs>
          <w:tab w:leader="none" w:pos="44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taxes. Accordingly, no provision for U.S. federal and state income taxes has been recorded in the financial statements for the period prior to June 16, 2021, as this period was prior to the Business Combination.</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income (loss) before taxes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Years Ended December 31,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2"/>
        </w:trPr>
        <w:tc>
          <w:tcPr>
            <w:tcW w:w="48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8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151,987</w:t>
            </w:r>
          </w:p>
        </w:tc>
      </w:tr>
      <w:tr>
        <w:trPr>
          <w:trHeight w:val="21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96,426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151,617</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372"/>
        </w:trPr>
        <w:tc>
          <w:tcPr>
            <w:tcW w:w="69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components of the provision for (benefit from) income taxes are as follows (in thousands):</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48"/>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12"/>
        </w:trPr>
        <w:tc>
          <w:tcPr>
            <w:tcW w:w="4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9"/>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38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2"/>
        </w:trPr>
        <w:tc>
          <w:tcPr>
            <w:tcW w:w="4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19"/>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19"/>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179,418</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179,077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926"/>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F-33</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8"/>
        </w:trPr>
        <w:tc>
          <w:tcPr>
            <w:tcW w:w="4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change in the Company’s income tax provision/(benefit) from 2022 to 2023 is due to the continuation of recording a full valuation allowance on our deferred tax assets as of </w:t>
      </w:r>
      <w:r>
        <w:rPr>
          <w:rFonts w:ascii="Times New Roman" w:cs="Times New Roman" w:eastAsia="Times New Roman" w:hAnsi="Times New Roman"/>
          <w:sz w:val="17"/>
          <w:szCs w:val="17"/>
          <w:color w:val="auto"/>
        </w:rPr>
        <w:t>December 31, 2023,</w:t>
      </w:r>
      <w:r>
        <w:rPr>
          <w:rFonts w:ascii="Times New Roman" w:cs="Times New Roman" w:eastAsia="Times New Roman" w:hAnsi="Times New Roman"/>
          <w:sz w:val="18"/>
          <w:szCs w:val="18"/>
          <w:color w:val="auto"/>
        </w:rPr>
        <w:t xml:space="preserve"> and continued remeasurement of the related TRA liability.</w:t>
      </w:r>
    </w:p>
    <w:p>
      <w:pPr>
        <w:spacing w:after="0" w:line="4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The change in the Company’s income tax provision/(benefit) from 2021 to 2022 is due to the recording of a full valuation allowance on our deferred tax assets as of </w:t>
      </w:r>
      <w:r>
        <w:rPr>
          <w:rFonts w:ascii="Times New Roman" w:cs="Times New Roman" w:eastAsia="Times New Roman" w:hAnsi="Times New Roman"/>
          <w:sz w:val="17"/>
          <w:szCs w:val="17"/>
          <w:color w:val="auto"/>
        </w:rPr>
        <w:t>December 31, 2022</w:t>
      </w:r>
      <w:r>
        <w:rPr>
          <w:rFonts w:ascii="Times New Roman" w:cs="Times New Roman" w:eastAsia="Times New Roman" w:hAnsi="Times New Roman"/>
          <w:sz w:val="18"/>
          <w:szCs w:val="18"/>
          <w:color w:val="auto"/>
        </w:rPr>
        <w:t xml:space="preserve"> and remeasurement of the related TRA liability. In previous periods, the provision/(benefit) was also impacted by the Business Combination and settlement of a foreign income tax examination.</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12"/>
        </w:trPr>
        <w:tc>
          <w:tcPr>
            <w:tcW w:w="45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rate</w:t>
            </w:r>
          </w:p>
        </w:tc>
        <w:tc>
          <w:tcPr>
            <w:tcW w:w="134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(3,283)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20,249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31,844</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blended statutory rate</w:t>
            </w:r>
          </w:p>
        </w:tc>
        <w:tc>
          <w:tcPr>
            <w:tcW w:w="134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(828)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8,497</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taxed to owners of noncontrolling interests</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1,558</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(21,762)</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impact</w:t>
            </w:r>
          </w:p>
        </w:tc>
        <w:tc>
          <w:tcPr>
            <w:tcW w:w="134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227</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(246)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(19,669)</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34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2,154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901</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134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 to Provision</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1,128</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Holdback Share Release</w:t>
            </w:r>
          </w:p>
        </w:tc>
        <w:tc>
          <w:tcPr>
            <w:tcW w:w="134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(605)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(413)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186,954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receivable agreement revaluation</w:t>
            </w:r>
          </w:p>
        </w:tc>
        <w:tc>
          <w:tcPr>
            <w:tcW w:w="134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(20,462)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State Tax Rate</w:t>
            </w:r>
          </w:p>
        </w:tc>
        <w:tc>
          <w:tcPr>
            <w:tcW w:w="1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491</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34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179,077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(601)</w:t>
            </w: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361"/>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46"/>
        </w:trPr>
        <w:tc>
          <w:tcPr>
            <w:tcW w:w="4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19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9"/>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partnership</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133,569</w:t>
            </w:r>
          </w:p>
        </w:tc>
      </w:tr>
      <w:tr>
        <w:trPr>
          <w:trHeight w:val="21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receivable agreement</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37,254</w:t>
            </w:r>
          </w:p>
        </w:tc>
      </w:tr>
      <w:tr>
        <w:trPr>
          <w:trHeight w:val="219"/>
        </w:trPr>
        <w:tc>
          <w:tcPr>
            <w:tcW w:w="4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carryovers</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12,453</w:t>
            </w:r>
          </w:p>
        </w:tc>
      </w:tr>
      <w:tr>
        <w:trPr>
          <w:trHeight w:val="21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credit carryovers</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w:t>
            </w:r>
          </w:p>
        </w:tc>
      </w:tr>
      <w:tr>
        <w:trPr>
          <w:trHeight w:val="219"/>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2"/>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deferred tax asset</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187,066</w:t>
            </w:r>
          </w:p>
        </w:tc>
      </w:tr>
      <w:tr>
        <w:trPr>
          <w:trHeight w:val="219"/>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(186,682)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(187,066)</w:t>
            </w: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w:t>
            </w:r>
          </w:p>
        </w:tc>
        <w:tc>
          <w:tcPr>
            <w:tcW w:w="1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2023, the Company had federal and state net operating loss carry forwards of approximately $57.8 million and $51.1 million, respectively, available to reduce future taxable income, if any. The federal net operating loss carries forward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indefinitely and most of the state net operating losses will expire beginning in 2041. The Company also has foreign net operating loss carry forwards of approximately $0.1 million.</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deferred tax asset is primarily attributable to future tax amortization deductions of tax basis created from the Business Combination, subsequent redemptions and exchanges of WHM Units, and future TRA payments. These deferred tax assets generally amortize over 15 years beginning on the date the WHM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2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Company follows the provisions of FASB ASC 740-10, </w:t>
      </w:r>
      <w:r>
        <w:rPr>
          <w:rFonts w:ascii="Times New Roman" w:cs="Times New Roman" w:eastAsia="Times New Roman" w:hAnsi="Times New Roman"/>
          <w:sz w:val="17"/>
          <w:szCs w:val="17"/>
          <w:i w:val="1"/>
          <w:iCs w:val="1"/>
          <w:color w:val="auto"/>
        </w:rPr>
        <w:t>Accounting for Uncertainty in Income Taxes</w:t>
      </w:r>
      <w:r>
        <w:rPr>
          <w:rFonts w:ascii="Times New Roman" w:cs="Times New Roman" w:eastAsia="Times New Roman" w:hAnsi="Times New Roman"/>
          <w:sz w:val="17"/>
          <w:szCs w:val="17"/>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reflects changes in the unrecognized tax benefits (in thousands):</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8"/>
        </w:trPr>
        <w:tc>
          <w:tcPr>
            <w:tcW w:w="69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amount of unrecognized tax benefits as of the beginning of the period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Decreases related to prior year tax provisions</w:t>
            </w:r>
          </w:p>
        </w:tc>
        <w:tc>
          <w:tcPr>
            <w:tcW w:w="220" w:type="dxa"/>
            <w:vAlign w:val="bottom"/>
          </w:tcPr>
          <w:p>
            <w:pPr>
              <w:spacing w:after="0"/>
              <w:rPr>
                <w:sz w:val="19"/>
                <w:szCs w:val="19"/>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Increases related to current year tax provisions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r>
      <w:tr>
        <w:trPr>
          <w:trHeight w:val="212"/>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amount of unrecognized tax benefits as of the end of the period</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58" w:lineRule="exact"/>
        <w:rPr>
          <w:sz w:val="20"/>
          <w:szCs w:val="20"/>
          <w:color w:val="auto"/>
        </w:rPr>
      </w:pPr>
    </w:p>
    <w:p>
      <w:pPr>
        <w:ind w:left="440" w:hanging="437"/>
        <w:spacing w:after="0"/>
        <w:tabs>
          <w:tab w:leader="none" w:pos="44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1240"/>
          </w:cols>
          <w:pgMar w:left="320" w:top="12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7"/>
          <w:szCs w:val="17"/>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following summary of the material terms of our securities is not intended to be a complete summary of the rights and preferences of such securities, and is qualified by reference to our Certificate of Incorporation, our Bylaws and the documents related to our Warrants (defined below)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and Outstanding Stock</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authorizes the issuance of 2,075,000,000 shares of capital stock, consisting of (x) 1,500,000,000 shares of our Class A Common Stock, par value $0.0001 per share (“Class A Common Stock”), (y) 500,000,000 shares of our Class V Common Stock, par value $0.0001 per share (“Class V Common Stock”) and 75,000,000 shares of preferred stock, par value $0.0001 per share. All of our issued and outstanding shares of capital stock are duly authorized, validly issued, fully paid and non-assessable. As of May 13, 2024, there were (1) 95,051,735 shares of Class A Common Stock, (2) 55,486,361 shares of Class V Common Stock and no shares of preferred stock outstanding.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Voting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Dividend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Rights </w:t>
      </w:r>
      <w:r>
        <w:rPr>
          <w:rFonts w:ascii="Times New Roman" w:cs="Times New Roman" w:eastAsia="Times New Roman" w:hAnsi="Times New Roman"/>
          <w:sz w:val="17"/>
          <w:szCs w:val="17"/>
          <w:i w:val="1"/>
          <w:iCs w:val="1"/>
          <w:color w:val="auto"/>
        </w:rPr>
        <w:t>upon Liquidation, Dissolution and Winding-Up</w:t>
      </w:r>
    </w:p>
    <w:p>
      <w:pPr>
        <w:spacing w:after="0" w:line="24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Preemptive </w:t>
      </w:r>
      <w:r>
        <w:rPr>
          <w:rFonts w:ascii="Times New Roman" w:cs="Times New Roman" w:eastAsia="Times New Roman" w:hAnsi="Times New Roman"/>
          <w:sz w:val="17"/>
          <w:szCs w:val="17"/>
          <w:i w:val="1"/>
          <w:iCs w:val="1"/>
          <w:color w:val="auto"/>
        </w:rPr>
        <w:t>or Other Rights</w:t>
      </w:r>
    </w:p>
    <w:p>
      <w:pPr>
        <w:spacing w:after="0" w:line="24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ectPr>
          <w:pgSz w:w="11900" w:h="16838" w:orient="portrait"/>
          <w:cols w:equalWidth="0" w:num="1">
            <w:col w:w="11240"/>
          </w:cols>
          <w:pgMar w:left="320" w:top="11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color w:val="auto"/>
        </w:rPr>
        <w:t>Class V Common Stock</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Voting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Dividend </w:t>
      </w:r>
      <w:r>
        <w:rPr>
          <w:rFonts w:ascii="Times New Roman" w:cs="Times New Roman" w:eastAsia="Times New Roman" w:hAnsi="Times New Roman"/>
          <w:sz w:val="17"/>
          <w:szCs w:val="17"/>
          <w:i w:val="1"/>
          <w:iCs w:val="1"/>
          <w:color w:val="auto"/>
        </w:rPr>
        <w:t>Rights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holders of the Class V Common Stock will not participate in any dividends declared by our board of directors.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Rights </w:t>
      </w:r>
      <w:r>
        <w:rPr>
          <w:rFonts w:ascii="Times New Roman" w:cs="Times New Roman" w:eastAsia="Times New Roman" w:hAnsi="Times New Roman"/>
          <w:sz w:val="17"/>
          <w:szCs w:val="17"/>
          <w:i w:val="1"/>
          <w:iCs w:val="1"/>
          <w:color w:val="auto"/>
        </w:rPr>
        <w:t>upon Liquidation, Dissolution and Winding-Up</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the holders of Class V Common Stock are not entitled to receive any of our assets.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Preemptive </w:t>
      </w:r>
      <w:r>
        <w:rPr>
          <w:rFonts w:ascii="Times New Roman" w:cs="Times New Roman" w:eastAsia="Times New Roman" w:hAnsi="Times New Roman"/>
          <w:sz w:val="17"/>
          <w:szCs w:val="17"/>
          <w:i w:val="1"/>
          <w:iCs w:val="1"/>
          <w:color w:val="auto"/>
        </w:rPr>
        <w:t>or Other Rights</w:t>
      </w:r>
    </w:p>
    <w:p>
      <w:pPr>
        <w:spacing w:after="0" w:line="24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Issuance </w:t>
      </w:r>
      <w:r>
        <w:rPr>
          <w:rFonts w:ascii="Times New Roman" w:cs="Times New Roman" w:eastAsia="Times New Roman" w:hAnsi="Times New Roman"/>
          <w:sz w:val="17"/>
          <w:szCs w:val="17"/>
          <w:i w:val="1"/>
          <w:iCs w:val="1"/>
          <w:color w:val="auto"/>
        </w:rPr>
        <w:t>and Retirement of Class V Common Stock</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the event that any outstanding share of Class V Common Stock ceases to be held directly or indirectly by a holder of Class A units representing limited liability company interests of WM Holding Company, LLC,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 Holding Company,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47"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provided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ectPr>
          <w:pgSz w:w="11900" w:h="16838" w:orient="portrait"/>
          <w:cols w:equalWidth="0" w:num="1">
            <w:col w:w="11240"/>
          </w:cols>
          <w:pgMar w:left="320" w:top="1357" w:right="339" w:bottom="1440" w:gutter="0" w:footer="0" w:header="0"/>
        </w:sectPr>
      </w:pPr>
    </w:p>
    <w:bookmarkStart w:id="146" w:name="page147"/>
    <w:bookmarkEnd w:id="146"/>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issuance of preferred stock may have the effect of delaying, deferring or preventing a change in control of WM Technology, Inc.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49"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Each whole public warrants originally issued in the initial public offering of Silver Spike Acquisition Corp (“Silver Spike”) (the “Public Warrants”) entitles the registered holder to purchase one share of Class A Common Stock at a price of $11.50 per share, subject to adjustment as discussed below, at any time commencing 30 days after June 16, 2021 (the “Closing Date”), provided that we have an effective registration statement under the Securities Act of 1933, as amended,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(the “Warrant Agreement”), dated August 7, 2019, between the Company and Continental Stock Transfer &amp; Trust Company, as warrant agent (the “Warrant Agent”)).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Date, at 5:00 p.m., New York City time, or earlier upon redemption or liquidation.</w:t>
      </w:r>
    </w:p>
    <w:p>
      <w:pPr>
        <w:spacing w:after="0" w:line="201"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20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filed with the U.S. Securities and Exchange Commission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may redeem the Public Warrants for redemption:</w:t>
      </w:r>
    </w:p>
    <w:p>
      <w:pPr>
        <w:spacing w:after="0" w:line="62" w:lineRule="exact"/>
        <w:rPr>
          <w:sz w:val="20"/>
          <w:szCs w:val="20"/>
          <w:color w:val="auto"/>
        </w:rPr>
      </w:pPr>
    </w:p>
    <w:p>
      <w:pPr>
        <w:ind w:left="620" w:hanging="307"/>
        <w:spacing w:after="0"/>
        <w:tabs>
          <w:tab w:leader="none" w:pos="6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ectPr>
          <w:pgSz w:w="11900" w:h="16838" w:orient="portrait"/>
          <w:cols w:equalWidth="0" w:num="1">
            <w:col w:w="11240"/>
          </w:cols>
          <w:pgMar w:left="320" w:top="1361" w:right="339" w:bottom="1440" w:gutter="0" w:footer="0" w:header="0"/>
        </w:sectPr>
      </w:pPr>
    </w:p>
    <w:bookmarkStart w:id="147" w:name="page148"/>
    <w:bookmarkEnd w:id="147"/>
    <w:p>
      <w:pPr>
        <w:ind w:left="620" w:hanging="307"/>
        <w:spacing w:after="0"/>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holder of Public Warrants; and</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191"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191"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Spike’s sponsor (“Silver Spike Sponsor”) and its permitted transferees would still be entitled to exercise the warrants that were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209"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197"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w:t>
      </w:r>
    </w:p>
    <w:p>
      <w:pPr>
        <w:sectPr>
          <w:pgSz w:w="11900" w:h="16838" w:orient="portrait"/>
          <w:cols w:equalWidth="0" w:num="1">
            <w:col w:w="11240"/>
          </w:cols>
          <w:pgMar w:left="320" w:top="1412" w:right="339" w:bottom="1440" w:gutter="0" w:footer="0" w:header="0"/>
        </w:sectPr>
      </w:pPr>
    </w:p>
    <w:bookmarkStart w:id="148" w:name="page149"/>
    <w:bookmarkEnd w:id="148"/>
    <w:p>
      <w:pPr>
        <w:jc w:val="both"/>
        <w:spacing w:after="0" w:line="259" w:lineRule="auto"/>
        <w:rPr>
          <w:sz w:val="20"/>
          <w:szCs w:val="20"/>
          <w:color w:val="auto"/>
        </w:rPr>
      </w:pPr>
      <w:r>
        <w:rPr>
          <w:rFonts w:ascii="Times New Roman" w:cs="Times New Roman" w:eastAsia="Times New Roman" w:hAnsi="Times New Roman"/>
          <w:sz w:val="17"/>
          <w:szCs w:val="17"/>
          <w:color w:val="auto"/>
        </w:rPr>
        <w:t>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200" w:lineRule="exact"/>
        <w:rPr>
          <w:sz w:val="20"/>
          <w:szCs w:val="20"/>
          <w:color w:val="auto"/>
        </w:rPr>
      </w:pPr>
    </w:p>
    <w:p>
      <w:pPr>
        <w:spacing w:after="0" w:line="21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0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19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97" w:lineRule="exact"/>
        <w:rPr>
          <w:sz w:val="20"/>
          <w:szCs w:val="20"/>
          <w:color w:val="auto"/>
        </w:rPr>
      </w:pPr>
    </w:p>
    <w:p>
      <w:pPr>
        <w:jc w:val="both"/>
        <w:ind w:firstLine="464"/>
        <w:spacing w:after="0" w:line="255"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21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w:t>
      </w:r>
    </w:p>
    <w:p>
      <w:pPr>
        <w:sectPr>
          <w:pgSz w:w="11900" w:h="16838" w:orient="portrait"/>
          <w:cols w:equalWidth="0" w:num="1">
            <w:col w:w="11240"/>
          </w:cols>
          <w:pgMar w:left="320" w:top="1361" w:right="339" w:bottom="1440" w:gutter="0" w:footer="0" w:header="0"/>
        </w:sectPr>
      </w:pPr>
    </w:p>
    <w:bookmarkStart w:id="149" w:name="page150"/>
    <w:bookmarkEnd w:id="149"/>
    <w:p>
      <w:pPr>
        <w:jc w:val="both"/>
        <w:spacing w:after="0" w:line="270" w:lineRule="auto"/>
        <w:rPr>
          <w:sz w:val="20"/>
          <w:szCs w:val="20"/>
          <w:color w:val="auto"/>
        </w:rPr>
      </w:pPr>
      <w:r>
        <w:rPr>
          <w:rFonts w:ascii="Times New Roman" w:cs="Times New Roman" w:eastAsia="Times New Roman" w:hAnsi="Times New Roman"/>
          <w:sz w:val="17"/>
          <w:szCs w:val="17"/>
          <w:color w:val="auto"/>
        </w:rPr>
        <w:t>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191"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 Warrants</w:t>
      </w:r>
    </w:p>
    <w:p>
      <w:pPr>
        <w:spacing w:after="0" w:line="249"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Private Placement Warrants (including the shares of Class A Common Stock issuable upon exercise of the Private Placement Warrants) will not be transferable, assignable or salable until 30 days after the Closing Date,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205"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We have not paid any cash dividends on Silver Spike’s then issued and outstanding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our common stock in the foreseeable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Restrictions</w:t>
      </w:r>
    </w:p>
    <w:p>
      <w:pPr>
        <w:spacing w:after="0" w:line="247"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auto"/>
        </w:rPr>
        <w:t>Pursuant to the letter agreement entered into between Silver Spike and Silver Spike Sponsor, after the Closing Date and subject to certain exceptions, the Sponsor is contractually restricted from selling or transferring any of its shares of Class A Common Stock until the earlier of (A) one year after the Closing Date or</w:t>
      </w:r>
    </w:p>
    <w:p>
      <w:pPr>
        <w:spacing w:after="0" w:line="1" w:lineRule="exact"/>
        <w:rPr>
          <w:sz w:val="20"/>
          <w:szCs w:val="20"/>
          <w:color w:val="auto"/>
        </w:rPr>
      </w:pPr>
    </w:p>
    <w:p>
      <w:pPr>
        <w:jc w:val="both"/>
        <w:ind w:firstLine="3"/>
        <w:spacing w:after="0" w:line="259" w:lineRule="auto"/>
        <w:tabs>
          <w:tab w:leader="none" w:pos="27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Closing Date,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Closing Date or (y) the date following the completion of the Closing Date on which we complete a liquidation, merger,</w:t>
      </w:r>
    </w:p>
    <w:p>
      <w:pPr>
        <w:sectPr>
          <w:pgSz w:w="11900" w:h="16838" w:orient="portrait"/>
          <w:cols w:equalWidth="0" w:num="1">
            <w:col w:w="11240"/>
          </w:cols>
          <w:pgMar w:left="320" w:top="1361" w:right="339" w:bottom="1440" w:gutter="0" w:footer="0" w:header="0"/>
        </w:sectPr>
      </w:pPr>
    </w:p>
    <w:bookmarkStart w:id="150" w:name="page151"/>
    <w:bookmarkEnd w:id="150"/>
    <w:p>
      <w:pPr>
        <w:jc w:val="both"/>
        <w:spacing w:after="0" w:line="260" w:lineRule="auto"/>
        <w:rPr>
          <w:sz w:val="20"/>
          <w:szCs w:val="20"/>
          <w:color w:val="auto"/>
        </w:rPr>
      </w:pPr>
      <w:r>
        <w:rPr>
          <w:rFonts w:ascii="Times New Roman" w:cs="Times New Roman" w:eastAsia="Times New Roman" w:hAnsi="Times New Roman"/>
          <w:sz w:val="17"/>
          <w:szCs w:val="17"/>
          <w:color w:val="auto"/>
        </w:rPr>
        <w:t>amalgamation, share exchange, reorganization or other similar transaction that results in all of our stockholders having the right to exchange their Class A Common Stock for cash, securities or other property. After the consummation of the business combination and subject to certain exceptions, holders of the Class A Units and Class P units representing limited liability company interests of WM Holding Company, LLC (the “Class P Units” and together with the Class A Units, the “Units”) are contractually restricted from selling or transferring any of their respective shares of common stock until 180 days after the Closing Date. See the section entitled “Certain Relationships and Related Party Transactions” for lock-up restrictions on our securities under an exchange agreement the Unit holders entered into on the Closing Date (the “Exchange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Special </w:t>
      </w:r>
      <w:r>
        <w:rPr>
          <w:rFonts w:ascii="Times New Roman" w:cs="Times New Roman" w:eastAsia="Times New Roman" w:hAnsi="Times New Roman"/>
          <w:sz w:val="17"/>
          <w:szCs w:val="17"/>
          <w:i w:val="1"/>
          <w:iCs w:val="1"/>
          <w:color w:val="auto"/>
        </w:rPr>
        <w:t>Meetings of Stockholders</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the chairperson of our board of directors, (ii) our Chief Executive Officer or the President if the chairperson of our board of directors is unavailable, or (iii) our board of directors pursuant to a resolution adopted by a majority of the total number of authorized directors (whether or not there exist any vacancies in previously authorized directorships at the time any such resolution is presented to our board of directors for adoption).</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Advance </w:t>
      </w:r>
      <w:r>
        <w:rPr>
          <w:rFonts w:ascii="Times New Roman" w:cs="Times New Roman" w:eastAsia="Times New Roman" w:hAnsi="Times New Roman"/>
          <w:sz w:val="17"/>
          <w:szCs w:val="17"/>
          <w:i w:val="1"/>
          <w:iCs w:val="1"/>
          <w:color w:val="auto"/>
        </w:rPr>
        <w:t>Notice Requirements for Stockholder Proposals and Director Nominations</w:t>
      </w:r>
    </w:p>
    <w:p>
      <w:pPr>
        <w:spacing w:after="0" w:line="247"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90th day nor earlier than the open of business on the 120th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120th day prior to such annual meeting and no later than the close of business on the latter of the 90th day prior to such annual meeting or the 10th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Authorized </w:t>
      </w:r>
      <w:r>
        <w:rPr>
          <w:rFonts w:ascii="Times New Roman" w:cs="Times New Roman" w:eastAsia="Times New Roman" w:hAnsi="Times New Roman"/>
          <w:sz w:val="17"/>
          <w:szCs w:val="17"/>
          <w:i w:val="1"/>
          <w:iCs w:val="1"/>
          <w:color w:val="auto"/>
        </w:rPr>
        <w:t>but Unissued Shares</w:t>
      </w:r>
    </w:p>
    <w:p>
      <w:pPr>
        <w:spacing w:after="0" w:line="24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Exclusive </w:t>
      </w:r>
      <w:r>
        <w:rPr>
          <w:rFonts w:ascii="Times New Roman" w:cs="Times New Roman" w:eastAsia="Times New Roman" w:hAnsi="Times New Roman"/>
          <w:sz w:val="17"/>
          <w:szCs w:val="17"/>
          <w:i w:val="1"/>
          <w:iCs w:val="1"/>
          <w:color w:val="auto"/>
        </w:rPr>
        <w:t>Forum Selection</w:t>
      </w:r>
    </w:p>
    <w:p>
      <w:pPr>
        <w:spacing w:after="0" w:line="247"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w:t>
      </w:r>
    </w:p>
    <w:p>
      <w:pPr>
        <w:sectPr>
          <w:pgSz w:w="11900" w:h="16838" w:orient="portrait"/>
          <w:cols w:equalWidth="0" w:num="1">
            <w:col w:w="11240"/>
          </w:cols>
          <w:pgMar w:left="320" w:top="1361" w:right="339" w:bottom="1440" w:gutter="0" w:footer="0" w:header="0"/>
        </w:sectPr>
      </w:pPr>
    </w:p>
    <w:bookmarkStart w:id="151" w:name="page152"/>
    <w:bookmarkEnd w:id="151"/>
    <w:p>
      <w:pPr>
        <w:jc w:val="both"/>
        <w:spacing w:after="0" w:line="256" w:lineRule="auto"/>
        <w:rPr>
          <w:sz w:val="20"/>
          <w:szCs w:val="20"/>
          <w:color w:val="auto"/>
        </w:rPr>
      </w:pPr>
      <w:r>
        <w:rPr>
          <w:rFonts w:ascii="Times New Roman" w:cs="Times New Roman" w:eastAsia="Times New Roman" w:hAnsi="Times New Roman"/>
          <w:sz w:val="17"/>
          <w:szCs w:val="17"/>
          <w:color w:val="auto"/>
        </w:rPr>
        <w:t>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Securities Exchange Act of 1934, as amended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Section </w:t>
      </w:r>
      <w:r>
        <w:rPr>
          <w:rFonts w:ascii="Times New Roman" w:cs="Times New Roman" w:eastAsia="Times New Roman" w:hAnsi="Times New Roman"/>
          <w:sz w:val="17"/>
          <w:szCs w:val="17"/>
          <w:i w:val="1"/>
          <w:iCs w:val="1"/>
          <w:color w:val="auto"/>
        </w:rPr>
        <w:t>203 of the Delaware General Corporation Law</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do not opt out of Section 203 of the DGCL under our Certificate of Incorporation.</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Limitation </w:t>
      </w:r>
      <w:r>
        <w:rPr>
          <w:rFonts w:ascii="Times New Roman" w:cs="Times New Roman" w:eastAsia="Times New Roman" w:hAnsi="Times New Roman"/>
          <w:sz w:val="17"/>
          <w:szCs w:val="17"/>
          <w:i w:val="1"/>
          <w:iCs w:val="1"/>
          <w:color w:val="auto"/>
        </w:rPr>
        <w:t>on Liability and Indemnification of Directors and Officers</w:t>
      </w:r>
    </w:p>
    <w:p>
      <w:pPr>
        <w:spacing w:after="0" w:line="247" w:lineRule="exact"/>
        <w:rPr>
          <w:sz w:val="20"/>
          <w:szCs w:val="20"/>
          <w:color w:val="auto"/>
        </w:rPr>
      </w:pPr>
    </w:p>
    <w:p>
      <w:pPr>
        <w:jc w:val="both"/>
        <w:ind w:firstLine="464"/>
        <w:spacing w:after="0" w:line="284" w:lineRule="auto"/>
        <w:rPr>
          <w:sz w:val="20"/>
          <w:szCs w:val="20"/>
          <w:color w:val="auto"/>
        </w:rPr>
      </w:pPr>
      <w:r>
        <w:rPr>
          <w:rFonts w:ascii="Times New Roman" w:cs="Times New Roman" w:eastAsia="Times New Roman" w:hAnsi="Times New Roman"/>
          <w:sz w:val="17"/>
          <w:szCs w:val="17"/>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 w:lineRule="exact"/>
        <w:rPr>
          <w:sz w:val="20"/>
          <w:szCs w:val="20"/>
          <w:color w:val="auto"/>
        </w:rPr>
      </w:pPr>
    </w:p>
    <w:p>
      <w:pPr>
        <w:ind w:left="620" w:hanging="30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transaction from which the director derives an improper personal benefit;</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act or omission not in good faith or that involves intentional misconduct or a knowing violation of law;</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unlawful payment of dividends or redemption of shares; or</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breach of a director’s duty of loyalty to the corporation or its stockholders.</w:t>
      </w:r>
    </w:p>
    <w:p>
      <w:pPr>
        <w:spacing w:after="0" w:line="24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191"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9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maintain a directors’ and officers’ insurance policy pursuant to which our directors and officers are insured against liability for actions taken in their capacities as directors and officers. We believe these provisions in</w:t>
      </w:r>
    </w:p>
    <w:p>
      <w:pPr>
        <w:sectPr>
          <w:pgSz w:w="11900" w:h="16838" w:orient="portrait"/>
          <w:cols w:equalWidth="0" w:num="1">
            <w:col w:w="11240"/>
          </w:cols>
          <w:pgMar w:left="320" w:top="136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color w:val="auto"/>
        </w:rPr>
        <w:t>our Certificate of Incorporation and the Bylaws and these indemnification agreements are necessary to attract and retain qualified persons as directors and officers.</w:t>
      </w:r>
    </w:p>
    <w:p>
      <w:pPr>
        <w:spacing w:after="0" w:line="24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4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11" w:lineRule="exact"/>
        <w:rPr>
          <w:sz w:val="20"/>
          <w:szCs w:val="20"/>
          <w:color w:val="auto"/>
        </w:rPr>
      </w:pPr>
    </w:p>
    <w:p>
      <w:pPr>
        <w:ind w:left="620" w:hanging="307"/>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Upon the Closing Date, we ceased to be a shell company.</w:t>
      </w:r>
    </w:p>
    <w:p>
      <w:pPr>
        <w:spacing w:after="0" w:line="243"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20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 w:lineRule="exact"/>
        <w:rPr>
          <w:sz w:val="20"/>
          <w:szCs w:val="20"/>
          <w:color w:val="auto"/>
        </w:rPr>
      </w:pPr>
    </w:p>
    <w:p>
      <w:pPr>
        <w:ind w:left="620" w:hanging="307"/>
        <w:spacing w:after="0"/>
        <w:tabs>
          <w:tab w:leader="none" w:pos="6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percent (1%) of the total number of shares of Class A Common Stock then outstanding; or</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the Class A Common Stock during the four calendar weeks preceding the filing of a notice on Form 144 with respect to the sale.</w:t>
      </w:r>
    </w:p>
    <w:p>
      <w:pPr>
        <w:spacing w:after="0" w:line="177"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Sales by our affiliates under Rule 144 will also be limited by manner of sale provisions and notice requirements and to the availability of current public information about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Warrant Agent and Registrar</w:t>
      </w:r>
    </w:p>
    <w:p>
      <w:pPr>
        <w:spacing w:after="0" w:line="247"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transfer agent, warrant agent and registrar for our Class A Common Stock, Class V Common Stock and Warrants is Continental Stock Transfer &amp; Trust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of Securities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Class A Common Stock and Public Warrants are listed on Nasdaq under the symbols “MAPS” and “MAPW,” respectively.</w:t>
      </w:r>
    </w:p>
    <w:p>
      <w:pPr>
        <w:sectPr>
          <w:pgSz w:w="11900" w:h="16838" w:orient="portrait"/>
          <w:cols w:equalWidth="0" w:num="1">
            <w:col w:w="11240"/>
          </w:cols>
          <w:pgMar w:left="320" w:top="1361"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4"/>
          <w:szCs w:val="24"/>
          <w:b w:val="1"/>
          <w:bCs w:val="1"/>
          <w:color w:val="auto"/>
        </w:rPr>
        <w:t>Exhibit 10.18</w:t>
      </w:r>
    </w:p>
    <w:p>
      <w:pPr>
        <w:spacing w:after="0" w:line="200" w:lineRule="exact"/>
        <w:rPr>
          <w:sz w:val="20"/>
          <w:szCs w:val="20"/>
          <w:color w:val="auto"/>
        </w:rPr>
      </w:pPr>
    </w:p>
    <w:p>
      <w:pPr>
        <w:spacing w:after="0" w:line="301" w:lineRule="exact"/>
        <w:rPr>
          <w:sz w:val="20"/>
          <w:szCs w:val="20"/>
          <w:color w:val="auto"/>
        </w:rPr>
      </w:pPr>
    </w:p>
    <w:p>
      <w:pPr>
        <w:jc w:val="center"/>
        <w:ind w:right="120"/>
        <w:spacing w:after="0"/>
        <w:rPr>
          <w:sz w:val="20"/>
          <w:szCs w:val="20"/>
          <w:color w:val="auto"/>
        </w:rPr>
      </w:pPr>
      <w:r>
        <w:rPr>
          <w:rFonts w:ascii="Arial" w:cs="Arial" w:eastAsia="Arial" w:hAnsi="Arial"/>
          <w:sz w:val="24"/>
          <w:szCs w:val="24"/>
          <w:color w:val="auto"/>
        </w:rPr>
        <w:t>Ghost Management Group, LLC</w:t>
      </w:r>
    </w:p>
    <w:p>
      <w:pPr>
        <w:spacing w:after="0" w:line="16" w:lineRule="exact"/>
        <w:rPr>
          <w:sz w:val="20"/>
          <w:szCs w:val="20"/>
          <w:color w:val="auto"/>
        </w:rPr>
      </w:pPr>
    </w:p>
    <w:p>
      <w:pPr>
        <w:ind w:left="5240" w:hanging="233"/>
        <w:spacing w:after="0"/>
        <w:tabs>
          <w:tab w:leader="none" w:pos="52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Discovery</w:t>
      </w:r>
    </w:p>
    <w:p>
      <w:pPr>
        <w:spacing w:after="0" w:line="10" w:lineRule="exact"/>
        <w:rPr>
          <w:rFonts w:ascii="Arial" w:cs="Arial" w:eastAsia="Arial" w:hAnsi="Arial"/>
          <w:sz w:val="17"/>
          <w:szCs w:val="17"/>
          <w:color w:val="auto"/>
        </w:rPr>
      </w:pPr>
    </w:p>
    <w:p>
      <w:pPr>
        <w:ind w:left="4620"/>
        <w:spacing w:after="0"/>
        <w:rPr>
          <w:rFonts w:ascii="Arial" w:cs="Arial" w:eastAsia="Arial" w:hAnsi="Arial"/>
          <w:sz w:val="17"/>
          <w:szCs w:val="17"/>
          <w:color w:val="auto"/>
        </w:rPr>
      </w:pPr>
      <w:r>
        <w:rPr>
          <w:rFonts w:ascii="Arial" w:cs="Arial" w:eastAsia="Arial" w:hAnsi="Arial"/>
          <w:sz w:val="17"/>
          <w:szCs w:val="17"/>
          <w:color w:val="auto"/>
        </w:rPr>
        <w:t>Irvine, California 92618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October 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Duncan Grazier </w:t>
      </w:r>
      <w:r>
        <w:rPr>
          <w:rFonts w:ascii="Times New Roman" w:cs="Times New Roman" w:eastAsia="Times New Roman" w:hAnsi="Times New Roman"/>
          <w:sz w:val="19"/>
          <w:szCs w:val="19"/>
          <w:color w:val="auto"/>
          <w:highlight w:val="black"/>
        </w:rPr>
        <w:t>Address</w:t>
      </w:r>
    </w:p>
    <w:p>
      <w:pPr>
        <w:spacing w:after="0" w:line="20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Retention Bonus Opportunity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Duncan,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Congratulations! Ghost Management Group, LLC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is pleased to offer you the opportunity to receive a cash retention bonus (the</w:t>
      </w:r>
    </w:p>
    <w:p>
      <w:pPr>
        <w:spacing w:after="0" w:line="1" w:lineRule="exact"/>
        <w:rPr>
          <w:sz w:val="20"/>
          <w:szCs w:val="20"/>
          <w:color w:val="auto"/>
        </w:rPr>
      </w:pPr>
    </w:p>
    <w:p>
      <w:pPr>
        <w:jc w:val="both"/>
        <w:ind w:right="100"/>
        <w:spacing w:after="0" w:line="22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Retention Bonus</w:t>
      </w:r>
      <w:r>
        <w:rPr>
          <w:rFonts w:ascii="Times New Roman" w:cs="Times New Roman" w:eastAsia="Times New Roman" w:hAnsi="Times New Roman"/>
          <w:sz w:val="19"/>
          <w:szCs w:val="19"/>
          <w:color w:val="auto"/>
        </w:rPr>
        <w:t xml:space="preserve">”) in the gross amount of </w:t>
      </w:r>
      <w:r>
        <w:rPr>
          <w:rFonts w:ascii="Times New Roman" w:cs="Times New Roman" w:eastAsia="Times New Roman" w:hAnsi="Times New Roman"/>
          <w:sz w:val="19"/>
          <w:szCs w:val="19"/>
          <w:b w:val="1"/>
          <w:bCs w:val="1"/>
          <w:color w:val="auto"/>
        </w:rPr>
        <w:t>Two Hundred Thousand Dollars ($200,000)</w:t>
      </w:r>
      <w:r>
        <w:rPr>
          <w:rFonts w:ascii="Times New Roman" w:cs="Times New Roman" w:eastAsia="Times New Roman" w:hAnsi="Times New Roman"/>
          <w:sz w:val="19"/>
          <w:szCs w:val="19"/>
          <w:color w:val="auto"/>
        </w:rPr>
        <w:t xml:space="preserve"> as set forth below in this retention bonus opportunity letter (“</w:t>
      </w:r>
      <w:r>
        <w:rPr>
          <w:rFonts w:ascii="Times New Roman" w:cs="Times New Roman" w:eastAsia="Times New Roman" w:hAnsi="Times New Roman"/>
          <w:sz w:val="19"/>
          <w:szCs w:val="19"/>
          <w:b w:val="1"/>
          <w:bCs w:val="1"/>
          <w:i w:val="1"/>
          <w:iCs w:val="1"/>
          <w:color w:val="auto"/>
        </w:rPr>
        <w:t>Letter</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9"/>
          <w:szCs w:val="19"/>
          <w:color w:val="auto"/>
        </w:rPr>
        <w:t>To earn the Retention Bonus, you must remain actively employed with the Company through July 1, 2024 (the “</w:t>
      </w:r>
      <w:r>
        <w:rPr>
          <w:rFonts w:ascii="Times New Roman" w:cs="Times New Roman" w:eastAsia="Times New Roman" w:hAnsi="Times New Roman"/>
          <w:sz w:val="19"/>
          <w:szCs w:val="19"/>
          <w:b w:val="1"/>
          <w:bCs w:val="1"/>
          <w:i w:val="1"/>
          <w:iCs w:val="1"/>
          <w:color w:val="auto"/>
        </w:rPr>
        <w:t>Retention Date</w:t>
      </w:r>
      <w:r>
        <w:rPr>
          <w:rFonts w:ascii="Times New Roman" w:cs="Times New Roman" w:eastAsia="Times New Roman" w:hAnsi="Times New Roman"/>
          <w:sz w:val="19"/>
          <w:szCs w:val="19"/>
          <w:color w:val="auto"/>
        </w:rPr>
        <w:t>”). By signing this Letter, you acknowledge and agree that no portion of the Retention Bonus is earned unless and until you have been actively employed with</w:t>
      </w:r>
    </w:p>
    <w:p>
      <w:pPr>
        <w:spacing w:after="0" w:line="1" w:lineRule="exact"/>
        <w:rPr>
          <w:sz w:val="20"/>
          <w:szCs w:val="20"/>
          <w:color w:val="auto"/>
        </w:rPr>
      </w:pPr>
    </w:p>
    <w:p>
      <w:pPr>
        <w:jc w:val="both"/>
        <w:ind w:right="100"/>
        <w:spacing w:after="0" w:line="205" w:lineRule="auto"/>
        <w:rPr>
          <w:sz w:val="20"/>
          <w:szCs w:val="20"/>
          <w:color w:val="auto"/>
        </w:rPr>
      </w:pPr>
      <w:r>
        <w:rPr>
          <w:rFonts w:ascii="Times New Roman" w:cs="Times New Roman" w:eastAsia="Times New Roman" w:hAnsi="Times New Roman"/>
          <w:sz w:val="19"/>
          <w:szCs w:val="19"/>
          <w:color w:val="auto"/>
        </w:rPr>
        <w:t>the Company through the Retention Date. The Retention Bonus, however, will be provided to you subject to any applicable withholdings on the first regular payroll date after October 1, 2023, subject to repayment by you if your employment terminates before the Retention Date for any of</w:t>
      </w:r>
    </w:p>
    <w:p>
      <w:pPr>
        <w:spacing w:after="0" w:line="1" w:lineRule="exact"/>
        <w:rPr>
          <w:sz w:val="20"/>
          <w:szCs w:val="20"/>
          <w:color w:val="auto"/>
        </w:rPr>
      </w:pPr>
    </w:p>
    <w:p>
      <w:pPr>
        <w:jc w:val="both"/>
        <w:ind w:right="100"/>
        <w:spacing w:after="0" w:line="229" w:lineRule="auto"/>
        <w:rPr>
          <w:sz w:val="20"/>
          <w:szCs w:val="20"/>
          <w:color w:val="auto"/>
        </w:rPr>
      </w:pPr>
      <w:r>
        <w:rPr>
          <w:rFonts w:ascii="Times New Roman" w:cs="Times New Roman" w:eastAsia="Times New Roman" w:hAnsi="Times New Roman"/>
          <w:sz w:val="19"/>
          <w:szCs w:val="19"/>
          <w:color w:val="auto"/>
        </w:rPr>
        <w:t>the disqualifying reasons described below. Please know that by signing this Letter, you acknowledge and agree that your receipt of the Retention Bonus is a bonus that is subject to repayment pursuant to the terms and conditions described in this Letter.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event your employment is terminated by the Company without “Cause” (as such term is defined in this Letter), prior to the Retention Date,</w:t>
      </w:r>
    </w:p>
    <w:p>
      <w:pPr>
        <w:jc w:val="both"/>
        <w:ind w:right="100"/>
        <w:spacing w:after="0" w:line="216" w:lineRule="auto"/>
        <w:rPr>
          <w:sz w:val="20"/>
          <w:szCs w:val="20"/>
          <w:color w:val="auto"/>
        </w:rPr>
      </w:pPr>
      <w:r>
        <w:rPr>
          <w:rFonts w:ascii="Times New Roman" w:cs="Times New Roman" w:eastAsia="Times New Roman" w:hAnsi="Times New Roman"/>
          <w:sz w:val="18"/>
          <w:szCs w:val="18"/>
          <w:color w:val="auto"/>
        </w:rPr>
        <w:t>then you will be entitled to retain the Retention Bonus payment in full. However, if you voluntarily terminate your employment with the Company or alternatively your employment is terminated by the Company for Cause before the Retention Date then you will not have earned the</w:t>
      </w:r>
    </w:p>
    <w:p>
      <w:pPr>
        <w:spacing w:after="0" w:line="1" w:lineRule="exact"/>
        <w:rPr>
          <w:sz w:val="20"/>
          <w:szCs w:val="20"/>
          <w:color w:val="auto"/>
        </w:rPr>
      </w:pPr>
    </w:p>
    <w:p>
      <w:pPr>
        <w:jc w:val="both"/>
        <w:ind w:right="100"/>
        <w:spacing w:after="0" w:line="216" w:lineRule="auto"/>
        <w:rPr>
          <w:sz w:val="20"/>
          <w:szCs w:val="20"/>
          <w:color w:val="auto"/>
        </w:rPr>
      </w:pPr>
      <w:r>
        <w:rPr>
          <w:rFonts w:ascii="Times New Roman" w:cs="Times New Roman" w:eastAsia="Times New Roman" w:hAnsi="Times New Roman"/>
          <w:sz w:val="18"/>
          <w:szCs w:val="18"/>
          <w:color w:val="auto"/>
        </w:rPr>
        <w:t>Retention Bonus and you will be required to repay to the Company a prorated amount of the Retention Bonus based on the ratio of (x) nine minus the number of full months of your employment with the Company, commencing as of October 1, 2023, to (y) nine months. By signing this</w:t>
      </w:r>
    </w:p>
    <w:p>
      <w:pPr>
        <w:spacing w:after="0" w:line="213" w:lineRule="auto"/>
        <w:rPr>
          <w:sz w:val="20"/>
          <w:szCs w:val="20"/>
          <w:color w:val="auto"/>
        </w:rPr>
      </w:pPr>
      <w:r>
        <w:rPr>
          <w:rFonts w:ascii="Times New Roman" w:cs="Times New Roman" w:eastAsia="Times New Roman" w:hAnsi="Times New Roman"/>
          <w:sz w:val="19"/>
          <w:szCs w:val="19"/>
          <w:color w:val="auto"/>
        </w:rPr>
        <w:t>Letter, you agree that in the event you are required to repay the Retention Bonus to the Company, you hereby authorize the Company to deduct</w:t>
      </w:r>
    </w:p>
    <w:p>
      <w:pPr>
        <w:spacing w:after="0" w:line="1" w:lineRule="exact"/>
        <w:rPr>
          <w:sz w:val="20"/>
          <w:szCs w:val="20"/>
          <w:color w:val="auto"/>
        </w:rPr>
      </w:pPr>
    </w:p>
    <w:p>
      <w:pPr>
        <w:jc w:val="both"/>
        <w:ind w:right="100"/>
        <w:spacing w:after="0" w:line="205" w:lineRule="auto"/>
        <w:rPr>
          <w:sz w:val="20"/>
          <w:szCs w:val="20"/>
          <w:color w:val="auto"/>
        </w:rPr>
      </w:pPr>
      <w:r>
        <w:rPr>
          <w:rFonts w:ascii="Times New Roman" w:cs="Times New Roman" w:eastAsia="Times New Roman" w:hAnsi="Times New Roman"/>
          <w:sz w:val="19"/>
          <w:szCs w:val="19"/>
          <w:color w:val="auto"/>
        </w:rPr>
        <w:t>from your final paycheck up to the full amount of the Retention Bonus owed, unless you are a non-exempt employee and the total amount to be deducted results in your final paycheck being less than the minimum wage for that pay period. In addition, if any amount of the Retention Bonus</w:t>
      </w:r>
    </w:p>
    <w:p>
      <w:pPr>
        <w:spacing w:after="0" w:line="213" w:lineRule="auto"/>
        <w:rPr>
          <w:sz w:val="20"/>
          <w:szCs w:val="20"/>
          <w:color w:val="auto"/>
        </w:rPr>
      </w:pPr>
      <w:r>
        <w:rPr>
          <w:rFonts w:ascii="Times New Roman" w:cs="Times New Roman" w:eastAsia="Times New Roman" w:hAnsi="Times New Roman"/>
          <w:sz w:val="19"/>
          <w:szCs w:val="19"/>
          <w:color w:val="auto"/>
        </w:rPr>
        <w:t>which you are required to repay to the Company remains unpaid by you after deduction, if any, is made from your final paycheck, or if the</w:t>
      </w:r>
    </w:p>
    <w:p>
      <w:pPr>
        <w:jc w:val="both"/>
        <w:ind w:right="100"/>
        <w:spacing w:after="0" w:line="205" w:lineRule="auto"/>
        <w:rPr>
          <w:sz w:val="20"/>
          <w:szCs w:val="20"/>
          <w:color w:val="auto"/>
        </w:rPr>
      </w:pPr>
      <w:r>
        <w:rPr>
          <w:rFonts w:ascii="Times New Roman" w:cs="Times New Roman" w:eastAsia="Times New Roman" w:hAnsi="Times New Roman"/>
          <w:sz w:val="19"/>
          <w:szCs w:val="19"/>
          <w:color w:val="auto"/>
        </w:rPr>
        <w:t>Company is unable to or chooses not to deduct all or part of the Retention Bonus from your final paycheck, you hereby agree to repay to the Company the remaining balance owed within ten (10) calendar days after the termination of your employment. You further agree that if you fail</w:t>
      </w:r>
    </w:p>
    <w:p>
      <w:pPr>
        <w:spacing w:after="0" w:line="213" w:lineRule="auto"/>
        <w:rPr>
          <w:sz w:val="20"/>
          <w:szCs w:val="20"/>
          <w:color w:val="auto"/>
        </w:rPr>
      </w:pPr>
      <w:r>
        <w:rPr>
          <w:rFonts w:ascii="Times New Roman" w:cs="Times New Roman" w:eastAsia="Times New Roman" w:hAnsi="Times New Roman"/>
          <w:sz w:val="19"/>
          <w:szCs w:val="19"/>
          <w:color w:val="auto"/>
        </w:rPr>
        <w:t>to repay the owed amount of the Retention Bonus within ten (10) calendar days after the termination of your employment, and if the Company</w:t>
      </w:r>
    </w:p>
    <w:p>
      <w:pPr>
        <w:jc w:val="both"/>
        <w:ind w:right="100"/>
        <w:spacing w:after="0" w:line="222" w:lineRule="auto"/>
        <w:rPr>
          <w:sz w:val="20"/>
          <w:szCs w:val="20"/>
          <w:color w:val="auto"/>
        </w:rPr>
      </w:pPr>
      <w:r>
        <w:rPr>
          <w:rFonts w:ascii="Times New Roman" w:cs="Times New Roman" w:eastAsia="Times New Roman" w:hAnsi="Times New Roman"/>
          <w:sz w:val="19"/>
          <w:szCs w:val="19"/>
          <w:color w:val="auto"/>
        </w:rPr>
        <w:t>resorts to litigation to obtain such repayment, you shall be liable to the Company for all of its litigation costs and expenses, including attorneys’ fees and interest at the applicable legal rate.</w:t>
      </w:r>
    </w:p>
    <w:p>
      <w:pPr>
        <w:spacing w:after="0" w:line="182" w:lineRule="exact"/>
        <w:rPr>
          <w:sz w:val="20"/>
          <w:szCs w:val="20"/>
          <w:color w:val="auto"/>
        </w:rPr>
      </w:pPr>
    </w:p>
    <w:p>
      <w:pPr>
        <w:jc w:val="both"/>
        <w:ind w:right="100"/>
        <w:spacing w:after="0" w:line="231" w:lineRule="auto"/>
        <w:rPr>
          <w:sz w:val="20"/>
          <w:szCs w:val="20"/>
          <w:color w:val="auto"/>
        </w:rPr>
      </w:pPr>
      <w:r>
        <w:rPr>
          <w:rFonts w:ascii="Times New Roman" w:cs="Times New Roman" w:eastAsia="Times New Roman" w:hAnsi="Times New Roman"/>
          <w:sz w:val="19"/>
          <w:szCs w:val="19"/>
          <w:color w:val="auto"/>
        </w:rPr>
        <w:t>The Retention Bonus payment will be subject to any applicable withholdings. If you are a non-exempt employee subject to state and federal overtime laws, and you have earned the Retention Bonus, you will be paid any overtime owed on the Retention Bonus by the end of the next full pay period after the Retention Date.</w:t>
      </w:r>
    </w:p>
    <w:p>
      <w:pPr>
        <w:sectPr>
          <w:pgSz w:w="11900" w:h="16838" w:orient="portrait"/>
          <w:cols w:equalWidth="0" w:num="1">
            <w:col w:w="11120"/>
          </w:cols>
          <w:pgMar w:left="440" w:top="88"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4"/>
          <w:szCs w:val="24"/>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Duncan Grazier October 1, 2023</w:t>
      </w:r>
    </w:p>
    <w:p>
      <w:pPr>
        <w:ind w:left="120"/>
        <w:spacing w:after="0"/>
        <w:rPr>
          <w:sz w:val="20"/>
          <w:szCs w:val="20"/>
          <w:color w:val="auto"/>
        </w:rPr>
      </w:pPr>
      <w:r>
        <w:rPr>
          <w:rFonts w:ascii="Times New Roman" w:cs="Times New Roman" w:eastAsia="Times New Roman" w:hAnsi="Times New Roman"/>
          <w:sz w:val="19"/>
          <w:szCs w:val="19"/>
          <w:color w:val="auto"/>
        </w:rPr>
        <w:t>Page 2 of 2</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 purposes of this Letter only, the term “Cause,” as it concerns you, shall be defined as follows: (a) refusal or failure to competently perform</w:t>
      </w:r>
    </w:p>
    <w:p>
      <w:pPr>
        <w:jc w:val="both"/>
        <w:ind w:left="120" w:right="100"/>
        <w:spacing w:after="0" w:line="205" w:lineRule="auto"/>
        <w:rPr>
          <w:sz w:val="20"/>
          <w:szCs w:val="20"/>
          <w:color w:val="auto"/>
        </w:rPr>
      </w:pPr>
      <w:r>
        <w:rPr>
          <w:rFonts w:ascii="Times New Roman" w:cs="Times New Roman" w:eastAsia="Times New Roman" w:hAnsi="Times New Roman"/>
          <w:sz w:val="19"/>
          <w:szCs w:val="19"/>
          <w:color w:val="auto"/>
        </w:rPr>
        <w:t xml:space="preserve">your assigned duties and responsibilities; (b) misconduct including, but not limited to, any violation of any of the Company’s policies or procedures; (c) conviction of or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a felony or any crime involving moral turpitude; (d) failure to comply with any of the</w:t>
      </w:r>
    </w:p>
    <w:p>
      <w:pPr>
        <w:ind w:left="120"/>
        <w:spacing w:after="0" w:line="213" w:lineRule="auto"/>
        <w:rPr>
          <w:sz w:val="20"/>
          <w:szCs w:val="20"/>
          <w:color w:val="auto"/>
        </w:rPr>
      </w:pPr>
      <w:r>
        <w:rPr>
          <w:rFonts w:ascii="Times New Roman" w:cs="Times New Roman" w:eastAsia="Times New Roman" w:hAnsi="Times New Roman"/>
          <w:sz w:val="19"/>
          <w:szCs w:val="19"/>
          <w:color w:val="auto"/>
        </w:rPr>
        <w:t>Company’s lawful directives; (e) violation of any law, rule or regulation; (f) taking of any improper action or failure to take proper action that has</w:t>
      </w:r>
    </w:p>
    <w:p>
      <w:pPr>
        <w:jc w:val="both"/>
        <w:ind w:left="120" w:right="100"/>
        <w:spacing w:after="0" w:line="216" w:lineRule="auto"/>
        <w:rPr>
          <w:sz w:val="20"/>
          <w:szCs w:val="20"/>
          <w:color w:val="auto"/>
        </w:rPr>
      </w:pPr>
      <w:r>
        <w:rPr>
          <w:rFonts w:ascii="Times New Roman" w:cs="Times New Roman" w:eastAsia="Times New Roman" w:hAnsi="Times New Roman"/>
          <w:sz w:val="18"/>
          <w:szCs w:val="18"/>
          <w:color w:val="auto"/>
        </w:rPr>
        <w:t>had or could reasonably be expected to have a material adverse effect on the Company; (g) dishonesty, bad faith, gross negligence, or willful or reckless disregard of your job duties; and/or (h) engagement in a competitive business practice or business that is otherwise materially adverse to</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w:t>
      </w:r>
    </w:p>
    <w:p>
      <w:pPr>
        <w:spacing w:after="0" w:line="187" w:lineRule="exact"/>
        <w:rPr>
          <w:sz w:val="20"/>
          <w:szCs w:val="20"/>
          <w:color w:val="auto"/>
        </w:rPr>
      </w:pPr>
    </w:p>
    <w:p>
      <w:pPr>
        <w:jc w:val="both"/>
        <w:ind w:left="120" w:right="100"/>
        <w:spacing w:after="0"/>
        <w:rPr>
          <w:sz w:val="20"/>
          <w:szCs w:val="20"/>
          <w:color w:val="auto"/>
        </w:rPr>
      </w:pPr>
      <w:r>
        <w:rPr>
          <w:rFonts w:ascii="Times New Roman" w:cs="Times New Roman" w:eastAsia="Times New Roman" w:hAnsi="Times New Roman"/>
          <w:sz w:val="19"/>
          <w:szCs w:val="19"/>
          <w:color w:val="auto"/>
        </w:rPr>
        <w:t>Nothing in this Letter changes or alters your status with the Company, which continues to be “at-will” employment. Accordingly, the Company or you may terminate your employment with the Company at any time and for any reason, with or without cause or notice.</w:t>
      </w:r>
    </w:p>
    <w:p>
      <w:pPr>
        <w:spacing w:after="0" w:line="182" w:lineRule="exact"/>
        <w:rPr>
          <w:sz w:val="20"/>
          <w:szCs w:val="20"/>
          <w:color w:val="auto"/>
        </w:rPr>
      </w:pPr>
    </w:p>
    <w:p>
      <w:pPr>
        <w:jc w:val="both"/>
        <w:ind w:left="120" w:right="100"/>
        <w:spacing w:after="0" w:line="216" w:lineRule="auto"/>
        <w:rPr>
          <w:sz w:val="20"/>
          <w:szCs w:val="20"/>
          <w:color w:val="auto"/>
        </w:rPr>
      </w:pPr>
      <w:r>
        <w:rPr>
          <w:rFonts w:ascii="Times New Roman" w:cs="Times New Roman" w:eastAsia="Times New Roman" w:hAnsi="Times New Roman"/>
          <w:sz w:val="19"/>
          <w:szCs w:val="19"/>
          <w:color w:val="auto"/>
        </w:rPr>
        <w:t>This Letter supersedes any agreement concerning the subject matter set forth herein and may be amended only by a written agreement signed by you and a duly authorized officer of the Company. This Letter will be governed by the internal substantive laws, but not the choice of law rules,</w:t>
      </w:r>
    </w:p>
    <w:p>
      <w:pPr>
        <w:ind w:left="120"/>
        <w:spacing w:after="0" w:line="213" w:lineRule="auto"/>
        <w:rPr>
          <w:sz w:val="20"/>
          <w:szCs w:val="20"/>
          <w:color w:val="auto"/>
        </w:rPr>
      </w:pPr>
      <w:r>
        <w:rPr>
          <w:rFonts w:ascii="Times New Roman" w:cs="Times New Roman" w:eastAsia="Times New Roman" w:hAnsi="Times New Roman"/>
          <w:sz w:val="19"/>
          <w:szCs w:val="19"/>
          <w:color w:val="auto"/>
        </w:rPr>
        <w:t>of the State of California. You may not sell or assign your right to receive the Retention Bonus or pledge it as security for a loan or otherwise,</w:t>
      </w:r>
    </w:p>
    <w:p>
      <w:pPr>
        <w:jc w:val="both"/>
        <w:ind w:left="120" w:right="100"/>
        <w:spacing w:after="0" w:line="205" w:lineRule="auto"/>
        <w:rPr>
          <w:sz w:val="20"/>
          <w:szCs w:val="20"/>
          <w:color w:val="auto"/>
        </w:rPr>
      </w:pPr>
      <w:r>
        <w:rPr>
          <w:rFonts w:ascii="Times New Roman" w:cs="Times New Roman" w:eastAsia="Times New Roman" w:hAnsi="Times New Roman"/>
          <w:sz w:val="19"/>
          <w:szCs w:val="19"/>
          <w:color w:val="auto"/>
        </w:rPr>
        <w:t>and your creditors cannot garnish, attach, or levy on it prior to its payment. Any successor to the Company will assume the obligations under this Letter and agree expressly to perform the obligations under this Letter in the same manner and to the same extent as the Company would be</w:t>
      </w:r>
    </w:p>
    <w:p>
      <w:pPr>
        <w:spacing w:after="0" w:line="1" w:lineRule="exact"/>
        <w:rPr>
          <w:sz w:val="20"/>
          <w:szCs w:val="20"/>
          <w:color w:val="auto"/>
        </w:rPr>
      </w:pPr>
    </w:p>
    <w:p>
      <w:pPr>
        <w:jc w:val="both"/>
        <w:ind w:left="120" w:right="100"/>
        <w:spacing w:after="0" w:line="229" w:lineRule="auto"/>
        <w:rPr>
          <w:sz w:val="20"/>
          <w:szCs w:val="20"/>
          <w:color w:val="auto"/>
        </w:rPr>
      </w:pPr>
      <w:r>
        <w:rPr>
          <w:rFonts w:ascii="Times New Roman" w:cs="Times New Roman" w:eastAsia="Times New Roman" w:hAnsi="Times New Roman"/>
          <w:sz w:val="19"/>
          <w:szCs w:val="19"/>
          <w:color w:val="auto"/>
        </w:rPr>
        <w:t>required to perform such obligations in the absence of a succession. If any provision of this Letter becomes or is declared by a court of competent jurisdiction to be illegal, unenforceable, or void, this Letter will continue in full force and effect without such provision.</w:t>
      </w:r>
    </w:p>
    <w:p>
      <w:pPr>
        <w:spacing w:after="0" w:line="169" w:lineRule="exact"/>
        <w:rPr>
          <w:sz w:val="20"/>
          <w:szCs w:val="20"/>
          <w:color w:val="auto"/>
        </w:rPr>
      </w:pPr>
    </w:p>
    <w:p>
      <w:pPr>
        <w:jc w:val="both"/>
        <w:ind w:left="120" w:right="100"/>
        <w:spacing w:after="0" w:line="231" w:lineRule="auto"/>
        <w:rPr>
          <w:sz w:val="20"/>
          <w:szCs w:val="20"/>
          <w:color w:val="auto"/>
        </w:rPr>
      </w:pPr>
      <w:r>
        <w:rPr>
          <w:rFonts w:ascii="Times New Roman" w:cs="Times New Roman" w:eastAsia="Times New Roman" w:hAnsi="Times New Roman"/>
          <w:sz w:val="19"/>
          <w:szCs w:val="19"/>
          <w:color w:val="auto"/>
        </w:rPr>
        <w:t>To accept this Letter, please date and sign this Letter below where indicated. By signing below, you acknowledge and agree that this Letter is a legally enforceable contract between you and the Company. If you do not accept this Letter by October 4, 2023, this Letter will not become effective.</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1800860" cy="360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18008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Brian Camire General Counsel</w:t>
      </w:r>
    </w:p>
    <w:p>
      <w:pPr>
        <w:spacing w:after="0" w:line="155" w:lineRule="exact"/>
        <w:rPr>
          <w:sz w:val="20"/>
          <w:szCs w:val="20"/>
          <w:color w:val="auto"/>
        </w:rPr>
      </w:pPr>
    </w:p>
    <w:p>
      <w:pPr>
        <w:jc w:val="both"/>
        <w:ind w:left="120" w:right="100"/>
        <w:spacing w:after="0" w:line="233" w:lineRule="auto"/>
        <w:rPr>
          <w:sz w:val="20"/>
          <w:szCs w:val="20"/>
          <w:color w:val="auto"/>
        </w:rPr>
      </w:pPr>
      <w:r>
        <w:rPr>
          <w:rFonts w:ascii="Times New Roman" w:cs="Times New Roman" w:eastAsia="Times New Roman" w:hAnsi="Times New Roman"/>
          <w:sz w:val="19"/>
          <w:szCs w:val="19"/>
          <w:color w:val="auto"/>
        </w:rPr>
        <w:t>By signing this Letter, I acknowledge that I have read this Letter carefully and understand its terms, and that I enter into this Letter knowingly and voluntarily; and I agree to and accept all of the terms set forth in this Letter.</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Agreed and Accepted:</w:t>
      </w:r>
    </w:p>
    <w:p>
      <w:pPr>
        <w:spacing w:after="0" w:line="209" w:lineRule="auto"/>
        <w:rPr>
          <w:sz w:val="20"/>
          <w:szCs w:val="20"/>
          <w:color w:val="auto"/>
        </w:rPr>
      </w:pPr>
      <w:r>
        <w:rPr>
          <w:rFonts w:ascii="Times New Roman" w:cs="Times New Roman" w:eastAsia="Times New Roman" w:hAnsi="Times New Roman"/>
          <w:sz w:val="21"/>
          <w:szCs w:val="21"/>
          <w:color w:val="auto"/>
        </w:rPr>
        <w:t xml:space="preserve">Dated: </w:t>
      </w:r>
      <w:r>
        <w:rPr>
          <w:rFonts w:ascii="Calibri" w:cs="Calibri" w:eastAsia="Calibri" w:hAnsi="Calibri"/>
          <w:sz w:val="28"/>
          <w:szCs w:val="28"/>
          <w:u w:val="single" w:color="auto"/>
          <w:color w:val="auto"/>
        </w:rPr>
        <w:t>Oct-02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2023 </w:t>
      </w:r>
      <w:r>
        <w:rPr>
          <w:rFonts w:ascii="Times New Roman" w:cs="Times New Roman" w:eastAsia="Times New Roman" w:hAnsi="Times New Roman"/>
          <w:sz w:val="18"/>
          <w:szCs w:val="18"/>
          <w:color w:val="auto"/>
        </w:rPr>
        <w:t>Duncan</w:t>
      </w:r>
      <w:r>
        <w:rPr>
          <w:rFonts w:ascii="Times New Roman" w:cs="Times New Roman" w:eastAsia="Times New Roman" w:hAnsi="Times New Roman"/>
          <w:sz w:val="21"/>
          <w:szCs w:val="21"/>
          <w:color w:val="auto"/>
        </w:rPr>
        <w:t xml:space="preserve"> Grazier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12700</wp:posOffset>
            </wp:positionV>
            <wp:extent cx="1571625" cy="3194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1571625" cy="31940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_______________________</w:t>
      </w:r>
    </w:p>
    <w:p>
      <w:pPr>
        <w:sectPr>
          <w:pgSz w:w="11900" w:h="16838" w:orient="portrait"/>
          <w:cols w:equalWidth="0" w:num="1">
            <w:col w:w="11240"/>
          </w:cols>
          <w:pgMar w:left="320" w:top="88"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31"/>
          <w:szCs w:val="31"/>
          <w:b w:val="1"/>
          <w:bCs w:val="1"/>
          <w:color w:val="auto"/>
        </w:rPr>
        <w:t>Exhibit 10.20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 xml:space="preserve">Ghost Management Group, </w:t>
      </w:r>
      <w:r>
        <w:rPr>
          <w:rFonts w:ascii="Arial" w:cs="Arial" w:eastAsia="Arial" w:hAnsi="Arial"/>
          <w:sz w:val="20"/>
          <w:szCs w:val="20"/>
          <w:color w:val="auto"/>
        </w:rPr>
        <w:t>LLC</w:t>
      </w:r>
    </w:p>
    <w:p>
      <w:pPr>
        <w:spacing w:after="0" w:line="37" w:lineRule="exact"/>
        <w:rPr>
          <w:sz w:val="20"/>
          <w:szCs w:val="20"/>
          <w:color w:val="auto"/>
        </w:rPr>
      </w:pPr>
    </w:p>
    <w:p>
      <w:pPr>
        <w:ind w:left="5300" w:hanging="248"/>
        <w:spacing w:after="0"/>
        <w:tabs>
          <w:tab w:leader="none" w:pos="5300" w:val="left"/>
        </w:tabs>
        <w:numPr>
          <w:ilvl w:val="0"/>
          <w:numId w:val="108"/>
        </w:numPr>
        <w:rPr>
          <w:rFonts w:ascii="Arial" w:cs="Arial" w:eastAsia="Arial" w:hAnsi="Arial"/>
          <w:sz w:val="17"/>
          <w:szCs w:val="17"/>
          <w:color w:val="auto"/>
        </w:rPr>
      </w:pPr>
      <w:r>
        <w:rPr>
          <w:rFonts w:ascii="Arial" w:cs="Arial" w:eastAsia="Arial" w:hAnsi="Arial"/>
          <w:sz w:val="21"/>
          <w:szCs w:val="21"/>
          <w:color w:val="auto"/>
        </w:rPr>
        <w:t>Discovery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Irvine, California </w:t>
      </w:r>
      <w:r>
        <w:rPr>
          <w:rFonts w:ascii="Arial" w:cs="Arial" w:eastAsia="Arial" w:hAnsi="Arial"/>
          <w:sz w:val="20"/>
          <w:szCs w:val="20"/>
          <w:color w:val="auto"/>
        </w:rPr>
        <w:t>92618</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April 4, 2019</w:t>
      </w:r>
    </w:p>
    <w:p>
      <w:pPr>
        <w:spacing w:after="0" w:line="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 xml:space="preserve">Dear </w:t>
      </w:r>
      <w:r>
        <w:rPr>
          <w:rFonts w:ascii="Times New Roman" w:cs="Times New Roman" w:eastAsia="Times New Roman" w:hAnsi="Times New Roman"/>
          <w:sz w:val="21"/>
          <w:szCs w:val="21"/>
          <w:b w:val="1"/>
          <w:bCs w:val="1"/>
          <w:color w:val="auto"/>
        </w:rPr>
        <w:t>Brian Camire</w:t>
      </w:r>
      <w:r>
        <w:rPr>
          <w:rFonts w:ascii="Times New Roman" w:cs="Times New Roman" w:eastAsia="Times New Roman" w:hAnsi="Times New Roman"/>
          <w:sz w:val="21"/>
          <w:szCs w:val="21"/>
          <w:color w:val="auto"/>
        </w:rPr>
        <w:t>:</w:t>
      </w:r>
    </w:p>
    <w:p>
      <w:pPr>
        <w:spacing w:after="0" w:line="107" w:lineRule="exact"/>
        <w:rPr>
          <w:sz w:val="20"/>
          <w:szCs w:val="20"/>
          <w:color w:val="auto"/>
        </w:rPr>
      </w:pPr>
    </w:p>
    <w:p>
      <w:pPr>
        <w:ind w:right="20" w:firstLine="705"/>
        <w:spacing w:after="0" w:line="273" w:lineRule="auto"/>
        <w:rPr>
          <w:sz w:val="20"/>
          <w:szCs w:val="20"/>
          <w:color w:val="auto"/>
        </w:rPr>
      </w:pPr>
      <w:r>
        <w:rPr>
          <w:rFonts w:ascii="Times New Roman" w:cs="Times New Roman" w:eastAsia="Times New Roman" w:hAnsi="Times New Roman"/>
          <w:sz w:val="21"/>
          <w:szCs w:val="21"/>
          <w:color w:val="auto"/>
        </w:rPr>
        <w:t>This letter is to memorialize the offer of employment (the “</w:t>
      </w:r>
      <w:r>
        <w:rPr>
          <w:rFonts w:ascii="Times New Roman" w:cs="Times New Roman" w:eastAsia="Times New Roman" w:hAnsi="Times New Roman"/>
          <w:sz w:val="21"/>
          <w:szCs w:val="21"/>
          <w:b w:val="1"/>
          <w:bCs w:val="1"/>
          <w:u w:val="single" w:color="auto"/>
          <w:color w:val="auto"/>
        </w:rPr>
        <w:t>Offer</w:t>
      </w:r>
      <w:r>
        <w:rPr>
          <w:rFonts w:ascii="Times New Roman" w:cs="Times New Roman" w:eastAsia="Times New Roman" w:hAnsi="Times New Roman"/>
          <w:sz w:val="21"/>
          <w:szCs w:val="21"/>
          <w:color w:val="auto"/>
        </w:rPr>
        <w:t xml:space="preserve">”) made to </w:t>
      </w:r>
      <w:r>
        <w:rPr>
          <w:rFonts w:ascii="Times New Roman" w:cs="Times New Roman" w:eastAsia="Times New Roman" w:hAnsi="Times New Roman"/>
          <w:sz w:val="21"/>
          <w:szCs w:val="21"/>
          <w:b w:val="1"/>
          <w:bCs w:val="1"/>
          <w:color w:val="auto"/>
        </w:rPr>
        <w:t>Brian Camire</w:t>
      </w:r>
      <w:r>
        <w:rPr>
          <w:rFonts w:ascii="Times New Roman" w:cs="Times New Roman" w:eastAsia="Times New Roman" w:hAnsi="Times New Roman"/>
          <w:sz w:val="21"/>
          <w:szCs w:val="21"/>
          <w:color w:val="auto"/>
        </w:rPr>
        <w:t xml:space="preserve"> by Ghost Management Group, LLC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and to set forth the specific terms and conditions of your employment with the Company.</w:t>
      </w:r>
    </w:p>
    <w:p>
      <w:pPr>
        <w:spacing w:after="0" w:line="57" w:lineRule="exact"/>
        <w:rPr>
          <w:sz w:val="20"/>
          <w:szCs w:val="20"/>
          <w:color w:val="auto"/>
        </w:rPr>
      </w:pPr>
    </w:p>
    <w:p>
      <w:pPr>
        <w:ind w:left="620" w:hanging="307"/>
        <w:spacing w:after="0" w:line="273" w:lineRule="auto"/>
        <w:tabs>
          <w:tab w:leader="none" w:pos="610" w:val="left"/>
        </w:tabs>
        <w:numPr>
          <w:ilvl w:val="0"/>
          <w:numId w:val="10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Position</w:t>
      </w:r>
      <w:r>
        <w:rPr>
          <w:rFonts w:ascii="Times New Roman" w:cs="Times New Roman" w:eastAsia="Times New Roman" w:hAnsi="Times New Roman"/>
          <w:sz w:val="21"/>
          <w:szCs w:val="21"/>
          <w:color w:val="auto"/>
        </w:rPr>
        <w:t xml:space="preserve">. The Company offers you the </w:t>
      </w:r>
      <w:r>
        <w:rPr>
          <w:rFonts w:ascii="Times New Roman" w:cs="Times New Roman" w:eastAsia="Times New Roman" w:hAnsi="Times New Roman"/>
          <w:sz w:val="21"/>
          <w:szCs w:val="21"/>
          <w:b w:val="1"/>
          <w:bCs w:val="1"/>
          <w:color w:val="auto"/>
        </w:rPr>
        <w:t>full-time, exempt</w:t>
      </w:r>
      <w:r>
        <w:rPr>
          <w:rFonts w:ascii="Times New Roman" w:cs="Times New Roman" w:eastAsia="Times New Roman" w:hAnsi="Times New Roman"/>
          <w:sz w:val="21"/>
          <w:szCs w:val="21"/>
          <w:color w:val="auto"/>
        </w:rPr>
        <w:t xml:space="preserve"> position of </w:t>
      </w:r>
      <w:r>
        <w:rPr>
          <w:rFonts w:ascii="Times New Roman" w:cs="Times New Roman" w:eastAsia="Times New Roman" w:hAnsi="Times New Roman"/>
          <w:sz w:val="21"/>
          <w:szCs w:val="21"/>
          <w:b w:val="1"/>
          <w:bCs w:val="1"/>
          <w:color w:val="auto"/>
        </w:rPr>
        <w:t>General Counsel</w:t>
      </w:r>
      <w:r>
        <w:rPr>
          <w:rFonts w:ascii="Times New Roman" w:cs="Times New Roman" w:eastAsia="Times New Roman" w:hAnsi="Times New Roman"/>
          <w:sz w:val="21"/>
          <w:szCs w:val="21"/>
          <w:color w:val="auto"/>
        </w:rPr>
        <w:t xml:space="preserve"> at our </w:t>
      </w:r>
      <w:r>
        <w:rPr>
          <w:rFonts w:ascii="Times New Roman" w:cs="Times New Roman" w:eastAsia="Times New Roman" w:hAnsi="Times New Roman"/>
          <w:sz w:val="21"/>
          <w:szCs w:val="21"/>
          <w:b w:val="1"/>
          <w:bCs w:val="1"/>
          <w:color w:val="auto"/>
        </w:rPr>
        <w:t>Irvine, California</w:t>
      </w:r>
      <w:r>
        <w:rPr>
          <w:rFonts w:ascii="Times New Roman" w:cs="Times New Roman" w:eastAsia="Times New Roman" w:hAnsi="Times New Roman"/>
          <w:sz w:val="21"/>
          <w:szCs w:val="21"/>
          <w:color w:val="auto"/>
        </w:rPr>
        <w:t xml:space="preserve"> office located at </w:t>
      </w:r>
      <w:r>
        <w:rPr>
          <w:rFonts w:ascii="Times New Roman" w:cs="Times New Roman" w:eastAsia="Times New Roman" w:hAnsi="Times New Roman"/>
          <w:sz w:val="21"/>
          <w:szCs w:val="21"/>
          <w:b w:val="1"/>
          <w:bCs w:val="1"/>
          <w:color w:val="auto"/>
        </w:rPr>
        <w:t>41 Discovery, Irvine, California 92618</w:t>
      </w:r>
      <w:r>
        <w:rPr>
          <w:rFonts w:ascii="Times New Roman" w:cs="Times New Roman" w:eastAsia="Times New Roman" w:hAnsi="Times New Roman"/>
          <w:sz w:val="21"/>
          <w:szCs w:val="21"/>
          <w:color w:val="auto"/>
        </w:rPr>
        <w:t xml:space="preserve">. In this position, you will report to </w:t>
      </w:r>
      <w:r>
        <w:rPr>
          <w:rFonts w:ascii="Times New Roman" w:cs="Times New Roman" w:eastAsia="Times New Roman" w:hAnsi="Times New Roman"/>
          <w:sz w:val="21"/>
          <w:szCs w:val="21"/>
          <w:b w:val="1"/>
          <w:bCs w:val="1"/>
          <w:color w:val="auto"/>
        </w:rPr>
        <w:t>Chris Beals</w:t>
      </w:r>
      <w:r>
        <w:rPr>
          <w:rFonts w:ascii="Times New Roman" w:cs="Times New Roman" w:eastAsia="Times New Roman" w:hAnsi="Times New Roman"/>
          <w:sz w:val="21"/>
          <w:szCs w:val="21"/>
          <w:color w:val="auto"/>
        </w:rPr>
        <w:t>, unless notified otherwise.</w:t>
      </w:r>
    </w:p>
    <w:p>
      <w:pPr>
        <w:spacing w:after="0" w:line="47" w:lineRule="exact"/>
        <w:rPr>
          <w:rFonts w:ascii="Arial" w:cs="Arial" w:eastAsia="Arial" w:hAnsi="Arial"/>
          <w:sz w:val="19"/>
          <w:szCs w:val="19"/>
          <w:color w:val="auto"/>
        </w:rPr>
      </w:pPr>
    </w:p>
    <w:p>
      <w:pPr>
        <w:ind w:left="620" w:hanging="307"/>
        <w:spacing w:after="0" w:line="249" w:lineRule="auto"/>
        <w:tabs>
          <w:tab w:leader="none" w:pos="610" w:val="left"/>
        </w:tabs>
        <w:numPr>
          <w:ilvl w:val="0"/>
          <w:numId w:val="10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Subject to the terms and conditions of this Offer, the Company agrees to employ you and you agree to be employed by the Company commencing no later than </w:t>
      </w:r>
      <w:r>
        <w:rPr>
          <w:rFonts w:ascii="Times New Roman" w:cs="Times New Roman" w:eastAsia="Times New Roman" w:hAnsi="Times New Roman"/>
          <w:sz w:val="21"/>
          <w:szCs w:val="21"/>
          <w:b w:val="1"/>
          <w:bCs w:val="1"/>
          <w:color w:val="auto"/>
        </w:rPr>
        <w:t>May 6, 2019</w:t>
      </w:r>
      <w:r>
        <w:rPr>
          <w:rFonts w:ascii="Times New Roman" w:cs="Times New Roman" w:eastAsia="Times New Roman" w:hAnsi="Times New Roman"/>
          <w:sz w:val="21"/>
          <w:szCs w:val="21"/>
          <w:color w:val="auto"/>
        </w:rPr>
        <w:t>. If you have not commenced employment with the Company by this date, this Offer shall be null and void and of no further effect. You shall be employed on an at-will basis, meaning that either the Company or you may, at any time, with or without cause and with or without notice, terminate the employment relationship. You and the Company agree that it is the express intent of each of us that your employment shall be at will. Nothing in this Offer or the relationship between you and the Company now or in the future may be construed or interpreted to create an employment relationship for a specific length of time or any right to continued employment, or any limit on the discretion of the Company to modify terms and conditions of employment. No employee or representative of the Company has the authority to modify this at- will policy except for the Chief Executive Officer of the Company (“</w:t>
      </w:r>
      <w:r>
        <w:rPr>
          <w:rFonts w:ascii="Times New Roman" w:cs="Times New Roman" w:eastAsia="Times New Roman" w:hAnsi="Times New Roman"/>
          <w:sz w:val="21"/>
          <w:szCs w:val="21"/>
          <w:b w:val="1"/>
          <w:bCs w:val="1"/>
          <w:u w:val="single" w:color="auto"/>
          <w:color w:val="auto"/>
        </w:rPr>
        <w:t>CEO</w:t>
      </w:r>
      <w:r>
        <w:rPr>
          <w:rFonts w:ascii="Times New Roman" w:cs="Times New Roman" w:eastAsia="Times New Roman" w:hAnsi="Times New Roman"/>
          <w:sz w:val="21"/>
          <w:szCs w:val="21"/>
          <w:color w:val="auto"/>
        </w:rPr>
        <w:t>”), and any such modification to this at-will employment policy must be in a written agreement signed by both the employee and the CEO. This constitutes an integrated agreement with respect to the at-will nature of the employment relationship, and there may be no implied or oral agreements that in any way modify this at-will employment policy.</w:t>
      </w:r>
    </w:p>
    <w:p>
      <w:pPr>
        <w:spacing w:after="0" w:line="70" w:lineRule="exact"/>
        <w:rPr>
          <w:rFonts w:ascii="Arial" w:cs="Arial" w:eastAsia="Arial" w:hAnsi="Arial"/>
          <w:sz w:val="19"/>
          <w:szCs w:val="19"/>
          <w:color w:val="auto"/>
        </w:rPr>
      </w:pPr>
    </w:p>
    <w:p>
      <w:pPr>
        <w:ind w:left="620" w:right="40" w:hanging="307"/>
        <w:spacing w:after="0" w:line="250" w:lineRule="auto"/>
        <w:tabs>
          <w:tab w:leader="none" w:pos="610" w:val="left"/>
        </w:tabs>
        <w:numPr>
          <w:ilvl w:val="0"/>
          <w:numId w:val="10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xml:space="preserve">. Your title will be </w:t>
      </w:r>
      <w:r>
        <w:rPr>
          <w:rFonts w:ascii="Times New Roman" w:cs="Times New Roman" w:eastAsia="Times New Roman" w:hAnsi="Times New Roman"/>
          <w:sz w:val="21"/>
          <w:szCs w:val="21"/>
          <w:b w:val="1"/>
          <w:bCs w:val="1"/>
          <w:color w:val="auto"/>
        </w:rPr>
        <w:t>General Counsel</w:t>
      </w:r>
      <w:r>
        <w:rPr>
          <w:rFonts w:ascii="Times New Roman" w:cs="Times New Roman" w:eastAsia="Times New Roman" w:hAnsi="Times New Roman"/>
          <w:sz w:val="21"/>
          <w:szCs w:val="21"/>
          <w:color w:val="auto"/>
        </w:rPr>
        <w:t>. In such capacity, you shall be responsible for all duties commensurate with those generally expected of your title as well as any set forth in your job description. You shall also have such other responsibilities as may be assigned to you from time to time by your manager or other senior officer of the Company. While you remain employed in such role, you agree to devote your full business efforts and time to the Company and will use good faith efforts to discharge your obligations under this letter to the best of your ability. You represent and warrant to the Company that you are not party to any contract, understanding, agreement or policy, written or otherwise, that would be breached by your entering into, or performing services under, this letter.</w:t>
      </w:r>
    </w:p>
    <w:p>
      <w:pPr>
        <w:spacing w:after="0" w:line="86" w:lineRule="exact"/>
        <w:rPr>
          <w:rFonts w:ascii="Arial" w:cs="Arial" w:eastAsia="Arial" w:hAnsi="Arial"/>
          <w:sz w:val="19"/>
          <w:szCs w:val="19"/>
          <w:color w:val="auto"/>
        </w:rPr>
      </w:pPr>
    </w:p>
    <w:p>
      <w:pPr>
        <w:ind w:left="620" w:hanging="307"/>
        <w:spacing w:after="0"/>
        <w:tabs>
          <w:tab w:leader="none" w:pos="620" w:val="left"/>
        </w:tabs>
        <w:numPr>
          <w:ilvl w:val="0"/>
          <w:numId w:val="10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Compensation and Benefits</w:t>
      </w:r>
      <w:r>
        <w:rPr>
          <w:rFonts w:ascii="Times New Roman" w:cs="Times New Roman" w:eastAsia="Times New Roman" w:hAnsi="Times New Roman"/>
          <w:sz w:val="21"/>
          <w:szCs w:val="21"/>
          <w:color w:val="auto"/>
        </w:rPr>
        <w:t>.</w:t>
      </w:r>
    </w:p>
    <w:p>
      <w:pPr>
        <w:spacing w:after="0" w:line="102" w:lineRule="exact"/>
        <w:rPr>
          <w:rFonts w:ascii="Arial" w:cs="Arial" w:eastAsia="Arial" w:hAnsi="Arial"/>
          <w:sz w:val="19"/>
          <w:szCs w:val="19"/>
          <w:color w:val="auto"/>
        </w:rPr>
      </w:pPr>
    </w:p>
    <w:p>
      <w:pPr>
        <w:jc w:val="center"/>
        <w:ind w:left="1240" w:right="100" w:hanging="309"/>
        <w:spacing w:after="0" w:line="310" w:lineRule="auto"/>
        <w:rPr>
          <w:rFonts w:ascii="Arial" w:cs="Arial" w:eastAsia="Arial" w:hAnsi="Arial"/>
          <w:sz w:val="19"/>
          <w:szCs w:val="19"/>
          <w:color w:val="auto"/>
        </w:rPr>
      </w:pPr>
      <w:r>
        <w:rPr>
          <w:rFonts w:ascii="Arial" w:cs="Arial" w:eastAsia="Arial" w:hAnsi="Arial"/>
          <w:sz w:val="19"/>
          <w:szCs w:val="19"/>
          <w:color w:val="auto"/>
        </w:rPr>
        <w:t xml:space="preserve">a.  </w:t>
      </w: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You will receive a base salary at the rate of</w:t>
      </w:r>
      <w:r>
        <w:rPr>
          <w:rFonts w:ascii="Arial" w:cs="Arial" w:eastAsia="Arial" w:hAnsi="Arial"/>
          <w:sz w:val="19"/>
          <w:szCs w:val="19"/>
          <w:color w:val="auto"/>
        </w:rPr>
        <w:t xml:space="preserve"> </w:t>
      </w:r>
      <w:r>
        <w:rPr>
          <w:rFonts w:ascii="Times New Roman" w:cs="Times New Roman" w:eastAsia="Times New Roman" w:hAnsi="Times New Roman"/>
          <w:sz w:val="20"/>
          <w:szCs w:val="20"/>
          <w:b w:val="1"/>
          <w:bCs w:val="1"/>
          <w:color w:val="auto"/>
        </w:rPr>
        <w:t>$350,000.00</w:t>
      </w:r>
      <w:r>
        <w:rPr>
          <w:rFonts w:ascii="Times New Roman" w:cs="Times New Roman" w:eastAsia="Times New Roman" w:hAnsi="Times New Roman"/>
          <w:sz w:val="20"/>
          <w:szCs w:val="20"/>
          <w:color w:val="auto"/>
        </w:rPr>
        <w:t>, annualized, payable in accordance with the Company’s</w:t>
      </w:r>
      <w:r>
        <w:rPr>
          <w:rFonts w:ascii="Arial" w:cs="Arial" w:eastAsia="Arial" w:hAnsi="Arial"/>
          <w:sz w:val="19"/>
          <w:szCs w:val="19"/>
          <w:color w:val="auto"/>
        </w:rPr>
        <w:t xml:space="preserve"> </w:t>
      </w:r>
      <w:r>
        <w:rPr>
          <w:rFonts w:ascii="Times New Roman" w:cs="Times New Roman" w:eastAsia="Times New Roman" w:hAnsi="Times New Roman"/>
          <w:sz w:val="20"/>
          <w:szCs w:val="20"/>
          <w:color w:val="auto"/>
        </w:rPr>
        <w:t>normal payroll practices. In addition, you may be eligible for a discretionary annual bonus for each calendar year of</w:t>
      </w:r>
    </w:p>
    <w:p>
      <w:pPr>
        <w:sectPr>
          <w:pgSz w:w="11900" w:h="16838" w:orient="portrait"/>
          <w:cols w:equalWidth="0" w:num="1">
            <w:col w:w="11240"/>
          </w:cols>
          <w:pgMar w:left="320" w:top="575"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31"/>
          <w:szCs w:val="31"/>
          <w:b w:val="1"/>
          <w:bCs w:val="1"/>
          <w:color w:val="auto"/>
        </w:rPr>
        <w:t>Exhibit 10.20</w:t>
      </w:r>
    </w:p>
    <w:p>
      <w:pPr>
        <w:spacing w:after="0" w:line="200" w:lineRule="exact"/>
        <w:rPr>
          <w:sz w:val="20"/>
          <w:szCs w:val="20"/>
          <w:color w:val="auto"/>
        </w:rPr>
      </w:pP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 xml:space="preserve">employment of up to </w:t>
      </w:r>
      <w:r>
        <w:rPr>
          <w:rFonts w:ascii="Times New Roman" w:cs="Times New Roman" w:eastAsia="Times New Roman" w:hAnsi="Times New Roman"/>
          <w:sz w:val="21"/>
          <w:szCs w:val="21"/>
          <w:b w:val="1"/>
          <w:bCs w:val="1"/>
          <w:color w:val="auto"/>
        </w:rPr>
        <w:t>fifteen percent (15%)</w:t>
      </w:r>
      <w:r>
        <w:rPr>
          <w:rFonts w:ascii="Times New Roman" w:cs="Times New Roman" w:eastAsia="Times New Roman" w:hAnsi="Times New Roman"/>
          <w:sz w:val="21"/>
          <w:szCs w:val="21"/>
          <w:color w:val="auto"/>
        </w:rPr>
        <w:t xml:space="preserve"> of your annual salary, paid out quarterly, with the attainment of</w:t>
      </w:r>
    </w:p>
    <w:p>
      <w:pPr>
        <w:spacing w:after="0" w:line="200" w:lineRule="exact"/>
        <w:rPr>
          <w:sz w:val="20"/>
          <w:szCs w:val="20"/>
          <w:color w:val="auto"/>
        </w:rPr>
      </w:pPr>
    </w:p>
    <w:p>
      <w:pPr>
        <w:spacing w:after="0" w:line="246" w:lineRule="exact"/>
        <w:rPr>
          <w:sz w:val="20"/>
          <w:szCs w:val="20"/>
          <w:color w:val="auto"/>
        </w:rPr>
      </w:pPr>
    </w:p>
    <w:p>
      <w:pPr>
        <w:ind w:right="60" w:firstLine="1323"/>
        <w:spacing w:after="0" w:line="256" w:lineRule="auto"/>
        <w:rPr>
          <w:sz w:val="20"/>
          <w:szCs w:val="20"/>
          <w:color w:val="auto"/>
        </w:rPr>
      </w:pPr>
      <w:r>
        <w:rPr>
          <w:rFonts w:ascii="Times New Roman" w:cs="Times New Roman" w:eastAsia="Times New Roman" w:hAnsi="Times New Roman"/>
          <w:sz w:val="21"/>
          <w:szCs w:val="21"/>
          <w:color w:val="auto"/>
        </w:rPr>
        <w:t>such bonus being based upon the achievement of quantifiable quarterly and annual goals that will be set by you and senior management. Any applicable bonus during the first calendar quarter of your employment shall be a prorated portion based on how many calendar days you were employed in the first calendar quarter. Any bonus payable hereunder shall be paid within the “short-term deferral” period provided under Treasury Regulation Section 1.409A-(b)(4).</w:t>
      </w:r>
    </w:p>
    <w:p>
      <w:pPr>
        <w:spacing w:after="0" w:line="61" w:lineRule="exact"/>
        <w:rPr>
          <w:sz w:val="20"/>
          <w:szCs w:val="20"/>
          <w:color w:val="auto"/>
        </w:rPr>
      </w:pPr>
    </w:p>
    <w:p>
      <w:pPr>
        <w:ind w:left="1240" w:hanging="309"/>
        <w:spacing w:after="0"/>
        <w:tabs>
          <w:tab w:leader="none" w:pos="1240" w:val="left"/>
        </w:tabs>
        <w:numPr>
          <w:ilvl w:val="0"/>
          <w:numId w:val="110"/>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Relocation Allowance.</w:t>
      </w:r>
      <w:r>
        <w:rPr>
          <w:rFonts w:ascii="Times New Roman" w:cs="Times New Roman" w:eastAsia="Times New Roman" w:hAnsi="Times New Roman"/>
          <w:sz w:val="21"/>
          <w:szCs w:val="21"/>
          <w:color w:val="auto"/>
        </w:rPr>
        <w:t xml:space="preserve"> You will receive a one-time, taxable, relocation allowance payment of </w:t>
      </w:r>
      <w:r>
        <w:rPr>
          <w:rFonts w:ascii="Times New Roman" w:cs="Times New Roman" w:eastAsia="Times New Roman" w:hAnsi="Times New Roman"/>
          <w:sz w:val="21"/>
          <w:szCs w:val="21"/>
          <w:b w:val="1"/>
          <w:bCs w:val="1"/>
          <w:color w:val="auto"/>
        </w:rPr>
        <w:t>$8,500.00</w:t>
      </w:r>
      <w:r>
        <w:rPr>
          <w:rFonts w:ascii="Times New Roman" w:cs="Times New Roman" w:eastAsia="Times New Roman" w:hAnsi="Times New Roman"/>
          <w:sz w:val="21"/>
          <w:szCs w:val="21"/>
          <w:color w:val="auto"/>
        </w:rPr>
        <w:t xml:space="preserve"> (the</w:t>
      </w:r>
    </w:p>
    <w:p>
      <w:pPr>
        <w:spacing w:after="0" w:line="30" w:lineRule="exact"/>
        <w:rPr>
          <w:rFonts w:ascii="Arial" w:cs="Arial" w:eastAsia="Arial" w:hAnsi="Arial"/>
          <w:sz w:val="19"/>
          <w:szCs w:val="19"/>
          <w:color w:val="auto"/>
        </w:rPr>
      </w:pPr>
    </w:p>
    <w:p>
      <w:pPr>
        <w:ind w:left="1240" w:right="60"/>
        <w:spacing w:after="0" w:line="247" w:lineRule="auto"/>
        <w:rPr>
          <w:rFonts w:ascii="Arial" w:cs="Arial" w:eastAsia="Arial" w:hAnsi="Arial"/>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Relocation Allowance</w:t>
      </w:r>
      <w:r>
        <w:rPr>
          <w:rFonts w:ascii="Times New Roman" w:cs="Times New Roman" w:eastAsia="Times New Roman" w:hAnsi="Times New Roman"/>
          <w:sz w:val="21"/>
          <w:szCs w:val="21"/>
          <w:color w:val="auto"/>
        </w:rPr>
        <w:t>”) to cover moving expenses related to your relocation to Orange County, California. If the Company terminates your employment for Cause (as defined below) prior to the one-year anniversary of your employment start date with the Company, then you must repay the Company the full amount of the Relocation Allowance. If you resign from employment with the Company for any reason prior to the one-year anniversary of your employment start date with the Company, then you must repay the Company a prorated portion of the amount of the Relocation Allowance based on the ratio of (x) 12 minus the number of full months of your employment with the Company to (y) 12 months. The Company will provide you with corporate housing during the period from May 6, 2019, to December 31, 2019.</w:t>
      </w:r>
    </w:p>
    <w:p>
      <w:pPr>
        <w:spacing w:after="0" w:line="77" w:lineRule="exact"/>
        <w:rPr>
          <w:rFonts w:ascii="Arial" w:cs="Arial" w:eastAsia="Arial" w:hAnsi="Arial"/>
          <w:sz w:val="19"/>
          <w:szCs w:val="19"/>
          <w:color w:val="auto"/>
        </w:rPr>
      </w:pPr>
    </w:p>
    <w:p>
      <w:pPr>
        <w:ind w:left="1240" w:right="180" w:hanging="309"/>
        <w:spacing w:after="0" w:line="282" w:lineRule="auto"/>
        <w:tabs>
          <w:tab w:leader="none" w:pos="1230" w:val="left"/>
        </w:tabs>
        <w:numPr>
          <w:ilvl w:val="0"/>
          <w:numId w:val="110"/>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xml:space="preserve"> Subject to the approval of the Company’s Board of Directors or its compensation committee, the Company will recommend that you be granted an award of </w:t>
      </w:r>
      <w:r>
        <w:rPr>
          <w:rFonts w:ascii="Times New Roman" w:cs="Times New Roman" w:eastAsia="Times New Roman" w:hAnsi="Times New Roman"/>
          <w:sz w:val="21"/>
          <w:szCs w:val="21"/>
          <w:b w:val="1"/>
          <w:bCs w:val="1"/>
          <w:color w:val="auto"/>
        </w:rPr>
        <w:t>2,500</w:t>
      </w:r>
    </w:p>
    <w:p>
      <w:pPr>
        <w:spacing w:after="0" w:line="34" w:lineRule="exact"/>
        <w:rPr>
          <w:sz w:val="20"/>
          <w:szCs w:val="20"/>
          <w:color w:val="auto"/>
        </w:rPr>
      </w:pPr>
    </w:p>
    <w:p>
      <w:pPr>
        <w:ind w:firstLine="1323"/>
        <w:spacing w:after="0" w:line="263" w:lineRule="auto"/>
        <w:rPr>
          <w:sz w:val="20"/>
          <w:szCs w:val="20"/>
          <w:color w:val="auto"/>
        </w:rPr>
      </w:pPr>
      <w:r>
        <w:rPr>
          <w:rFonts w:ascii="Times New Roman" w:cs="Times New Roman" w:eastAsia="Times New Roman" w:hAnsi="Times New Roman"/>
          <w:sz w:val="20"/>
          <w:szCs w:val="20"/>
          <w:color w:val="auto"/>
        </w:rPr>
        <w:t>unvested Class B Units (the “</w:t>
      </w:r>
      <w:r>
        <w:rPr>
          <w:rFonts w:ascii="Times New Roman" w:cs="Times New Roman" w:eastAsia="Times New Roman" w:hAnsi="Times New Roman"/>
          <w:sz w:val="20"/>
          <w:szCs w:val="20"/>
          <w:b w:val="1"/>
          <w:bCs w:val="1"/>
          <w:u w:val="single" w:color="auto"/>
          <w:color w:val="auto"/>
        </w:rPr>
        <w:t>Employee Class B Units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in WM Holding Company, LLC, the parent company of the Company (the “</w:t>
      </w:r>
      <w:r>
        <w:rPr>
          <w:rFonts w:ascii="Times New Roman" w:cs="Times New Roman" w:eastAsia="Times New Roman" w:hAnsi="Times New Roman"/>
          <w:sz w:val="20"/>
          <w:szCs w:val="20"/>
          <w:b w:val="1"/>
          <w:bCs w:val="1"/>
          <w:u w:val="single" w:color="auto"/>
          <w:color w:val="auto"/>
        </w:rPr>
        <w:t>Parent</w:t>
      </w:r>
      <w:r>
        <w:rPr>
          <w:rFonts w:ascii="Times New Roman" w:cs="Times New Roman" w:eastAsia="Times New Roman" w:hAnsi="Times New Roman"/>
          <w:sz w:val="20"/>
          <w:szCs w:val="20"/>
          <w:color w:val="auto"/>
        </w:rPr>
        <w:t>”), under the Parent’s Third Amended and Restated Equity Incentive Plan (the “</w:t>
      </w:r>
      <w:r>
        <w:rPr>
          <w:rFonts w:ascii="Times New Roman" w:cs="Times New Roman" w:eastAsia="Times New Roman" w:hAnsi="Times New Roman"/>
          <w:sz w:val="20"/>
          <w:szCs w:val="20"/>
          <w:b w:val="1"/>
          <w:bCs w:val="1"/>
          <w:u w:val="single" w:color="auto"/>
          <w:color w:val="auto"/>
        </w:rPr>
        <w:t>Incentive Plan</w:t>
      </w:r>
      <w:r>
        <w:rPr>
          <w:rFonts w:ascii="Times New Roman" w:cs="Times New Roman" w:eastAsia="Times New Roman" w:hAnsi="Times New Roman"/>
          <w:sz w:val="20"/>
          <w:szCs w:val="20"/>
          <w:color w:val="auto"/>
        </w:rPr>
        <w:t>”) and pursuant to the terms and conditions set forth in an Equity Award Agreement (the “</w:t>
      </w:r>
      <w:r>
        <w:rPr>
          <w:rFonts w:ascii="Times New Roman" w:cs="Times New Roman" w:eastAsia="Times New Roman" w:hAnsi="Times New Roman"/>
          <w:sz w:val="20"/>
          <w:szCs w:val="20"/>
          <w:b w:val="1"/>
          <w:bCs w:val="1"/>
          <w:u w:val="single" w:color="auto"/>
          <w:color w:val="auto"/>
        </w:rPr>
        <w:t>Award Agreement</w:t>
      </w:r>
      <w:r>
        <w:rPr>
          <w:rFonts w:ascii="Times New Roman" w:cs="Times New Roman" w:eastAsia="Times New Roman" w:hAnsi="Times New Roman"/>
          <w:sz w:val="20"/>
          <w:szCs w:val="20"/>
          <w:color w:val="auto"/>
        </w:rPr>
        <w:t>”) thereunder to be entered into between you and the Parent following your employment start date with the Company and in accordance with its internal policies regarding the grant of equity incentive units. Your Employee Class B Units will be scheduled to vest as to 25% of the underlying Class B Units on the one</w:t>
      </w:r>
    </w:p>
    <w:p>
      <w:pPr>
        <w:spacing w:after="0" w:line="4" w:lineRule="exact"/>
        <w:rPr>
          <w:sz w:val="20"/>
          <w:szCs w:val="20"/>
          <w:color w:val="auto"/>
        </w:rPr>
      </w:pPr>
    </w:p>
    <w:p>
      <w:pPr>
        <w:ind w:right="100" w:firstLine="3"/>
        <w:spacing w:after="0" w:line="247" w:lineRule="auto"/>
        <w:tabs>
          <w:tab w:leader="none" w:pos="29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 anniversary of your employment start date with the Company (the “</w:t>
      </w:r>
      <w:r>
        <w:rPr>
          <w:rFonts w:ascii="Times New Roman" w:cs="Times New Roman" w:eastAsia="Times New Roman" w:hAnsi="Times New Roman"/>
          <w:sz w:val="21"/>
          <w:szCs w:val="21"/>
          <w:b w:val="1"/>
          <w:bCs w:val="1"/>
          <w:u w:val="single" w:color="auto"/>
          <w:color w:val="auto"/>
        </w:rPr>
        <w:t>Vesting Cliff</w:t>
      </w:r>
      <w:r>
        <w:rPr>
          <w:rFonts w:ascii="Times New Roman" w:cs="Times New Roman" w:eastAsia="Times New Roman" w:hAnsi="Times New Roman"/>
          <w:sz w:val="21"/>
          <w:szCs w:val="21"/>
          <w:color w:val="auto"/>
        </w:rPr>
        <w:t>”), and thereafter, as to one sixteenth (1/16th) of the underlying Class B Units on a quarterly basis over twelve (12) quarters on the same day of the quarter of your employment start date (or if there is no corresponding day in a given quarter, the last day of the quarter), in each case subject to your continued employment with the Company through the applicable vesting date. Your Employee Class B Units will be subject to the terms and conditions set forth in the</w:t>
      </w:r>
    </w:p>
    <w:p>
      <w:pPr>
        <w:spacing w:after="0" w:line="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Parent’s Incentive Plan, as amended from time-to-time. You acknowledge that you have reviewed the Incentive Plan.</w:t>
      </w:r>
    </w:p>
    <w:p>
      <w:pPr>
        <w:spacing w:after="0" w:line="107" w:lineRule="exact"/>
        <w:rPr>
          <w:sz w:val="20"/>
          <w:szCs w:val="20"/>
          <w:color w:val="auto"/>
        </w:rPr>
      </w:pPr>
    </w:p>
    <w:p>
      <w:pPr>
        <w:jc w:val="both"/>
        <w:ind w:left="1240" w:right="540" w:hanging="309"/>
        <w:spacing w:after="0" w:line="295" w:lineRule="auto"/>
        <w:tabs>
          <w:tab w:leader="none" w:pos="1230" w:val="left"/>
        </w:tabs>
        <w:numPr>
          <w:ilvl w:val="0"/>
          <w:numId w:val="112"/>
        </w:numPr>
        <w:rPr>
          <w:rFonts w:ascii="Arial" w:cs="Arial" w:eastAsia="Arial" w:hAnsi="Arial"/>
          <w:sz w:val="18"/>
          <w:szCs w:val="18"/>
          <w:color w:val="auto"/>
        </w:rPr>
      </w:pPr>
      <w:r>
        <w:rPr>
          <w:rFonts w:ascii="Times New Roman" w:cs="Times New Roman" w:eastAsia="Times New Roman" w:hAnsi="Times New Roman"/>
          <w:sz w:val="20"/>
          <w:szCs w:val="20"/>
          <w:u w:val="single" w:color="auto"/>
          <w:color w:val="auto"/>
        </w:rPr>
        <w:t>Withholdings and Deductions</w:t>
      </w:r>
      <w:r>
        <w:rPr>
          <w:rFonts w:ascii="Times New Roman" w:cs="Times New Roman" w:eastAsia="Times New Roman" w:hAnsi="Times New Roman"/>
          <w:sz w:val="20"/>
          <w:szCs w:val="20"/>
          <w:color w:val="auto"/>
        </w:rPr>
        <w:t>. All payments made under this Offer by the Company shall be subject to all required federal, state, and local withholdings and such other deductions as you may properly instruct the Company to take.</w:t>
      </w:r>
    </w:p>
    <w:p>
      <w:pPr>
        <w:sectPr>
          <w:pgSz w:w="11900" w:h="16838" w:orient="portrait"/>
          <w:cols w:equalWidth="0" w:num="1">
            <w:col w:w="11240"/>
          </w:cols>
          <w:pgMar w:left="320" w:top="575"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31"/>
          <w:szCs w:val="31"/>
          <w:b w:val="1"/>
          <w:bCs w:val="1"/>
          <w:color w:val="auto"/>
        </w:rPr>
        <w:t>Exhibit 10.20</w:t>
      </w:r>
    </w:p>
    <w:p>
      <w:pPr>
        <w:spacing w:after="0" w:line="200" w:lineRule="exact"/>
        <w:rPr>
          <w:sz w:val="20"/>
          <w:szCs w:val="20"/>
          <w:color w:val="auto"/>
        </w:rPr>
      </w:pPr>
    </w:p>
    <w:p>
      <w:pPr>
        <w:spacing w:after="0" w:line="233" w:lineRule="exact"/>
        <w:rPr>
          <w:sz w:val="20"/>
          <w:szCs w:val="20"/>
          <w:color w:val="auto"/>
        </w:rPr>
      </w:pPr>
    </w:p>
    <w:p>
      <w:pPr>
        <w:ind w:left="1240" w:right="20" w:hanging="309"/>
        <w:spacing w:after="0" w:line="256" w:lineRule="auto"/>
        <w:tabs>
          <w:tab w:leader="none" w:pos="1230" w:val="left"/>
        </w:tabs>
        <w:numPr>
          <w:ilvl w:val="0"/>
          <w:numId w:val="113"/>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You will be entitled to employee benefits on the same basis as those benefits are made available to other similarly situated Company employees. Your rights under any benefit policies or plans adopted by the Company shall be governed solely by the terms of such policies or plans. The Company reserves to itself or its designated administrator the exclusive authority and discretion to determine all issues of eligibility,</w:t>
      </w:r>
    </w:p>
    <w:p>
      <w:pPr>
        <w:spacing w:after="0" w:line="200" w:lineRule="exact"/>
        <w:rPr>
          <w:sz w:val="20"/>
          <w:szCs w:val="20"/>
          <w:color w:val="auto"/>
        </w:rPr>
      </w:pPr>
    </w:p>
    <w:p>
      <w:pPr>
        <w:spacing w:after="0" w:line="201" w:lineRule="exact"/>
        <w:rPr>
          <w:sz w:val="20"/>
          <w:szCs w:val="20"/>
          <w:color w:val="auto"/>
        </w:rPr>
      </w:pPr>
    </w:p>
    <w:p>
      <w:pPr>
        <w:ind w:right="160" w:firstLine="1323"/>
        <w:spacing w:after="0" w:line="262" w:lineRule="auto"/>
        <w:rPr>
          <w:sz w:val="20"/>
          <w:szCs w:val="20"/>
          <w:color w:val="auto"/>
        </w:rPr>
      </w:pPr>
      <w:r>
        <w:rPr>
          <w:rFonts w:ascii="Times New Roman" w:cs="Times New Roman" w:eastAsia="Times New Roman" w:hAnsi="Times New Roman"/>
          <w:sz w:val="21"/>
          <w:szCs w:val="21"/>
          <w:color w:val="auto"/>
        </w:rPr>
        <w:t>interpretation and administration of each such benefit plan or policy. The Company or its designated administrator reserves the right to modify or terminate each benefit plan or program with or without prior notice to employees. Details about current benefit plans and programs are available in the office of the Company’s benefits administrator.</w:t>
      </w:r>
    </w:p>
    <w:p>
      <w:pPr>
        <w:spacing w:after="0" w:line="60" w:lineRule="exact"/>
        <w:rPr>
          <w:sz w:val="20"/>
          <w:szCs w:val="20"/>
          <w:color w:val="auto"/>
        </w:rPr>
      </w:pPr>
    </w:p>
    <w:p>
      <w:pPr>
        <w:ind w:left="1240" w:right="720" w:hanging="309"/>
        <w:spacing w:after="0" w:line="269" w:lineRule="auto"/>
        <w:tabs>
          <w:tab w:leader="none" w:pos="1230" w:val="left"/>
        </w:tabs>
        <w:numPr>
          <w:ilvl w:val="0"/>
          <w:numId w:val="114"/>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You will receive paid vacation according to the Company’s Vacation policy set forth in the Company’s Employee Handbook as may be amended from time to time</w:t>
      </w:r>
    </w:p>
    <w:p>
      <w:pPr>
        <w:spacing w:after="0" w:line="61" w:lineRule="exact"/>
        <w:rPr>
          <w:sz w:val="20"/>
          <w:szCs w:val="20"/>
          <w:color w:val="auto"/>
        </w:rPr>
      </w:pPr>
    </w:p>
    <w:p>
      <w:pPr>
        <w:ind w:right="760" w:firstLine="1323"/>
        <w:spacing w:after="0" w:line="273"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u w:val="single" w:color="auto"/>
          <w:color w:val="auto"/>
        </w:rPr>
        <w:t>Employee Handbook</w:t>
      </w:r>
      <w:r>
        <w:rPr>
          <w:rFonts w:ascii="Times New Roman" w:cs="Times New Roman" w:eastAsia="Times New Roman" w:hAnsi="Times New Roman"/>
          <w:sz w:val="21"/>
          <w:szCs w:val="21"/>
          <w:color w:val="auto"/>
        </w:rPr>
        <w:t>”). You will be eligible to accrue paid vacation at the rate set forth in the Employee Handbook. Payment of any accrued but unused vacation will be made upon termination of employment.</w:t>
      </w:r>
    </w:p>
    <w:p>
      <w:pPr>
        <w:spacing w:after="0" w:line="48" w:lineRule="exact"/>
        <w:rPr>
          <w:sz w:val="20"/>
          <w:szCs w:val="20"/>
          <w:color w:val="auto"/>
        </w:rPr>
      </w:pPr>
    </w:p>
    <w:p>
      <w:pPr>
        <w:ind w:left="1240" w:right="200" w:hanging="309"/>
        <w:spacing w:after="0" w:line="269" w:lineRule="auto"/>
        <w:tabs>
          <w:tab w:leader="none" w:pos="1230" w:val="left"/>
        </w:tabs>
        <w:numPr>
          <w:ilvl w:val="0"/>
          <w:numId w:val="115"/>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Paid Sick Leave</w:t>
      </w:r>
      <w:r>
        <w:rPr>
          <w:rFonts w:ascii="Times New Roman" w:cs="Times New Roman" w:eastAsia="Times New Roman" w:hAnsi="Times New Roman"/>
          <w:sz w:val="21"/>
          <w:szCs w:val="21"/>
          <w:color w:val="auto"/>
        </w:rPr>
        <w:t>. You will be eligible for paid sick leave according to the Company’s Sick Leave Policy set forth in the Employee Handbook.</w:t>
      </w:r>
    </w:p>
    <w:p>
      <w:pPr>
        <w:spacing w:after="0" w:line="64" w:lineRule="exact"/>
        <w:rPr>
          <w:rFonts w:ascii="Arial" w:cs="Arial" w:eastAsia="Arial" w:hAnsi="Arial"/>
          <w:sz w:val="19"/>
          <w:szCs w:val="19"/>
          <w:color w:val="auto"/>
        </w:rPr>
      </w:pPr>
    </w:p>
    <w:p>
      <w:pPr>
        <w:ind w:left="1240" w:hanging="309"/>
        <w:spacing w:after="0" w:line="269" w:lineRule="auto"/>
        <w:tabs>
          <w:tab w:leader="none" w:pos="1230" w:val="left"/>
        </w:tabs>
        <w:numPr>
          <w:ilvl w:val="0"/>
          <w:numId w:val="115"/>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Exclusive Compensation</w:t>
      </w:r>
      <w:r>
        <w:rPr>
          <w:rFonts w:ascii="Times New Roman" w:cs="Times New Roman" w:eastAsia="Times New Roman" w:hAnsi="Times New Roman"/>
          <w:sz w:val="21"/>
          <w:szCs w:val="21"/>
          <w:color w:val="auto"/>
        </w:rPr>
        <w:t xml:space="preserve">. You agree that your compensation under this </w:t>
      </w:r>
      <w:r>
        <w:rPr>
          <w:rFonts w:ascii="Times New Roman" w:cs="Times New Roman" w:eastAsia="Times New Roman" w:hAnsi="Times New Roman"/>
          <w:sz w:val="21"/>
          <w:szCs w:val="21"/>
          <w:u w:val="single" w:color="auto"/>
          <w:color w:val="auto"/>
        </w:rPr>
        <w:t>Compensation and Benefits Section</w:t>
      </w:r>
      <w:r>
        <w:rPr>
          <w:rFonts w:ascii="Times New Roman" w:cs="Times New Roman" w:eastAsia="Times New Roman" w:hAnsi="Times New Roman"/>
          <w:sz w:val="21"/>
          <w:szCs w:val="21"/>
          <w:color w:val="auto"/>
        </w:rPr>
        <w:t xml:space="preserve"> constitutes the full and exclusive consideration and compensation for all services rendered by you under this Offer.</w:t>
      </w:r>
    </w:p>
    <w:p>
      <w:pPr>
        <w:spacing w:after="0" w:line="51" w:lineRule="exact"/>
        <w:rPr>
          <w:rFonts w:ascii="Arial" w:cs="Arial" w:eastAsia="Arial" w:hAnsi="Arial"/>
          <w:sz w:val="19"/>
          <w:szCs w:val="19"/>
          <w:color w:val="auto"/>
        </w:rPr>
      </w:pPr>
    </w:p>
    <w:p>
      <w:pPr>
        <w:ind w:left="1240" w:hanging="309"/>
        <w:spacing w:after="0" w:line="249" w:lineRule="auto"/>
        <w:tabs>
          <w:tab w:leader="none" w:pos="1232" w:val="left"/>
        </w:tabs>
        <w:numPr>
          <w:ilvl w:val="0"/>
          <w:numId w:val="115"/>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Definition of Cause</w:t>
      </w:r>
      <w:r>
        <w:rPr>
          <w:rFonts w:ascii="Times New Roman" w:cs="Times New Roman" w:eastAsia="Times New Roman" w:hAnsi="Times New Roman"/>
          <w:sz w:val="21"/>
          <w:szCs w:val="21"/>
          <w:color w:val="auto"/>
        </w:rPr>
        <w:t>. Any of the following actions by you constitute Cause for termination of employment by the Company: (i) an act of fraud, embezzlement, dishonesty, material misappropriation or theft against the Company or any of its affiliates, or a customer or co-worker; (ii) willful misconduct that has, or could reasonably be expected to have, an adverse effect upon the business, interests, or reputation of the Company or any of its affiliates; (iii) conviction of, or plea of nolo contendere with respect to, a felony or other crime involving moral turpitude; (iv) breach of any of the terms of this Offer, the Confidential Information, Non-Solicitation and Inventions Assignment Agreement, the Mutual Agreement to Arbitrate Employment Disputes, or any written policy of the Company or any of its affiliates, including any policy in the Employee Handbook, applicable to you; or (v) willful failure to perform, or gross negligence in the performance of, your duties and responsibilities to the Company and its affiliates.</w:t>
      </w:r>
    </w:p>
    <w:p>
      <w:pPr>
        <w:spacing w:after="0" w:line="91" w:lineRule="exact"/>
        <w:rPr>
          <w:rFonts w:ascii="Arial" w:cs="Arial" w:eastAsia="Arial" w:hAnsi="Arial"/>
          <w:sz w:val="19"/>
          <w:szCs w:val="19"/>
          <w:color w:val="auto"/>
        </w:rPr>
      </w:pPr>
    </w:p>
    <w:p>
      <w:pPr>
        <w:ind w:left="1240" w:right="40" w:hanging="309"/>
        <w:spacing w:after="0" w:line="253" w:lineRule="auto"/>
        <w:tabs>
          <w:tab w:leader="none" w:pos="1230" w:val="left"/>
        </w:tabs>
        <w:numPr>
          <w:ilvl w:val="0"/>
          <w:numId w:val="115"/>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Clawback Provisions</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Notwithstanding any other provisions in this letter to the contrary, any incentive-based compensation, or any other compensation, paid to you pursuant to this letter or any other agreement or arrangement with the Company or any of its affiliates, which is subject to recovery under any law, government regulation or stock exchange listing requirement, will be subject to such deductions and clawback as may be required to be made pursuant to such</w:t>
      </w:r>
    </w:p>
    <w:p>
      <w:pPr>
        <w:sectPr>
          <w:pgSz w:w="11900" w:h="16838" w:orient="portrait"/>
          <w:cols w:equalWidth="0" w:num="1">
            <w:col w:w="11240"/>
          </w:cols>
          <w:pgMar w:left="320" w:top="576"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31"/>
          <w:szCs w:val="31"/>
          <w:b w:val="1"/>
          <w:bCs w:val="1"/>
          <w:color w:val="auto"/>
        </w:rPr>
        <w:t>Exhibit 10.20</w:t>
      </w:r>
    </w:p>
    <w:p>
      <w:pPr>
        <w:spacing w:after="0" w:line="200" w:lineRule="exact"/>
        <w:rPr>
          <w:sz w:val="20"/>
          <w:szCs w:val="20"/>
          <w:color w:val="auto"/>
        </w:rPr>
      </w:pPr>
    </w:p>
    <w:p>
      <w:pPr>
        <w:spacing w:after="0" w:line="233" w:lineRule="exact"/>
        <w:rPr>
          <w:sz w:val="20"/>
          <w:szCs w:val="20"/>
          <w:color w:val="auto"/>
        </w:rPr>
      </w:pPr>
    </w:p>
    <w:p>
      <w:pPr>
        <w:ind w:left="1240" w:right="220"/>
        <w:spacing w:after="0" w:line="269" w:lineRule="auto"/>
        <w:rPr>
          <w:sz w:val="20"/>
          <w:szCs w:val="20"/>
          <w:color w:val="auto"/>
        </w:rPr>
      </w:pPr>
      <w:r>
        <w:rPr>
          <w:rFonts w:ascii="Times New Roman" w:cs="Times New Roman" w:eastAsia="Times New Roman" w:hAnsi="Times New Roman"/>
          <w:sz w:val="21"/>
          <w:szCs w:val="21"/>
          <w:color w:val="auto"/>
        </w:rPr>
        <w:t>law, government regulation or stock exchange listing requirement (or any policy adopted by the Company or any of its affiliates pursuant to any such law, government regulation or stock exchange listing requirement).</w:t>
      </w:r>
    </w:p>
    <w:p>
      <w:pPr>
        <w:spacing w:after="0" w:line="52" w:lineRule="exact"/>
        <w:rPr>
          <w:sz w:val="20"/>
          <w:szCs w:val="20"/>
          <w:color w:val="auto"/>
        </w:rPr>
      </w:pPr>
    </w:p>
    <w:p>
      <w:pPr>
        <w:ind w:left="620" w:hanging="307"/>
        <w:spacing w:after="0"/>
        <w:tabs>
          <w:tab w:leader="none" w:pos="620" w:val="left"/>
        </w:tabs>
        <w:numPr>
          <w:ilvl w:val="0"/>
          <w:numId w:val="116"/>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Conditions of Employment</w:t>
      </w:r>
      <w:r>
        <w:rPr>
          <w:rFonts w:ascii="Times New Roman" w:cs="Times New Roman" w:eastAsia="Times New Roman" w:hAnsi="Times New Roman"/>
          <w:sz w:val="21"/>
          <w:szCs w:val="21"/>
          <w:color w:val="auto"/>
        </w:rPr>
        <w:t>.</w:t>
      </w:r>
    </w:p>
    <w:p>
      <w:pPr>
        <w:spacing w:after="0" w:line="119" w:lineRule="exact"/>
        <w:rPr>
          <w:rFonts w:ascii="Arial" w:cs="Arial" w:eastAsia="Arial" w:hAnsi="Arial"/>
          <w:sz w:val="19"/>
          <w:szCs w:val="19"/>
          <w:color w:val="auto"/>
        </w:rPr>
      </w:pPr>
    </w:p>
    <w:p>
      <w:pPr>
        <w:ind w:left="1240" w:right="20" w:hanging="309"/>
        <w:spacing w:after="0" w:line="281" w:lineRule="auto"/>
        <w:rPr>
          <w:rFonts w:ascii="Arial" w:cs="Arial" w:eastAsia="Arial" w:hAnsi="Arial"/>
          <w:sz w:val="19"/>
          <w:szCs w:val="19"/>
          <w:color w:val="auto"/>
        </w:rPr>
      </w:pPr>
      <w:r>
        <w:rPr>
          <w:rFonts w:ascii="Arial" w:cs="Arial" w:eastAsia="Arial" w:hAnsi="Arial"/>
          <w:sz w:val="19"/>
          <w:szCs w:val="19"/>
          <w:color w:val="auto"/>
        </w:rPr>
        <w:t xml:space="preserve">a. </w:t>
      </w:r>
      <w:r>
        <w:rPr>
          <w:rFonts w:ascii="Times New Roman" w:cs="Times New Roman" w:eastAsia="Times New Roman" w:hAnsi="Times New Roman"/>
          <w:sz w:val="20"/>
          <w:szCs w:val="20"/>
          <w:u w:val="single" w:color="auto"/>
          <w:color w:val="auto"/>
        </w:rPr>
        <w:t>Policies and Procedures</w:t>
      </w:r>
      <w:r>
        <w:rPr>
          <w:rFonts w:ascii="Times New Roman" w:cs="Times New Roman" w:eastAsia="Times New Roman" w:hAnsi="Times New Roman"/>
          <w:sz w:val="20"/>
          <w:szCs w:val="20"/>
          <w:color w:val="auto"/>
        </w:rPr>
        <w:t>. You agree to adhere to Company policies and procedures, including all policies contained in the</w:t>
      </w:r>
      <w:r>
        <w:rPr>
          <w:rFonts w:ascii="Arial" w:cs="Arial" w:eastAsia="Arial" w:hAnsi="Arial"/>
          <w:sz w:val="19"/>
          <w:szCs w:val="19"/>
          <w:color w:val="auto"/>
        </w:rPr>
        <w:t xml:space="preserve"> </w:t>
      </w:r>
      <w:r>
        <w:rPr>
          <w:rFonts w:ascii="Times New Roman" w:cs="Times New Roman" w:eastAsia="Times New Roman" w:hAnsi="Times New Roman"/>
          <w:sz w:val="20"/>
          <w:szCs w:val="20"/>
          <w:color w:val="auto"/>
        </w:rPr>
        <w:t>Employee Handbook, which you will receive when you begin employment. From time to time, Company policies and procedures may be amended by the Company and will be called to your attention.</w:t>
      </w:r>
    </w:p>
    <w:p>
      <w:pPr>
        <w:spacing w:after="0" w:line="376" w:lineRule="exact"/>
        <w:rPr>
          <w:sz w:val="20"/>
          <w:szCs w:val="20"/>
          <w:color w:val="auto"/>
        </w:rPr>
      </w:pPr>
    </w:p>
    <w:p>
      <w:pPr>
        <w:ind w:left="1240" w:right="160" w:hanging="309"/>
        <w:spacing w:after="0" w:line="273" w:lineRule="auto"/>
        <w:tabs>
          <w:tab w:leader="none" w:pos="1230" w:val="left"/>
        </w:tabs>
        <w:numPr>
          <w:ilvl w:val="0"/>
          <w:numId w:val="117"/>
        </w:numPr>
        <w:rPr>
          <w:rFonts w:ascii="Arial" w:cs="Arial" w:eastAsia="Arial" w:hAnsi="Arial"/>
          <w:sz w:val="18"/>
          <w:szCs w:val="18"/>
          <w:color w:val="auto"/>
        </w:rPr>
      </w:pPr>
      <w:r>
        <w:rPr>
          <w:rFonts w:ascii="Times New Roman" w:cs="Times New Roman" w:eastAsia="Times New Roman" w:hAnsi="Times New Roman"/>
          <w:sz w:val="20"/>
          <w:szCs w:val="20"/>
          <w:u w:val="single" w:color="auto"/>
          <w:color w:val="auto"/>
        </w:rPr>
        <w:t>Background Check and Eligibility</w:t>
      </w:r>
      <w:r>
        <w:rPr>
          <w:rFonts w:ascii="Times New Roman" w:cs="Times New Roman" w:eastAsia="Times New Roman" w:hAnsi="Times New Roman"/>
          <w:sz w:val="20"/>
          <w:szCs w:val="20"/>
          <w:color w:val="auto"/>
        </w:rPr>
        <w:t>. This Offer is contingent upon a satisfactory background and reference check, which may be conducted in whole or in part by a consumer reporting agency; including, but not limited to, education and employment verification, and proof of your eligibility to work in the United States. You agree to timely complete and return to the Company all documentation provided to you for the purpose of completing such background check.</w:t>
      </w:r>
    </w:p>
    <w:p>
      <w:pPr>
        <w:spacing w:after="0" w:line="49" w:lineRule="exact"/>
        <w:rPr>
          <w:rFonts w:ascii="Arial" w:cs="Arial" w:eastAsia="Arial" w:hAnsi="Arial"/>
          <w:sz w:val="18"/>
          <w:szCs w:val="18"/>
          <w:color w:val="auto"/>
        </w:rPr>
      </w:pPr>
    </w:p>
    <w:p>
      <w:pPr>
        <w:ind w:left="1240" w:right="240" w:hanging="309"/>
        <w:spacing w:after="0" w:line="256" w:lineRule="auto"/>
        <w:tabs>
          <w:tab w:leader="none" w:pos="1230" w:val="left"/>
        </w:tabs>
        <w:numPr>
          <w:ilvl w:val="0"/>
          <w:numId w:val="117"/>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Right to Work</w:t>
      </w:r>
      <w:r>
        <w:rPr>
          <w:rFonts w:ascii="Times New Roman" w:cs="Times New Roman" w:eastAsia="Times New Roman" w:hAnsi="Times New Roman"/>
          <w:sz w:val="21"/>
          <w:szCs w:val="21"/>
          <w:color w:val="auto"/>
        </w:rPr>
        <w:t>. This Offer is conditional upon your having the unrestricted right to work in the United States. On or before your first day of employment, you will be required to complete Section 1 of the federal Form I-9. By the fourth day of employment, you must provide documentation that proves both your identity and right to work in the United States, or the Company must terminate your employment. For further information,</w:t>
      </w:r>
    </w:p>
    <w:p>
      <w:pPr>
        <w:spacing w:after="0" w:line="6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 xml:space="preserve">see </w:t>
      </w:r>
      <w:r>
        <w:rPr>
          <w:rFonts w:ascii="Times New Roman" w:cs="Times New Roman" w:eastAsia="Times New Roman" w:hAnsi="Times New Roman"/>
          <w:sz w:val="21"/>
          <w:szCs w:val="21"/>
          <w:u w:val="single" w:color="auto"/>
          <w:color w:val="0000FF"/>
        </w:rPr>
        <w:t>https:/</w:t>
      </w:r>
      <w:r>
        <w:rPr>
          <w:rFonts w:ascii="Times New Roman" w:cs="Times New Roman" w:eastAsia="Times New Roman" w:hAnsi="Times New Roman"/>
          <w:sz w:val="21"/>
          <w:szCs w:val="21"/>
          <w:color w:val="0000FF"/>
        </w:rPr>
        <w:t>/www.uscis.g</w:t>
      </w:r>
      <w:r>
        <w:rPr>
          <w:rFonts w:ascii="Times New Roman" w:cs="Times New Roman" w:eastAsia="Times New Roman" w:hAnsi="Times New Roman"/>
          <w:sz w:val="21"/>
          <w:szCs w:val="21"/>
          <w:u w:val="single" w:color="auto"/>
          <w:color w:val="0000FF"/>
        </w:rPr>
        <w:t>o</w:t>
      </w:r>
      <w:r>
        <w:rPr>
          <w:rFonts w:ascii="Times New Roman" w:cs="Times New Roman" w:eastAsia="Times New Roman" w:hAnsi="Times New Roman"/>
          <w:sz w:val="21"/>
          <w:szCs w:val="21"/>
          <w:color w:val="0000FF"/>
        </w:rPr>
        <w:t>v/i-9.</w:t>
      </w:r>
    </w:p>
    <w:p>
      <w:pPr>
        <w:spacing w:after="0" w:line="107" w:lineRule="exact"/>
        <w:rPr>
          <w:sz w:val="20"/>
          <w:szCs w:val="20"/>
          <w:color w:val="auto"/>
        </w:rPr>
      </w:pPr>
    </w:p>
    <w:p>
      <w:pPr>
        <w:ind w:left="1240" w:hanging="309"/>
        <w:spacing w:after="0"/>
        <w:tabs>
          <w:tab w:leader="none" w:pos="1240" w:val="left"/>
        </w:tabs>
        <w:numPr>
          <w:ilvl w:val="0"/>
          <w:numId w:val="118"/>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Confidential Information, Non-Solicitation and Inventions Assignment Agreement</w:t>
      </w:r>
      <w:r>
        <w:rPr>
          <w:rFonts w:ascii="Times New Roman" w:cs="Times New Roman" w:eastAsia="Times New Roman" w:hAnsi="Times New Roman"/>
          <w:sz w:val="21"/>
          <w:szCs w:val="21"/>
          <w:color w:val="auto"/>
        </w:rPr>
        <w:t>.</w:t>
      </w:r>
    </w:p>
    <w:p>
      <w:pPr>
        <w:spacing w:after="0" w:line="119" w:lineRule="exact"/>
        <w:rPr>
          <w:sz w:val="20"/>
          <w:szCs w:val="20"/>
          <w:color w:val="auto"/>
        </w:rPr>
      </w:pPr>
    </w:p>
    <w:p>
      <w:pPr>
        <w:jc w:val="both"/>
        <w:ind w:right="200" w:firstLine="1323"/>
        <w:spacing w:after="0" w:line="256" w:lineRule="auto"/>
        <w:rPr>
          <w:sz w:val="20"/>
          <w:szCs w:val="20"/>
          <w:color w:val="auto"/>
        </w:rPr>
      </w:pPr>
      <w:r>
        <w:rPr>
          <w:rFonts w:ascii="Times New Roman" w:cs="Times New Roman" w:eastAsia="Times New Roman" w:hAnsi="Times New Roman"/>
          <w:sz w:val="21"/>
          <w:szCs w:val="21"/>
          <w:color w:val="auto"/>
        </w:rPr>
        <w:t>Enclosed is the Company’s Confidential Information, Non-Solicitation and Inventions Assignment Agreement, which you are required to sign as a condition of your employment. Upon your acceptance of this Offer, please return to me a signed copy of that agreement.</w:t>
      </w:r>
    </w:p>
    <w:p>
      <w:pPr>
        <w:spacing w:after="0" w:line="78" w:lineRule="exact"/>
        <w:rPr>
          <w:sz w:val="20"/>
          <w:szCs w:val="20"/>
          <w:color w:val="auto"/>
        </w:rPr>
      </w:pPr>
    </w:p>
    <w:p>
      <w:pPr>
        <w:jc w:val="both"/>
        <w:ind w:left="1240" w:right="180" w:hanging="309"/>
        <w:spacing w:after="0" w:line="256" w:lineRule="auto"/>
        <w:tabs>
          <w:tab w:leader="none" w:pos="1230" w:val="left"/>
        </w:tabs>
        <w:numPr>
          <w:ilvl w:val="0"/>
          <w:numId w:val="11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Arbitration Agreement</w:t>
      </w:r>
      <w:r>
        <w:rPr>
          <w:rFonts w:ascii="Times New Roman" w:cs="Times New Roman" w:eastAsia="Times New Roman" w:hAnsi="Times New Roman"/>
          <w:sz w:val="21"/>
          <w:szCs w:val="21"/>
          <w:color w:val="auto"/>
        </w:rPr>
        <w:t>. Enclosed is the Company’s Mutual Agreement to Arbitrate All Employment-Related Disputes, which you are required to sign as a condition of your employment. Upon your acceptance of this Offer, please return to me a signed copy of that agreement.</w:t>
      </w:r>
    </w:p>
    <w:p>
      <w:pPr>
        <w:spacing w:after="0" w:line="78" w:lineRule="exact"/>
        <w:rPr>
          <w:rFonts w:ascii="Arial" w:cs="Arial" w:eastAsia="Arial" w:hAnsi="Arial"/>
          <w:sz w:val="19"/>
          <w:szCs w:val="19"/>
          <w:color w:val="auto"/>
        </w:rPr>
      </w:pPr>
    </w:p>
    <w:p>
      <w:pPr>
        <w:ind w:left="1240" w:right="480" w:hanging="309"/>
        <w:spacing w:after="0" w:line="256" w:lineRule="auto"/>
        <w:tabs>
          <w:tab w:leader="none" w:pos="1230" w:val="left"/>
        </w:tabs>
        <w:numPr>
          <w:ilvl w:val="0"/>
          <w:numId w:val="11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Modification</w:t>
      </w:r>
      <w:r>
        <w:rPr>
          <w:rFonts w:ascii="Times New Roman" w:cs="Times New Roman" w:eastAsia="Times New Roman" w:hAnsi="Times New Roman"/>
          <w:sz w:val="21"/>
          <w:szCs w:val="21"/>
          <w:color w:val="auto"/>
        </w:rPr>
        <w:t>. The Company reserves the right to modify your position, duties, compensation, benefits, and/or other terms and conditions of employment at any time in its sole discretion, as allowed by law, except for the at-will employment policy.</w:t>
      </w:r>
    </w:p>
    <w:p>
      <w:pPr>
        <w:spacing w:after="0" w:line="78" w:lineRule="exact"/>
        <w:rPr>
          <w:rFonts w:ascii="Arial" w:cs="Arial" w:eastAsia="Arial" w:hAnsi="Arial"/>
          <w:sz w:val="19"/>
          <w:szCs w:val="19"/>
          <w:color w:val="auto"/>
        </w:rPr>
      </w:pPr>
    </w:p>
    <w:p>
      <w:pPr>
        <w:ind w:left="1240" w:right="280" w:hanging="309"/>
        <w:spacing w:after="0" w:line="269" w:lineRule="auto"/>
        <w:tabs>
          <w:tab w:leader="none" w:pos="1232" w:val="left"/>
        </w:tabs>
        <w:numPr>
          <w:ilvl w:val="0"/>
          <w:numId w:val="119"/>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No Reliance</w:t>
      </w:r>
      <w:r>
        <w:rPr>
          <w:rFonts w:ascii="Times New Roman" w:cs="Times New Roman" w:eastAsia="Times New Roman" w:hAnsi="Times New Roman"/>
          <w:sz w:val="21"/>
          <w:szCs w:val="21"/>
          <w:color w:val="auto"/>
        </w:rPr>
        <w:t>. You acknowledge that you are not relocating your residence or resigning employment in reliance on any promise or representation by the</w:t>
      </w:r>
    </w:p>
    <w:p>
      <w:pPr>
        <w:sectPr>
          <w:pgSz w:w="11900" w:h="16838" w:orient="portrait"/>
          <w:cols w:equalWidth="0" w:num="1">
            <w:col w:w="11240"/>
          </w:cols>
          <w:pgMar w:left="320" w:top="575"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31"/>
          <w:szCs w:val="31"/>
          <w:b w:val="1"/>
          <w:bCs w:val="1"/>
          <w:color w:val="auto"/>
        </w:rPr>
        <w:t>Exhibit 10.20</w:t>
      </w:r>
    </w:p>
    <w:p>
      <w:pPr>
        <w:spacing w:after="0" w:line="200" w:lineRule="exact"/>
        <w:rPr>
          <w:sz w:val="20"/>
          <w:szCs w:val="20"/>
          <w:color w:val="auto"/>
        </w:rPr>
      </w:pPr>
    </w:p>
    <w:p>
      <w:pPr>
        <w:spacing w:after="0" w:line="233" w:lineRule="exact"/>
        <w:rPr>
          <w:sz w:val="20"/>
          <w:szCs w:val="20"/>
          <w:color w:val="auto"/>
        </w:rPr>
      </w:pPr>
    </w:p>
    <w:p>
      <w:pPr>
        <w:ind w:left="1240" w:right="580"/>
        <w:spacing w:after="0" w:line="269" w:lineRule="auto"/>
        <w:rPr>
          <w:sz w:val="20"/>
          <w:szCs w:val="20"/>
          <w:color w:val="auto"/>
        </w:rPr>
      </w:pPr>
      <w:r>
        <w:rPr>
          <w:rFonts w:ascii="Times New Roman" w:cs="Times New Roman" w:eastAsia="Times New Roman" w:hAnsi="Times New Roman"/>
          <w:sz w:val="21"/>
          <w:szCs w:val="21"/>
          <w:color w:val="auto"/>
        </w:rPr>
        <w:t>Company regarding the kind, character, or existence of such work, or the length of time such work will last, or the compensation therefore.</w:t>
      </w:r>
    </w:p>
    <w:p>
      <w:pPr>
        <w:spacing w:after="0" w:line="52" w:lineRule="exact"/>
        <w:rPr>
          <w:sz w:val="20"/>
          <w:szCs w:val="20"/>
          <w:color w:val="auto"/>
        </w:rPr>
      </w:pPr>
    </w:p>
    <w:p>
      <w:pPr>
        <w:ind w:left="1240" w:hanging="309"/>
        <w:spacing w:after="0"/>
        <w:tabs>
          <w:tab w:leader="none" w:pos="1240" w:val="left"/>
        </w:tabs>
        <w:numPr>
          <w:ilvl w:val="0"/>
          <w:numId w:val="120"/>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Prior Agreements</w:t>
      </w:r>
      <w:r>
        <w:rPr>
          <w:rFonts w:ascii="Times New Roman" w:cs="Times New Roman" w:eastAsia="Times New Roman" w:hAnsi="Times New Roman"/>
          <w:sz w:val="21"/>
          <w:szCs w:val="21"/>
          <w:color w:val="auto"/>
        </w:rPr>
        <w:t>. This letter supersedes any prior agreements regarding your employment with the Company.</w:t>
      </w:r>
    </w:p>
    <w:p>
      <w:pPr>
        <w:spacing w:after="0" w:line="119" w:lineRule="exact"/>
        <w:rPr>
          <w:rFonts w:ascii="Arial" w:cs="Arial" w:eastAsia="Arial" w:hAnsi="Arial"/>
          <w:sz w:val="19"/>
          <w:szCs w:val="19"/>
          <w:color w:val="auto"/>
        </w:rPr>
      </w:pPr>
    </w:p>
    <w:p>
      <w:pPr>
        <w:ind w:left="1240" w:right="240" w:hanging="309"/>
        <w:spacing w:after="0" w:line="256" w:lineRule="auto"/>
        <w:tabs>
          <w:tab w:leader="none" w:pos="1230" w:val="left"/>
        </w:tabs>
        <w:numPr>
          <w:ilvl w:val="0"/>
          <w:numId w:val="120"/>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Governing Law; Severability</w:t>
      </w:r>
      <w:r>
        <w:rPr>
          <w:rFonts w:ascii="Times New Roman" w:cs="Times New Roman" w:eastAsia="Times New Roman" w:hAnsi="Times New Roman"/>
          <w:sz w:val="21"/>
          <w:szCs w:val="21"/>
          <w:color w:val="auto"/>
        </w:rPr>
        <w:t>. The validity, interpretation, construction and performance of this letter will be governed by the laws of the State of California, with the exception of its conflict of laws provisions. The invalidity or unenforceability of any provision or provisions of this letter will not affect the validity or enforceability of any other provision hereof, which will remain in full force and effect.</w:t>
      </w:r>
    </w:p>
    <w:p>
      <w:pPr>
        <w:spacing w:after="0" w:line="65" w:lineRule="exact"/>
        <w:rPr>
          <w:rFonts w:ascii="Arial" w:cs="Arial" w:eastAsia="Arial" w:hAnsi="Arial"/>
          <w:sz w:val="19"/>
          <w:szCs w:val="19"/>
          <w:color w:val="auto"/>
        </w:rPr>
      </w:pPr>
    </w:p>
    <w:p>
      <w:pPr>
        <w:ind w:left="1240" w:right="100" w:hanging="309"/>
        <w:spacing w:after="0" w:line="262" w:lineRule="auto"/>
        <w:tabs>
          <w:tab w:leader="none" w:pos="1229" w:val="left"/>
        </w:tabs>
        <w:numPr>
          <w:ilvl w:val="0"/>
          <w:numId w:val="120"/>
        </w:numPr>
        <w:rPr>
          <w:rFonts w:ascii="Arial" w:cs="Arial" w:eastAsia="Arial" w:hAnsi="Arial"/>
          <w:sz w:val="19"/>
          <w:szCs w:val="19"/>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letter will be binding upon and inure to the benefit of (i) your heirs, executors and legal representatives upon your death and (ii) any successor of the Company. Any successor of the Company will be deemed substituted for the Company under the terms of this letter for all purposes.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Left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6" w:lineRule="exact"/>
        <w:rPr>
          <w:sz w:val="20"/>
          <w:szCs w:val="20"/>
          <w:color w:val="auto"/>
        </w:rPr>
      </w:pPr>
    </w:p>
    <w:p>
      <w:pPr>
        <w:ind w:right="20" w:firstLine="705"/>
        <w:spacing w:after="0" w:line="269" w:lineRule="auto"/>
        <w:rPr>
          <w:sz w:val="20"/>
          <w:szCs w:val="20"/>
          <w:color w:val="auto"/>
        </w:rPr>
      </w:pPr>
      <w:r>
        <w:rPr>
          <w:rFonts w:ascii="Times New Roman" w:cs="Times New Roman" w:eastAsia="Times New Roman" w:hAnsi="Times New Roman"/>
          <w:sz w:val="21"/>
          <w:szCs w:val="21"/>
          <w:color w:val="auto"/>
        </w:rPr>
        <w:t xml:space="preserve">If you accept the terms of the foregoing offer of employment, please so indicate by signing and dating below and returning it to my attention </w:t>
      </w:r>
      <w:r>
        <w:rPr>
          <w:rFonts w:ascii="Times New Roman" w:cs="Times New Roman" w:eastAsia="Times New Roman" w:hAnsi="Times New Roman"/>
          <w:sz w:val="21"/>
          <w:szCs w:val="21"/>
          <w:i w:val="1"/>
          <w:iCs w:val="1"/>
          <w:color w:val="auto"/>
        </w:rPr>
        <w:t>no later than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April 5, 2019</w:t>
      </w:r>
      <w:r>
        <w:rPr>
          <w:rFonts w:ascii="Times New Roman" w:cs="Times New Roman" w:eastAsia="Times New Roman" w:hAnsi="Times New Roman"/>
          <w:sz w:val="21"/>
          <w:szCs w:val="21"/>
          <w:color w:val="auto"/>
        </w:rPr>
        <w:t>.</w:t>
      </w:r>
    </w:p>
    <w:p>
      <w:pPr>
        <w:spacing w:after="0" w:line="40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Sincerely,</w:t>
      </w:r>
    </w:p>
    <w:p>
      <w:pPr>
        <w:spacing w:after="0" w:line="10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GHOST MANAGEMENT GROUP, LLC</w:t>
      </w:r>
    </w:p>
    <w:p>
      <w:pPr>
        <w:spacing w:after="0" w:line="10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 xml:space="preserve">By: </w:t>
      </w:r>
      <w:r>
        <w:rPr>
          <w:rFonts w:ascii="Arial" w:cs="Arial" w:eastAsia="Arial" w:hAnsi="Arial"/>
          <w:sz w:val="21"/>
          <w:szCs w:val="21"/>
          <w:u w:val="single" w:color="auto"/>
          <w:color w:val="auto"/>
        </w:rPr>
        <w:t>/s/ Christopher Beals</w:t>
      </w:r>
    </w:p>
    <w:p>
      <w:pPr>
        <w:spacing w:after="0" w:line="1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Christopher Beals,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30"/>
          <w:szCs w:val="30"/>
          <w:i w:val="1"/>
          <w:iCs w:val="1"/>
          <w:u w:val="single" w:color="auto"/>
          <w:color w:val="auto"/>
        </w:rPr>
        <w:t>Brian Camire</w:t>
      </w:r>
    </w:p>
    <w:p>
      <w:pPr>
        <w:spacing w:after="0" w:line="107" w:lineRule="exact"/>
        <w:rPr>
          <w:sz w:val="20"/>
          <w:szCs w:val="20"/>
          <w:color w:val="auto"/>
        </w:rPr>
      </w:pPr>
    </w:p>
    <w:p>
      <w:pPr>
        <w:ind w:left="80"/>
        <w:spacing w:after="0"/>
        <w:rPr>
          <w:sz w:val="20"/>
          <w:szCs w:val="20"/>
          <w:color w:val="auto"/>
        </w:rPr>
      </w:pPr>
      <w:r>
        <w:rPr>
          <w:rFonts w:ascii="Calibri" w:cs="Calibri" w:eastAsia="Calibri" w:hAnsi="Calibri"/>
          <w:sz w:val="11"/>
          <w:szCs w:val="11"/>
          <w:u w:val="single" w:color="auto"/>
          <w:color w:val="0092BE"/>
        </w:rPr>
        <w:t xml:space="preserve">Brian Camire (Apr 4, </w:t>
      </w:r>
      <w:r>
        <w:rPr>
          <w:rFonts w:ascii="Calibri" w:cs="Calibri" w:eastAsia="Calibri" w:hAnsi="Calibri"/>
          <w:sz w:val="20"/>
          <w:szCs w:val="20"/>
          <w:u w:val="single" w:color="auto"/>
          <w:color w:val="0092BE"/>
        </w:rPr>
        <w:t>2019)</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40"/>
          <w:szCs w:val="40"/>
          <w:color w:val="auto"/>
          <w:vertAlign w:val="subscript"/>
        </w:rPr>
        <w:t>Print Name:</w:t>
      </w:r>
      <w:r>
        <w:rPr>
          <w:rFonts w:ascii="Calibri" w:cs="Calibri" w:eastAsia="Calibri" w:hAnsi="Calibri"/>
          <w:sz w:val="31"/>
          <w:szCs w:val="31"/>
          <w:color w:val="auto"/>
        </w:rPr>
        <w:t xml:space="preserve"> </w:t>
      </w:r>
      <w:r>
        <w:rPr>
          <w:rFonts w:ascii="Calibri" w:cs="Calibri" w:eastAsia="Calibri" w:hAnsi="Calibri"/>
          <w:sz w:val="31"/>
          <w:szCs w:val="31"/>
          <w:u w:val="single" w:color="auto"/>
          <w:color w:val="auto"/>
        </w:rPr>
        <w:t>Brian</w:t>
      </w:r>
      <w:r>
        <w:rPr>
          <w:rFonts w:ascii="Calibri" w:cs="Calibri" w:eastAsia="Calibri" w:hAnsi="Calibri"/>
          <w:sz w:val="31"/>
          <w:szCs w:val="31"/>
          <w:color w:val="auto"/>
        </w:rPr>
        <w:t xml:space="preserve"> </w:t>
      </w:r>
      <w:r>
        <w:rPr>
          <w:rFonts w:ascii="Calibri" w:cs="Calibri" w:eastAsia="Calibri" w:hAnsi="Calibri"/>
          <w:sz w:val="20"/>
          <w:szCs w:val="20"/>
          <w:u w:val="single" w:color="auto"/>
          <w:color w:val="auto"/>
        </w:rPr>
        <w:t>Camire</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40"/>
          <w:szCs w:val="40"/>
          <w:color w:val="auto"/>
          <w:vertAlign w:val="subscript"/>
        </w:rPr>
        <w:t>Date:</w:t>
      </w:r>
      <w:r>
        <w:rPr>
          <w:rFonts w:ascii="Calibri" w:cs="Calibri" w:eastAsia="Calibri" w:hAnsi="Calibri"/>
          <w:sz w:val="31"/>
          <w:szCs w:val="31"/>
          <w:color w:val="auto"/>
        </w:rPr>
        <w:t xml:space="preserve"> </w:t>
      </w:r>
      <w:r>
        <w:rPr>
          <w:rFonts w:ascii="Calibri" w:cs="Calibri" w:eastAsia="Calibri" w:hAnsi="Calibri"/>
          <w:sz w:val="31"/>
          <w:szCs w:val="31"/>
          <w:u w:val="single" w:color="auto"/>
          <w:color w:val="auto"/>
        </w:rPr>
        <w:t>Apr 4,</w:t>
      </w:r>
      <w:r>
        <w:rPr>
          <w:rFonts w:ascii="Calibri" w:cs="Calibri" w:eastAsia="Calibri" w:hAnsi="Calibri"/>
          <w:sz w:val="31"/>
          <w:szCs w:val="31"/>
          <w:color w:val="auto"/>
        </w:rPr>
        <w:t xml:space="preserve"> </w:t>
      </w:r>
      <w:r>
        <w:rPr>
          <w:rFonts w:ascii="Calibri" w:cs="Calibri" w:eastAsia="Calibri" w:hAnsi="Calibri"/>
          <w:sz w:val="20"/>
          <w:szCs w:val="20"/>
          <w:u w:val="single" w:color="auto"/>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-44450</wp:posOffset>
            </wp:positionV>
            <wp:extent cx="298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1"/>
          <w:szCs w:val="21"/>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223520</wp:posOffset>
            </wp:positionV>
            <wp:extent cx="2136775" cy="5810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2136775"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b w:val="1"/>
          <w:bCs w:val="1"/>
          <w:color w:val="auto"/>
        </w:rPr>
        <w:t>Notice of Resource Change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26,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Doug Francis Executive Chair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WM Technology, Inc. Dear Mr. Francis:</w:t>
      </w:r>
    </w:p>
    <w:p>
      <w:pPr>
        <w:spacing w:after="0" w:line="117" w:lineRule="exact"/>
        <w:rPr>
          <w:sz w:val="20"/>
          <w:szCs w:val="20"/>
          <w:color w:val="auto"/>
        </w:rPr>
      </w:pPr>
    </w:p>
    <w:p>
      <w:pPr>
        <w:jc w:val="both"/>
        <w:ind w:right="400"/>
        <w:spacing w:after="0" w:line="228" w:lineRule="auto"/>
        <w:rPr>
          <w:sz w:val="20"/>
          <w:szCs w:val="20"/>
          <w:color w:val="auto"/>
        </w:rPr>
      </w:pPr>
      <w:r>
        <w:rPr>
          <w:rFonts w:ascii="Times New Roman" w:cs="Times New Roman" w:eastAsia="Times New Roman" w:hAnsi="Times New Roman"/>
          <w:sz w:val="18"/>
          <w:szCs w:val="18"/>
          <w:color w:val="auto"/>
        </w:rPr>
        <w:t>For the purpose of continuing to provide services under the terms of our Executive Services Agreement dated as of July 16, 2023, SeatonHill Partners, LP is replacing Mary Hoitt with Susan Echard as the CFO Partner on the engagement effective February 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2024. We appreciate the opportunity to continue working with you.</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SeatonHill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196215</wp:posOffset>
            </wp:positionV>
            <wp:extent cx="3159760" cy="3517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315976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 Gregory Coffey Chief Operating Officer</w:t>
      </w:r>
    </w:p>
    <w:p>
      <w:pPr>
        <w:sectPr>
          <w:pgSz w:w="11900" w:h="16838" w:orient="portrait"/>
          <w:cols w:equalWidth="0" w:num="1">
            <w:col w:w="10200"/>
          </w:cols>
          <w:pgMar w:left="1360" w:top="887"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7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Legal Name</w:t>
            </w:r>
          </w:p>
        </w:tc>
        <w:tc>
          <w:tcPr>
            <w:tcW w:w="52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Holding Company,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Spain, S.L.U.</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Spain</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Germany GmbH</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Germany</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Ghost Management Group,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GMG Holdco,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Weedmaps Media,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Discovery Opco,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Enterprise,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Marketplace,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Canada Holdings,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Museum,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Teal,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Retail,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Grow One Software (Canada), Inc.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British Columbia</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Transport Logistics Holding Company,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Loyalty,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WM In-Store Solutions,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Canncurrent,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Deliver Green,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Livery Desk, LLC</w:t>
            </w:r>
          </w:p>
        </w:tc>
        <w:tc>
          <w:tcPr>
            <w:tcW w:w="520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0300"/>
          </w:cols>
          <w:pgMar w:left="1260" w:top="119"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Statements on Form S-1 (File Nos. 333-257774 and 333-261446) and Form S-8 (File Nos. 333-259072, 333-267744 and 333-270647) of WM Technology, Inc. of our report dated March 16, 2023, relating to the consolidated financial statements, which appears in this Annual Report on Form 10-K of WM Technology, Inc.</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 Baker Tilly US, LLP</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Irvine, California</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May 24, 2024</w:t>
      </w:r>
    </w:p>
    <w:p>
      <w:pPr>
        <w:sectPr>
          <w:pgSz w:w="11900" w:h="16838" w:orient="portrait"/>
          <w:cols w:equalWidth="0" w:num="1">
            <w:col w:w="11240"/>
          </w:cols>
          <w:pgMar w:left="320" w:top="119"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Statements on Form S-3 (No. 333-257774 and No. 333-261466) and Form S-8 (No. 333-259072, No. 333-267744 and No. 333-270647) of WM Technology, Inc. (the “Company”), of our report dated May 24, 2024, relating to the consolidated financial statements of the Company and the effectiveness of internal control over financial reporting of the Company (which report expresses an unqualified opinion on the consolidated financial statements and an adverse opinion on the effectiveness of internal control over financial reporting due to material weaknesses), appearing in this Annual Report on Form 10-K of the Company for the year ended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Moss Adams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Irvine, California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24, 2024</w:t>
      </w:r>
    </w:p>
    <w:p>
      <w:pPr>
        <w:sectPr>
          <w:pgSz w:w="11900" w:h="16838" w:orient="portrait"/>
          <w:cols w:equalWidth="0" w:num="1">
            <w:col w:w="11240"/>
          </w:cols>
          <w:pgMar w:left="320" w:top="119"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Francis, certify that: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320" w:hanging="317"/>
        <w:spacing w:after="0" w:line="270" w:lineRule="auto"/>
        <w:tabs>
          <w:tab w:leader="none" w:pos="317"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320" w:right="300" w:hanging="317"/>
        <w:spacing w:after="0" w:line="278" w:lineRule="auto"/>
        <w:tabs>
          <w:tab w:leader="none" w:pos="31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320" w:right="300" w:hanging="317"/>
        <w:spacing w:after="0" w:line="302" w:lineRule="auto"/>
        <w:tabs>
          <w:tab w:leader="none" w:pos="317"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320" w:hanging="317"/>
        <w:spacing w:after="0" w:line="287" w:lineRule="auto"/>
        <w:tabs>
          <w:tab w:leader="none" w:pos="48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320" w:hanging="317"/>
        <w:spacing w:after="0" w:line="287" w:lineRule="auto"/>
        <w:tabs>
          <w:tab w:leader="none" w:pos="53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57" w:right="3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720" w:val="left"/>
          <w:tab w:leader="none" w:pos="6760" w:val="left"/>
          <w:tab w:leader="none" w:pos="74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24,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123825</wp:posOffset>
            </wp:positionV>
            <wp:extent cx="23247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Douglas Francis</w:t>
      </w:r>
    </w:p>
    <w:p>
      <w:pPr>
        <w:spacing w:after="0" w:line="16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Executive Chair</w:t>
      </w:r>
    </w:p>
    <w:p>
      <w:pPr>
        <w:spacing w:after="0" w:line="17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0039"/>
          </w:cols>
          <w:pgMar w:left="420" w:top="1440"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Susan Echard, certify that: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reviewed this Annual Report on Form 10-K of WM Technology Inc.;</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320" w:hanging="317"/>
        <w:spacing w:after="0" w:line="270" w:lineRule="auto"/>
        <w:tabs>
          <w:tab w:leader="none" w:pos="317"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320" w:right="300" w:hanging="317"/>
        <w:spacing w:after="0" w:line="278" w:lineRule="auto"/>
        <w:tabs>
          <w:tab w:leader="none" w:pos="314"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320" w:right="300" w:hanging="317"/>
        <w:spacing w:after="0" w:line="302" w:lineRule="auto"/>
        <w:tabs>
          <w:tab w:leader="none" w:pos="317"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4"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320" w:hanging="317"/>
        <w:spacing w:after="0" w:line="287" w:lineRule="auto"/>
        <w:tabs>
          <w:tab w:leader="none" w:pos="48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320" w:hanging="317"/>
        <w:spacing w:after="0" w:line="287" w:lineRule="auto"/>
        <w:tabs>
          <w:tab w:leader="none" w:pos="531"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57" w:right="339" w:bottom="1440" w:gutter="0" w:footer="0" w:header="0"/>
        </w:sectPr>
      </w:pPr>
    </w:p>
    <w:bookmarkStart w:id="167" w:name="page168"/>
    <w:bookmarkEnd w:id="167"/>
    <w:p>
      <w:pPr>
        <w:spacing w:after="0" w:line="63" w:lineRule="exact"/>
        <w:rPr>
          <w:sz w:val="20"/>
          <w:szCs w:val="20"/>
          <w:color w:val="auto"/>
        </w:rPr>
      </w:pPr>
    </w:p>
    <w:p>
      <w:pPr>
        <w:spacing w:after="0"/>
        <w:tabs>
          <w:tab w:leader="none" w:pos="720" w:val="left"/>
          <w:tab w:leader="none" w:pos="6760" w:val="left"/>
          <w:tab w:leader="none" w:pos="75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24,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123825</wp:posOffset>
            </wp:positionV>
            <wp:extent cx="23247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19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Susan Echard</w:t>
      </w:r>
    </w:p>
    <w:p>
      <w:pPr>
        <w:spacing w:after="0" w:line="16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ectPr>
          <w:pgSz w:w="11900" w:h="16838" w:orient="portrait"/>
          <w:cols w:equalWidth="0" w:num="1">
            <w:col w:w="10460"/>
          </w:cols>
          <w:pgMar w:left="440" w:top="1440" w:right="999" w:bottom="1440" w:gutter="0" w:footer="0" w:header="0"/>
        </w:sectPr>
      </w:pPr>
    </w:p>
    <w:bookmarkStart w:id="168" w:name="page169"/>
    <w:bookmarkEnd w:id="168"/>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Douglas Francis, the Executive Officer of WM Technology, Inc., certify, pursuant to 18 U.S.C. Section 1350, as adopted pursuant to Section 906 of the Sarbanes-Oxley Act of 2002, that the Annual Report on Form 10-K of WM Technology, Inc. for the annual period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20"/>
        <w:spacing w:after="0"/>
        <w:tabs>
          <w:tab w:leader="none" w:pos="840" w:val="left"/>
          <w:tab w:leader="none" w:pos="6880" w:val="left"/>
          <w:tab w:leader="none" w:pos="75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24,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58420</wp:posOffset>
            </wp:positionV>
            <wp:extent cx="23247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Douglas Francis</w:t>
      </w:r>
    </w:p>
    <w:p>
      <w:pPr>
        <w:spacing w:after="0" w:line="10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Executive Chair</w:t>
      </w:r>
    </w:p>
    <w:p>
      <w:pPr>
        <w:spacing w:after="0" w:line="9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Susan Echard, the Interim Chief Financial Officer of WM Technology, Inc., certify, pursuant to 18 U.S.C. Section 1350, as adopted pursuant to Section 906 of the Sarbanes-Oxley Act of 2002, that the Annual Report on Form 10-K of WM Technology, Inc. for the annual period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WM Technology, Inc.</w:t>
      </w:r>
    </w:p>
    <w:p>
      <w:pPr>
        <w:spacing w:after="0" w:line="133"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May 24,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58420</wp:posOffset>
            </wp:positionV>
            <wp:extent cx="23247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Susan Echard</w:t>
      </w:r>
    </w:p>
    <w:p>
      <w:pPr>
        <w:spacing w:after="0" w:line="10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9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w:t>
      </w:r>
    </w:p>
    <w:p>
      <w:pPr>
        <w:spacing w:after="0" w:line="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i w:val="1"/>
          <w:iCs w:val="1"/>
          <w:color w:val="auto"/>
        </w:rPr>
        <w:t>Accounting Officer)</w:t>
      </w:r>
    </w:p>
    <w:p>
      <w:pPr>
        <w:spacing w:after="0" w:line="200" w:lineRule="exact"/>
        <w:rPr>
          <w:sz w:val="20"/>
          <w:szCs w:val="20"/>
          <w:color w:val="auto"/>
        </w:rPr>
      </w:pPr>
    </w:p>
    <w:p>
      <w:pPr>
        <w:spacing w:after="0" w:line="374" w:lineRule="exact"/>
        <w:rPr>
          <w:sz w:val="20"/>
          <w:szCs w:val="20"/>
          <w:color w:val="auto"/>
        </w:rPr>
      </w:pPr>
    </w:p>
    <w:p>
      <w:pPr>
        <w:jc w:val="both"/>
        <w:ind w:left="60"/>
        <w:spacing w:after="0" w:line="264" w:lineRule="auto"/>
        <w:rPr>
          <w:sz w:val="20"/>
          <w:szCs w:val="20"/>
          <w:color w:val="auto"/>
        </w:rPr>
      </w:pPr>
      <w:r>
        <w:rPr>
          <w:rFonts w:ascii="Times New Roman" w:cs="Times New Roman" w:eastAsia="Times New Roman" w:hAnsi="Times New Roman"/>
          <w:sz w:val="17"/>
          <w:szCs w:val="17"/>
          <w:color w:val="auto"/>
        </w:rPr>
        <w:t>This certification accompanies the Annual Report on Form 10-K of WM Technology, Inc. for the annual period ended December 31, 2023, is not deemed filed with the Securities and Exchange Commission and is not to be incorporated by reference into any filing of WM Technology, Inc. under the Securities Act of 1933, as amended, or the Securities Exchange Act of 1934, as amended (whether made before or after the date of such Annual Report on Form 10-K), irrespective of any general incorporation language contained in such filing.</w:t>
      </w:r>
    </w:p>
    <w:p>
      <w:pPr>
        <w:sectPr>
          <w:pgSz w:w="11900" w:h="16838" w:orient="portrait"/>
          <w:cols w:equalWidth="0" w:num="1">
            <w:col w:w="11240"/>
          </w:cols>
          <w:pgMar w:left="320" w:top="144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4"/>
          <w:szCs w:val="24"/>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WM Technology,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Incentive Compensation Recoupment Policy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Approved and Adopted by the Board of Directors: April 20, 2023 Effective: April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5108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510857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231" w:lineRule="exact"/>
        <w:rPr>
          <w:sz w:val="20"/>
          <w:szCs w:val="20"/>
          <w:color w:val="auto"/>
        </w:rPr>
      </w:pPr>
    </w:p>
    <w:p>
      <w:pPr>
        <w:ind w:left="100" w:right="100" w:firstLine="618"/>
        <w:spacing w:after="0" w:line="231" w:lineRule="auto"/>
        <w:rPr>
          <w:sz w:val="20"/>
          <w:szCs w:val="20"/>
          <w:color w:val="auto"/>
        </w:rPr>
      </w:pPr>
      <w:r>
        <w:rPr>
          <w:rFonts w:ascii="Times New Roman" w:cs="Times New Roman" w:eastAsia="Times New Roman" w:hAnsi="Times New Roman"/>
          <w:sz w:val="18"/>
          <w:szCs w:val="18"/>
          <w:color w:val="auto"/>
        </w:rPr>
        <w:t>WM Technology,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Incentive Compensation Recoupment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provide for the Company’s recoupment of certain Incentive Compensation (as defined below) paid to Covered Officers (as defined below) of the Company under</w:t>
      </w:r>
    </w:p>
    <w:p>
      <w:pPr>
        <w:spacing w:after="0" w:line="1" w:lineRule="exact"/>
        <w:rPr>
          <w:sz w:val="20"/>
          <w:szCs w:val="20"/>
          <w:color w:val="auto"/>
        </w:rPr>
      </w:pPr>
    </w:p>
    <w:p>
      <w:pPr>
        <w:ind w:left="100" w:right="100"/>
        <w:spacing w:after="0" w:line="229" w:lineRule="auto"/>
        <w:rPr>
          <w:sz w:val="20"/>
          <w:szCs w:val="20"/>
          <w:color w:val="auto"/>
        </w:rPr>
      </w:pPr>
      <w:r>
        <w:rPr>
          <w:rFonts w:ascii="Times New Roman" w:cs="Times New Roman" w:eastAsia="Times New Roman" w:hAnsi="Times New Roman"/>
          <w:sz w:val="19"/>
          <w:szCs w:val="19"/>
          <w:color w:val="auto"/>
        </w:rPr>
        <w:t>certain circumstances. 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may delegate determinations to be made under the Policy to a committee of the Board (“</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ind w:left="100" w:right="100" w:firstLine="619"/>
        <w:spacing w:after="0" w:line="223" w:lineRule="auto"/>
        <w:rPr>
          <w:sz w:val="20"/>
          <w:szCs w:val="20"/>
          <w:color w:val="auto"/>
        </w:rPr>
      </w:pPr>
      <w:r>
        <w:rPr>
          <w:rFonts w:ascii="Times New Roman" w:cs="Times New Roman" w:eastAsia="Times New Roman" w:hAnsi="Times New Roman"/>
          <w:sz w:val="19"/>
          <w:szCs w:val="19"/>
          <w:color w:val="auto"/>
        </w:rPr>
        <w:t>This Policy shall be administered by the Board or Committee and, except as specifically provided herein, the Board or Committee, as applicable, shall have full and final authority to make any and all determinations required under this Policy. Any determination by the Board or</w:t>
      </w:r>
    </w:p>
    <w:p>
      <w:pPr>
        <w:spacing w:after="0" w:line="1" w:lineRule="exact"/>
        <w:rPr>
          <w:sz w:val="20"/>
          <w:szCs w:val="20"/>
          <w:color w:val="auto"/>
        </w:rPr>
      </w:pPr>
    </w:p>
    <w:p>
      <w:pPr>
        <w:ind w:left="100" w:right="100"/>
        <w:spacing w:after="0" w:line="222" w:lineRule="auto"/>
        <w:rPr>
          <w:sz w:val="20"/>
          <w:szCs w:val="20"/>
          <w:color w:val="auto"/>
        </w:rPr>
      </w:pPr>
      <w:r>
        <w:rPr>
          <w:rFonts w:ascii="Times New Roman" w:cs="Times New Roman" w:eastAsia="Times New Roman" w:hAnsi="Times New Roman"/>
          <w:sz w:val="19"/>
          <w:szCs w:val="19"/>
          <w:color w:val="auto"/>
        </w:rPr>
        <w:t>Committee (as reflected in the minutes of the meetings of the Board or Committee), as applicable, with respect to this Policy shall be final, conclusive and binding on all interested parties.</w:t>
      </w:r>
    </w:p>
    <w:p>
      <w:pPr>
        <w:spacing w:after="0" w:line="156" w:lineRule="exact"/>
        <w:rPr>
          <w:sz w:val="20"/>
          <w:szCs w:val="20"/>
          <w:color w:val="auto"/>
        </w:rPr>
      </w:pPr>
    </w:p>
    <w:p>
      <w:pPr>
        <w:ind w:left="100" w:right="100" w:firstLine="619"/>
        <w:spacing w:after="0"/>
        <w:rPr>
          <w:sz w:val="20"/>
          <w:szCs w:val="20"/>
          <w:color w:val="auto"/>
        </w:rPr>
      </w:pPr>
      <w:r>
        <w:rPr>
          <w:rFonts w:ascii="Times New Roman" w:cs="Times New Roman" w:eastAsia="Times New Roman" w:hAnsi="Times New Roman"/>
          <w:sz w:val="19"/>
          <w:szCs w:val="19"/>
          <w:color w:val="auto"/>
        </w:rPr>
        <w:t>This Policy may be revised upon the effectiveness of new listing standards proposed to be adopted by The Nasdaq Stock Market (the “</w:t>
      </w:r>
      <w:r>
        <w:rPr>
          <w:rFonts w:ascii="Times New Roman" w:cs="Times New Roman" w:eastAsia="Times New Roman" w:hAnsi="Times New Roman"/>
          <w:sz w:val="19"/>
          <w:szCs w:val="19"/>
          <w:b w:val="1"/>
          <w:bCs w:val="1"/>
          <w:i w:val="1"/>
          <w:iCs w:val="1"/>
          <w:color w:val="auto"/>
        </w:rPr>
        <w:t>Exchange</w:t>
      </w:r>
      <w:r>
        <w:rPr>
          <w:rFonts w:ascii="Times New Roman" w:cs="Times New Roman" w:eastAsia="Times New Roman" w:hAnsi="Times New Roman"/>
          <w:sz w:val="19"/>
          <w:szCs w:val="19"/>
          <w:color w:val="auto"/>
        </w:rPr>
        <w:t>”) pursuant to Rule 10D-1 under the Securities Exchange Act of 1934, as amended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Effective Date</w:t>
      </w:r>
    </w:p>
    <w:p>
      <w:pPr>
        <w:spacing w:after="0" w:line="244" w:lineRule="exact"/>
        <w:rPr>
          <w:sz w:val="20"/>
          <w:szCs w:val="20"/>
          <w:color w:val="auto"/>
        </w:rPr>
      </w:pPr>
    </w:p>
    <w:p>
      <w:pPr>
        <w:ind w:left="100" w:right="100" w:firstLine="619"/>
        <w:spacing w:after="0" w:line="275" w:lineRule="auto"/>
        <w:rPr>
          <w:sz w:val="20"/>
          <w:szCs w:val="20"/>
          <w:color w:val="auto"/>
        </w:rPr>
      </w:pPr>
      <w:r>
        <w:rPr>
          <w:rFonts w:ascii="Times New Roman" w:cs="Times New Roman" w:eastAsia="Times New Roman" w:hAnsi="Times New Roman"/>
          <w:sz w:val="19"/>
          <w:szCs w:val="19"/>
          <w:color w:val="auto"/>
        </w:rPr>
        <w:t>This Policy shall apply to all Incentive Compensation paid or awarded on or after the date of adoption of this Policy (the “</w:t>
      </w:r>
      <w:r>
        <w:rPr>
          <w:rFonts w:ascii="Times New Roman" w:cs="Times New Roman" w:eastAsia="Times New Roman" w:hAnsi="Times New Roman"/>
          <w:sz w:val="19"/>
          <w:szCs w:val="19"/>
          <w:b w:val="1"/>
          <w:bCs w:val="1"/>
          <w:i w:val="1"/>
          <w:iCs w:val="1"/>
          <w:color w:val="auto"/>
        </w:rPr>
        <w:t>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as and to the extent permitted by applicable law.</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For purposes of this Policy, the following terms shall have the meanings set forth below: “</w:t>
      </w:r>
      <w:r>
        <w:rPr>
          <w:rFonts w:ascii="Times New Roman" w:cs="Times New Roman" w:eastAsia="Times New Roman" w:hAnsi="Times New Roman"/>
          <w:sz w:val="19"/>
          <w:szCs w:val="19"/>
          <w:b w:val="1"/>
          <w:bCs w:val="1"/>
          <w:i w:val="1"/>
          <w:iCs w:val="1"/>
          <w:color w:val="auto"/>
        </w:rPr>
        <w:t>Accounting Restatement</w:t>
      </w:r>
      <w:r>
        <w:rPr>
          <w:rFonts w:ascii="Times New Roman" w:cs="Times New Roman" w:eastAsia="Times New Roman" w:hAnsi="Times New Roman"/>
          <w:sz w:val="19"/>
          <w:szCs w:val="19"/>
          <w:color w:val="auto"/>
        </w:rPr>
        <w:t>” means the Company</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is required to prepare an accounting restatement</w:t>
      </w:r>
    </w:p>
    <w:p>
      <w:pPr>
        <w:spacing w:after="0" w:line="142" w:lineRule="exact"/>
        <w:rPr>
          <w:sz w:val="20"/>
          <w:szCs w:val="20"/>
          <w:color w:val="auto"/>
        </w:rPr>
      </w:pPr>
    </w:p>
    <w:p>
      <w:pPr>
        <w:ind w:left="100" w:right="460"/>
        <w:spacing w:after="0" w:line="269" w:lineRule="auto"/>
        <w:rPr>
          <w:sz w:val="20"/>
          <w:szCs w:val="20"/>
          <w:color w:val="auto"/>
        </w:rPr>
      </w:pPr>
      <w:r>
        <w:rPr>
          <w:rFonts w:ascii="Times New Roman" w:cs="Times New Roman" w:eastAsia="Times New Roman" w:hAnsi="Times New Roman"/>
          <w:sz w:val="19"/>
          <w:szCs w:val="19"/>
          <w:color w:val="auto"/>
        </w:rPr>
        <w:t>(including both “big R” and “little r” restatements) for any fiscal quarter or year due to the material noncompliance of the Company with any financial reporting requirement under the federal securities laws.</w:t>
      </w:r>
    </w:p>
    <w:p>
      <w:pPr>
        <w:spacing w:after="0" w:line="136" w:lineRule="exact"/>
        <w:rPr>
          <w:sz w:val="20"/>
          <w:szCs w:val="20"/>
          <w:color w:val="auto"/>
        </w:rPr>
      </w:pPr>
    </w:p>
    <w:p>
      <w:pPr>
        <w:ind w:left="100" w:right="100" w:firstLine="619"/>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Officer</w:t>
      </w:r>
      <w:r>
        <w:rPr>
          <w:rFonts w:ascii="Times New Roman" w:cs="Times New Roman" w:eastAsia="Times New Roman" w:hAnsi="Times New Roman"/>
          <w:sz w:val="19"/>
          <w:szCs w:val="19"/>
          <w:color w:val="auto"/>
        </w:rPr>
        <w:t>” means a current or former Executive Officer who served in such role at during the period subject to (i) an Accounting Restatement or (ii) a pending or completed action, investigation, inquiry, hearing or proceeding brought by the SEC relating to the Company’s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Financial Reporting or Key Operating Measures for which an SEC Payment was made.</w:t>
      </w:r>
    </w:p>
    <w:p>
      <w:pPr>
        <w:spacing w:after="0" w:line="155" w:lineRule="exact"/>
        <w:rPr>
          <w:sz w:val="20"/>
          <w:szCs w:val="20"/>
          <w:color w:val="auto"/>
        </w:rPr>
      </w:pPr>
    </w:p>
    <w:p>
      <w:pPr>
        <w:jc w:val="both"/>
        <w:ind w:left="100" w:right="100" w:firstLine="618"/>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 Officer</w:t>
      </w:r>
      <w:r>
        <w:rPr>
          <w:rFonts w:ascii="Times New Roman" w:cs="Times New Roman" w:eastAsia="Times New Roman" w:hAnsi="Times New Roman"/>
          <w:sz w:val="19"/>
          <w:szCs w:val="19"/>
          <w:color w:val="auto"/>
        </w:rPr>
        <w:t>” means the Company’s president, principal financial officer, principal accounting officer (or if there is no such accounting officer, the controller), any vice-president of the Company in charge of a principal business unit, division, or function (such as sales,</w:t>
      </w:r>
    </w:p>
    <w:p>
      <w:pPr>
        <w:jc w:val="center"/>
        <w:spacing w:after="0" w:line="213" w:lineRule="auto"/>
        <w:rPr>
          <w:sz w:val="20"/>
          <w:szCs w:val="20"/>
          <w:color w:val="auto"/>
        </w:rPr>
      </w:pPr>
      <w:r>
        <w:rPr>
          <w:rFonts w:ascii="Times New Roman" w:cs="Times New Roman" w:eastAsia="Times New Roman" w:hAnsi="Times New Roman"/>
          <w:sz w:val="19"/>
          <w:szCs w:val="19"/>
          <w:color w:val="auto"/>
        </w:rPr>
        <w:t>administration, or finance), any other officer who performs a policy-making function, or any other person who performs similar policy-making</w:t>
      </w:r>
    </w:p>
    <w:p>
      <w:pPr>
        <w:spacing w:after="0" w:line="1" w:lineRule="exact"/>
        <w:rPr>
          <w:sz w:val="20"/>
          <w:szCs w:val="20"/>
          <w:color w:val="auto"/>
        </w:rPr>
      </w:pP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functions for the Company. Officers of any subsidiary or parent of the Company, as applicable, are deemed to be Executive Officers if they perform such policy-making functions for theCompany. Policy-making function is not intended to include policy-making functions that are not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88"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4"/>
          <w:szCs w:val="24"/>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or Key Operating Measures</w:t>
      </w:r>
      <w:r>
        <w:rPr>
          <w:rFonts w:ascii="Times New Roman" w:cs="Times New Roman" w:eastAsia="Times New Roman" w:hAnsi="Times New Roman"/>
          <w:sz w:val="19"/>
          <w:szCs w:val="19"/>
          <w:color w:val="auto"/>
        </w:rPr>
        <w:t>” means (i) measures that are determined and presented in accordance with the</w:t>
      </w:r>
    </w:p>
    <w:p>
      <w:pPr>
        <w:spacing w:after="0" w:line="1" w:lineRule="exact"/>
        <w:rPr>
          <w:sz w:val="20"/>
          <w:szCs w:val="20"/>
          <w:color w:val="auto"/>
        </w:rPr>
      </w:pP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accounting principles used in preparing the Company’s financial statements, and any measures derived wholly or in part from such measures, including non-generally accepted accounting principles (“</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financial measures, and other measures, metrics and ratios that are not non-</w:t>
      </w:r>
    </w:p>
    <w:p>
      <w:pPr>
        <w:jc w:val="center"/>
        <w:spacing w:after="0" w:line="213" w:lineRule="auto"/>
        <w:rPr>
          <w:sz w:val="20"/>
          <w:szCs w:val="20"/>
          <w:color w:val="auto"/>
        </w:rPr>
      </w:pPr>
      <w:r>
        <w:rPr>
          <w:rFonts w:ascii="Times New Roman" w:cs="Times New Roman" w:eastAsia="Times New Roman" w:hAnsi="Times New Roman"/>
          <w:sz w:val="19"/>
          <w:szCs w:val="19"/>
          <w:color w:val="auto"/>
        </w:rPr>
        <w:t>GAAP measures, regardless of whether such measures are included in an SEC filing or presented within the financial statements, including stock</w:t>
      </w: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price and total stockholder return and (ii) any measures or metrics which are disclosed under the section titled “Key Operating and Financial Metrics” or a similar name in the Company’s Management’s Discussion and Analysis of Financial Condition and Results of Operations in the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Company’s annual reports on Form 10-K, quarterly reports on Form 10-Q, or a registration statement filed with the SEC.</w:t>
      </w:r>
    </w:p>
    <w:p>
      <w:pPr>
        <w:spacing w:after="0" w:line="155" w:lineRule="exact"/>
        <w:rPr>
          <w:sz w:val="20"/>
          <w:szCs w:val="20"/>
          <w:color w:val="auto"/>
        </w:rPr>
      </w:pPr>
    </w:p>
    <w:p>
      <w:pPr>
        <w:ind w:left="100" w:right="100" w:firstLine="619"/>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Compensation</w:t>
      </w:r>
      <w:r>
        <w:rPr>
          <w:rFonts w:ascii="Times New Roman" w:cs="Times New Roman" w:eastAsia="Times New Roman" w:hAnsi="Times New Roman"/>
          <w:sz w:val="19"/>
          <w:szCs w:val="19"/>
          <w:color w:val="auto"/>
        </w:rPr>
        <w:t>” means any compensation that is granted, earned or vested based wholly or in part on the attainment of a Financial Reporting or Key Operating Measure after the Effective Date. For the avoidance of doubt, equity awards for which vesting is</w:t>
      </w:r>
    </w:p>
    <w:p>
      <w:pPr>
        <w:jc w:val="center"/>
        <w:spacing w:after="0" w:line="213" w:lineRule="auto"/>
        <w:rPr>
          <w:sz w:val="20"/>
          <w:szCs w:val="20"/>
          <w:color w:val="auto"/>
        </w:rPr>
      </w:pPr>
      <w:r>
        <w:rPr>
          <w:rFonts w:ascii="Times New Roman" w:cs="Times New Roman" w:eastAsia="Times New Roman" w:hAnsi="Times New Roman"/>
          <w:sz w:val="19"/>
          <w:szCs w:val="19"/>
          <w:color w:val="auto"/>
        </w:rPr>
        <w:t>contingent solely upon the completion of a specified employment period and/or attaining one or more performance measures that are not</w:t>
      </w:r>
    </w:p>
    <w:p>
      <w:pPr>
        <w:spacing w:after="0" w:line="1" w:lineRule="exact"/>
        <w:rPr>
          <w:sz w:val="20"/>
          <w:szCs w:val="20"/>
          <w:color w:val="auto"/>
        </w:rPr>
      </w:pP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Financial Reporting or Key Operating Measures (and that were not granted contingent upon achieving any performance goal relating to a Financial Reporting or Key Operating Measure) are not deemed to be based on the attainment of a Financial Reporting or Key Operating</w:t>
      </w:r>
    </w:p>
    <w:p>
      <w:pPr>
        <w:jc w:val="center"/>
        <w:spacing w:after="0" w:line="213" w:lineRule="auto"/>
        <w:rPr>
          <w:sz w:val="20"/>
          <w:szCs w:val="20"/>
          <w:color w:val="auto"/>
        </w:rPr>
      </w:pPr>
      <w:r>
        <w:rPr>
          <w:rFonts w:ascii="Times New Roman" w:cs="Times New Roman" w:eastAsia="Times New Roman" w:hAnsi="Times New Roman"/>
          <w:sz w:val="19"/>
          <w:szCs w:val="19"/>
          <w:color w:val="auto"/>
        </w:rPr>
        <w:t>Measure for purposes of this Policy. For the avoidance of doubt, Incentive Compensation is deemed received in the Company’s fiscal period</w:t>
      </w:r>
    </w:p>
    <w:p>
      <w:pPr>
        <w:ind w:left="100" w:right="100"/>
        <w:spacing w:after="0" w:line="222" w:lineRule="auto"/>
        <w:rPr>
          <w:sz w:val="20"/>
          <w:szCs w:val="20"/>
          <w:color w:val="auto"/>
        </w:rPr>
      </w:pPr>
      <w:r>
        <w:rPr>
          <w:rFonts w:ascii="Times New Roman" w:cs="Times New Roman" w:eastAsia="Times New Roman" w:hAnsi="Times New Roman"/>
          <w:sz w:val="19"/>
          <w:szCs w:val="19"/>
          <w:color w:val="auto"/>
        </w:rPr>
        <w:t>during which the Financial Reporting or Key Operating Measure(s) specified in the Incentive Compensation award is attained, even if the payment or grant of the Incentive Compensation occurs after the end of that period.</w:t>
      </w:r>
    </w:p>
    <w:p>
      <w:pPr>
        <w:spacing w:after="0" w:line="150" w:lineRule="exact"/>
        <w:rPr>
          <w:sz w:val="20"/>
          <w:szCs w:val="20"/>
          <w:color w:val="auto"/>
        </w:rPr>
      </w:pPr>
    </w:p>
    <w:p>
      <w:pPr>
        <w:ind w:left="100" w:right="100" w:firstLine="619"/>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date on which the Company is required to prepare the Accounting Restatement or make an SEC Payment, and any transition period (that results from a change in the Company’s fiscal year) within</w:t>
      </w:r>
    </w:p>
    <w:p>
      <w:pPr>
        <w:jc w:val="center"/>
        <w:spacing w:after="0" w:line="213" w:lineRule="auto"/>
        <w:rPr>
          <w:sz w:val="20"/>
          <w:szCs w:val="20"/>
          <w:color w:val="auto"/>
        </w:rPr>
      </w:pPr>
      <w:r>
        <w:rPr>
          <w:rFonts w:ascii="Times New Roman" w:cs="Times New Roman" w:eastAsia="Times New Roman" w:hAnsi="Times New Roman"/>
          <w:sz w:val="19"/>
          <w:szCs w:val="19"/>
          <w:color w:val="auto"/>
        </w:rPr>
        <w:t>or immediately following those three completed fiscal years; provided, that a transition period between the last day of the Company’s previous</w:t>
      </w:r>
    </w:p>
    <w:p>
      <w:pPr>
        <w:spacing w:after="0" w:line="1" w:lineRule="exact"/>
        <w:rPr>
          <w:sz w:val="20"/>
          <w:szCs w:val="20"/>
          <w:color w:val="auto"/>
        </w:rPr>
      </w:pP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fiscal year end and the first day of its new fiscal year that comprises a period of nine to 12 months would be deemed a completed fiscal year. For purposes of determining the Lookback Period, the date that a Company is required to prepare an Accounting Restatement or make an SEC</w:t>
      </w:r>
    </w:p>
    <w:p>
      <w:pPr>
        <w:jc w:val="center"/>
        <w:spacing w:after="0" w:line="213" w:lineRule="auto"/>
        <w:rPr>
          <w:sz w:val="20"/>
          <w:szCs w:val="20"/>
          <w:color w:val="auto"/>
        </w:rPr>
      </w:pPr>
      <w:r>
        <w:rPr>
          <w:rFonts w:ascii="Times New Roman" w:cs="Times New Roman" w:eastAsia="Times New Roman" w:hAnsi="Times New Roman"/>
          <w:sz w:val="19"/>
          <w:szCs w:val="19"/>
          <w:color w:val="auto"/>
        </w:rPr>
        <w:t>Payment is the earlier to occur of: (a) the date the Board, a committee of the Board, or the officer or officers of the Company authorized to take</w:t>
      </w: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such action if Board action is not required, concludes, or reasonably should have concluded, that the Company is required to prepare an Accounting Restatement or to make an SEC Payment; or (b) the date a court, regulator, or other legally authorized body directs the Company to</w:t>
      </w:r>
    </w:p>
    <w:p>
      <w:pPr>
        <w:spacing w:after="0" w:line="1" w:lineRule="exact"/>
        <w:rPr>
          <w:sz w:val="20"/>
          <w:szCs w:val="20"/>
          <w:color w:val="auto"/>
        </w:rPr>
      </w:pPr>
    </w:p>
    <w:p>
      <w:pPr>
        <w:ind w:left="100" w:right="100"/>
        <w:spacing w:after="0" w:line="229" w:lineRule="auto"/>
        <w:rPr>
          <w:sz w:val="20"/>
          <w:szCs w:val="20"/>
          <w:color w:val="auto"/>
        </w:rPr>
      </w:pPr>
      <w:r>
        <w:rPr>
          <w:rFonts w:ascii="Times New Roman" w:cs="Times New Roman" w:eastAsia="Times New Roman" w:hAnsi="Times New Roman"/>
          <w:sz w:val="19"/>
          <w:szCs w:val="19"/>
          <w:color w:val="auto"/>
        </w:rPr>
        <w:t>prepare an Accounting Restatement or make an SEC Payment. For the avoidance of doubt, the Company’s obligation to recover Recoverable Incentive Compensation is not dependent on if or when the restated financial statements are filed.</w:t>
      </w:r>
    </w:p>
    <w:p>
      <w:pPr>
        <w:spacing w:after="0" w:line="137" w:lineRule="exact"/>
        <w:rPr>
          <w:sz w:val="20"/>
          <w:szCs w:val="20"/>
          <w:color w:val="auto"/>
        </w:rPr>
      </w:pPr>
    </w:p>
    <w:p>
      <w:pPr>
        <w:ind w:left="100" w:right="100"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 Rata Share</w:t>
      </w:r>
      <w:r>
        <w:rPr>
          <w:rFonts w:ascii="Times New Roman" w:cs="Times New Roman" w:eastAsia="Times New Roman" w:hAnsi="Times New Roman"/>
          <w:sz w:val="19"/>
          <w:szCs w:val="19"/>
          <w:color w:val="auto"/>
        </w:rPr>
        <w:t>” means, for any Covered Officer, the aggregate amount of the SEC Payments divided by the total number of Covered Officers serving as Covered Officers of the Company during the Lookback Period.</w:t>
      </w:r>
    </w:p>
    <w:p>
      <w:pPr>
        <w:spacing w:after="0" w:line="143" w:lineRule="exact"/>
        <w:rPr>
          <w:sz w:val="20"/>
          <w:szCs w:val="20"/>
          <w:color w:val="auto"/>
        </w:rPr>
      </w:pPr>
    </w:p>
    <w:p>
      <w:pPr>
        <w:ind w:left="100" w:right="100" w:firstLine="619"/>
        <w:spacing w:after="0" w:line="21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Recoverable Incentive Compensation</w:t>
      </w:r>
      <w:r>
        <w:rPr>
          <w:rFonts w:ascii="Times New Roman" w:cs="Times New Roman" w:eastAsia="Times New Roman" w:hAnsi="Times New Roman"/>
          <w:sz w:val="19"/>
          <w:szCs w:val="19"/>
          <w:color w:val="auto"/>
        </w:rPr>
        <w:t>” means, (a) in the case of an Accounting Restatement, Incentive Compensation granted, vested or paid to a Covered Officer during the Lookback Period that exceeds the amount of Incentive Compensation that would have been received had</w:t>
      </w:r>
    </w:p>
    <w:p>
      <w:pPr>
        <w:jc w:val="center"/>
        <w:spacing w:after="0" w:line="213" w:lineRule="auto"/>
        <w:rPr>
          <w:sz w:val="20"/>
          <w:szCs w:val="20"/>
          <w:color w:val="auto"/>
        </w:rPr>
      </w:pPr>
      <w:r>
        <w:rPr>
          <w:rFonts w:ascii="Times New Roman" w:cs="Times New Roman" w:eastAsia="Times New Roman" w:hAnsi="Times New Roman"/>
          <w:sz w:val="19"/>
          <w:szCs w:val="19"/>
          <w:color w:val="auto"/>
        </w:rPr>
        <w:t>such amount been determined based on the Accounting Restatement, without regard to taxes paid or (b) in the case of an SEC Payment, (i)</w:t>
      </w:r>
    </w:p>
    <w:p>
      <w:pPr>
        <w:spacing w:after="0" w:line="1" w:lineRule="exact"/>
        <w:rPr>
          <w:sz w:val="20"/>
          <w:szCs w:val="20"/>
          <w:color w:val="auto"/>
        </w:rPr>
      </w:pP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Incentive Compensation granted, vested or paid to a Covered Officer during the Lookback Period equal in value to the Covered Officer’s Pro Rata Share or (ii) if the aggregate value of the Incentive Compensation granted, vested or paid to a Covered Officer during the Lookback Period</w:t>
      </w:r>
    </w:p>
    <w:p>
      <w:pPr>
        <w:spacing w:after="0" w:line="1" w:lineRule="exact"/>
        <w:rPr>
          <w:sz w:val="20"/>
          <w:szCs w:val="20"/>
          <w:color w:val="auto"/>
        </w:rPr>
      </w:pP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is less than the Covered Officer’s Pro Rata Share, all of the Covered Officer’s Incentive Compensation granted, vested or paid to the Covered Officer during the Lookback Period. For clarity, Incentive Compensation granted during the Lookback Period but scheduled to vest or be paid in</w:t>
      </w:r>
    </w:p>
    <w:p>
      <w:pPr>
        <w:jc w:val="center"/>
        <w:spacing w:after="0" w:line="213" w:lineRule="auto"/>
        <w:rPr>
          <w:sz w:val="20"/>
          <w:szCs w:val="20"/>
          <w:color w:val="auto"/>
        </w:rPr>
      </w:pPr>
      <w:r>
        <w:rPr>
          <w:rFonts w:ascii="Times New Roman" w:cs="Times New Roman" w:eastAsia="Times New Roman" w:hAnsi="Times New Roman"/>
          <w:sz w:val="19"/>
          <w:szCs w:val="19"/>
          <w:color w:val="auto"/>
        </w:rPr>
        <w:t>a future year shall be considered Recoverable Incentive Compensation for purposes of this Policy. For Incentive Compensation based on stock</w:t>
      </w:r>
    </w:p>
    <w:p>
      <w:pPr>
        <w:ind w:left="100" w:right="100"/>
        <w:spacing w:after="0" w:line="205" w:lineRule="auto"/>
        <w:rPr>
          <w:sz w:val="20"/>
          <w:szCs w:val="20"/>
          <w:color w:val="auto"/>
        </w:rPr>
      </w:pPr>
      <w:r>
        <w:rPr>
          <w:rFonts w:ascii="Times New Roman" w:cs="Times New Roman" w:eastAsia="Times New Roman" w:hAnsi="Times New Roman"/>
          <w:sz w:val="19"/>
          <w:szCs w:val="19"/>
          <w:color w:val="auto"/>
        </w:rPr>
        <w:t>price or total stockholder return, where the amount of Recoverable Incentive Compensation is not subject to mathematical recalculation directly from the information in an Accounting Restatement: (a) the amount must be based on a reasonable estimate of the effect of the Accounting</w:t>
      </w:r>
    </w:p>
    <w:p>
      <w:pPr>
        <w:spacing w:after="0" w:line="1" w:lineRule="exact"/>
        <w:rPr>
          <w:sz w:val="20"/>
          <w:szCs w:val="20"/>
          <w:color w:val="auto"/>
        </w:rPr>
      </w:pPr>
    </w:p>
    <w:p>
      <w:pPr>
        <w:ind w:left="100" w:right="100"/>
        <w:spacing w:after="0" w:line="229" w:lineRule="auto"/>
        <w:rPr>
          <w:sz w:val="20"/>
          <w:szCs w:val="20"/>
          <w:color w:val="auto"/>
        </w:rPr>
      </w:pPr>
      <w:r>
        <w:rPr>
          <w:rFonts w:ascii="Times New Roman" w:cs="Times New Roman" w:eastAsia="Times New Roman" w:hAnsi="Times New Roman"/>
          <w:sz w:val="19"/>
          <w:szCs w:val="19"/>
          <w:color w:val="auto"/>
        </w:rPr>
        <w:t>Restatement on the stock price or total stockholder return upon which the Incentive Compensation was received; and (b) the Company must maintain documentation of the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88"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4"/>
          <w:szCs w:val="24"/>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of that reasonable estimate and provide such documentation to the Exchange. The value of non-cash Incentive Compensation for the purposes of</w:t>
      </w:r>
    </w:p>
    <w:p>
      <w:pPr>
        <w:jc w:val="both"/>
        <w:ind w:left="100" w:right="100"/>
        <w:spacing w:after="0" w:line="222" w:lineRule="auto"/>
        <w:rPr>
          <w:sz w:val="20"/>
          <w:szCs w:val="20"/>
          <w:color w:val="auto"/>
        </w:rPr>
      </w:pPr>
      <w:r>
        <w:rPr>
          <w:rFonts w:ascii="Times New Roman" w:cs="Times New Roman" w:eastAsia="Times New Roman" w:hAnsi="Times New Roman"/>
          <w:sz w:val="19"/>
          <w:szCs w:val="19"/>
          <w:color w:val="auto"/>
        </w:rPr>
        <w:t>determining a Covered Officer’s Recoverable Incentive Compensation will be equal to the value of the Incentive Compensation at the time it was recognized as income by the Covered Officer, as determined by the Company.</w:t>
      </w:r>
    </w:p>
    <w:p>
      <w:pPr>
        <w:spacing w:after="0" w:line="1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U.S. Securities and Exchange Commission.</w:t>
      </w:r>
    </w:p>
    <w:p>
      <w:pPr>
        <w:spacing w:after="0" w:line="181" w:lineRule="exact"/>
        <w:rPr>
          <w:sz w:val="20"/>
          <w:szCs w:val="20"/>
          <w:color w:val="auto"/>
        </w:rPr>
      </w:pPr>
    </w:p>
    <w:p>
      <w:pPr>
        <w:jc w:val="both"/>
        <w:ind w:left="100" w:right="100" w:firstLine="619"/>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 Payments</w:t>
      </w:r>
      <w:r>
        <w:rPr>
          <w:rFonts w:ascii="Times New Roman" w:cs="Times New Roman" w:eastAsia="Times New Roman" w:hAnsi="Times New Roman"/>
          <w:sz w:val="19"/>
          <w:szCs w:val="19"/>
          <w:color w:val="auto"/>
        </w:rPr>
        <w:t>” means any payments made by the Company to the SEC as a result of a judgment, fine or amounts paid or to be paid in settlement in connection with any pending or completed action, investigation, inquiry, hearing or proceeding brought by the SEC relating to the Company’s Financial Reporting or Key Operating Measures.</w: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Recoupment</w:t>
      </w:r>
    </w:p>
    <w:p>
      <w:pPr>
        <w:spacing w:after="0" w:line="220" w:lineRule="exact"/>
        <w:rPr>
          <w:sz w:val="20"/>
          <w:szCs w:val="20"/>
          <w:color w:val="auto"/>
        </w:rPr>
      </w:pPr>
    </w:p>
    <w:p>
      <w:pPr>
        <w:jc w:val="both"/>
        <w:ind w:left="100" w:right="100" w:firstLine="624"/>
        <w:spacing w:after="0" w:line="217" w:lineRule="auto"/>
        <w:tabs>
          <w:tab w:leader="none" w:pos="1222" w:val="left"/>
        </w:tabs>
        <w:numPr>
          <w:ilvl w:val="1"/>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Recoupment Generally. </w:t>
      </w:r>
      <w:r>
        <w:rPr>
          <w:rFonts w:ascii="Times New Roman" w:cs="Times New Roman" w:eastAsia="Times New Roman" w:hAnsi="Times New Roman"/>
          <w:sz w:val="19"/>
          <w:szCs w:val="19"/>
          <w:color w:val="auto"/>
        </w:rPr>
        <w:t>Pursuant to the provisions of this Policy, if there is an Accounting Restatement or an SEC 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made, the Company must seek recoupment of the full amount of the Recoverable Incentive Compensation, unless a committee of independent directors serving on the Board who are responsible for executive compensation decisions, or in the absence of such a committee, a majority of the independent directors serving on the Board, has made a determination that recoupment would be impracticable. Recoupment is required regardless of whether the Covered Officer engaged in any misconduct and regardless of fault. Recoupment may be determined to be impracticable if, and only if:</w:t>
      </w:r>
    </w:p>
    <w:p>
      <w:pPr>
        <w:spacing w:after="0" w:line="159" w:lineRule="exact"/>
        <w:rPr>
          <w:rFonts w:ascii="Times New Roman" w:cs="Times New Roman" w:eastAsia="Times New Roman" w:hAnsi="Times New Roman"/>
          <w:sz w:val="19"/>
          <w:szCs w:val="19"/>
          <w:b w:val="1"/>
          <w:bCs w:val="1"/>
          <w:color w:val="auto"/>
        </w:rPr>
      </w:pPr>
    </w:p>
    <w:p>
      <w:pPr>
        <w:jc w:val="both"/>
        <w:ind w:left="100" w:right="100" w:firstLine="1243"/>
        <w:spacing w:after="0" w:line="222" w:lineRule="auto"/>
        <w:tabs>
          <w:tab w:leader="none" w:pos="1844" w:val="left"/>
        </w:tabs>
        <w:numPr>
          <w:ilvl w:val="2"/>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this Policy would exceed the amount of the applicable Recoverable Incentive Compensation to be recovered;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w:t>
      </w:r>
    </w:p>
    <w:p>
      <w:pPr>
        <w:spacing w:after="0" w:line="158" w:lineRule="exact"/>
        <w:rPr>
          <w:rFonts w:ascii="Times New Roman" w:cs="Times New Roman" w:eastAsia="Times New Roman" w:hAnsi="Times New Roman"/>
          <w:sz w:val="19"/>
          <w:szCs w:val="19"/>
          <w:color w:val="auto"/>
        </w:rPr>
      </w:pPr>
    </w:p>
    <w:p>
      <w:pPr>
        <w:jc w:val="both"/>
        <w:ind w:left="100" w:right="100" w:firstLine="1243"/>
        <w:spacing w:after="0" w:line="222" w:lineRule="auto"/>
        <w:tabs>
          <w:tab w:leader="none" w:pos="1841" w:val="left"/>
        </w:tabs>
        <w:numPr>
          <w:ilvl w:val="2"/>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or</w:t>
      </w:r>
    </w:p>
    <w:p>
      <w:pPr>
        <w:spacing w:after="0" w:line="145" w:lineRule="exact"/>
        <w:rPr>
          <w:rFonts w:ascii="Times New Roman" w:cs="Times New Roman" w:eastAsia="Times New Roman" w:hAnsi="Times New Roman"/>
          <w:sz w:val="19"/>
          <w:szCs w:val="19"/>
          <w:color w:val="auto"/>
        </w:rPr>
      </w:pPr>
    </w:p>
    <w:p>
      <w:pPr>
        <w:jc w:val="both"/>
        <w:ind w:left="100" w:right="100" w:firstLine="1243"/>
        <w:spacing w:after="0" w:line="235" w:lineRule="auto"/>
        <w:tabs>
          <w:tab w:leader="none" w:pos="1844"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the applicable Recoverable Incentive Compensation would likely cause an otherwise tax-qualified retirement plan, under which benefits are broadly available to employees of the Company, to fail to meet the requirements of 26 U.S. Code 401(a)</w:t>
      </w:r>
    </w:p>
    <w:p>
      <w:pPr>
        <w:spacing w:after="0" w:line="1" w:lineRule="exact"/>
        <w:rPr>
          <w:rFonts w:ascii="Times New Roman" w:cs="Times New Roman" w:eastAsia="Times New Roman" w:hAnsi="Times New Roman"/>
          <w:sz w:val="18"/>
          <w:szCs w:val="18"/>
          <w:color w:val="auto"/>
        </w:rPr>
      </w:pPr>
    </w:p>
    <w:p>
      <w:pPr>
        <w:ind w:left="460" w:hanging="355"/>
        <w:spacing w:after="0"/>
        <w:tabs>
          <w:tab w:leader="none" w:pos="46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26 U.S. Code 411(a) and regulations thereunder.</w:t>
      </w:r>
    </w:p>
    <w:p>
      <w:pPr>
        <w:spacing w:after="0" w:line="144" w:lineRule="exact"/>
        <w:rPr>
          <w:rFonts w:ascii="Times New Roman" w:cs="Times New Roman" w:eastAsia="Times New Roman" w:hAnsi="Times New Roman"/>
          <w:sz w:val="19"/>
          <w:szCs w:val="19"/>
          <w:color w:val="auto"/>
        </w:rPr>
      </w:pPr>
    </w:p>
    <w:p>
      <w:pPr>
        <w:jc w:val="both"/>
        <w:ind w:left="100" w:right="100" w:firstLine="624"/>
        <w:spacing w:after="0" w:line="221" w:lineRule="auto"/>
        <w:tabs>
          <w:tab w:leader="none" w:pos="1223" w:val="left"/>
        </w:tabs>
        <w:numPr>
          <w:ilvl w:val="1"/>
          <w:numId w:val="1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Sources of Recoupment. </w:t>
      </w:r>
      <w:r>
        <w:rPr>
          <w:rFonts w:ascii="Times New Roman" w:cs="Times New Roman" w:eastAsia="Times New Roman" w:hAnsi="Times New Roman"/>
          <w:sz w:val="19"/>
          <w:szCs w:val="19"/>
          <w:color w:val="auto"/>
        </w:rPr>
        <w:t>To the extent permitted by applicable law, the Board or Committee administering this Policy may, in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discretion, seek recoupment from a Covered Officer from any of the following sources: direct repayment of Recoverable Incentive Compensation previously paid to the Covered Officer; future payments of other Incentive Compensation; and cancellation of outstanding Incentive Compensation. To the extent permitted by applicable law, the Company may also offset the amount of Recoverable Incentive Compensation owed to the Company against any compensation or other amounts owed by the Company to the Covered Officer.</w:t>
      </w:r>
    </w:p>
    <w:p>
      <w:pPr>
        <w:spacing w:after="0" w:line="154" w:lineRule="exact"/>
        <w:rPr>
          <w:rFonts w:ascii="Times New Roman" w:cs="Times New Roman" w:eastAsia="Times New Roman" w:hAnsi="Times New Roman"/>
          <w:sz w:val="19"/>
          <w:szCs w:val="19"/>
          <w:b w:val="1"/>
          <w:bCs w:val="1"/>
          <w:color w:val="auto"/>
        </w:rPr>
      </w:pPr>
    </w:p>
    <w:p>
      <w:pPr>
        <w:ind w:left="100" w:right="340" w:firstLine="624"/>
        <w:spacing w:after="0" w:line="235" w:lineRule="auto"/>
        <w:tabs>
          <w:tab w:leader="none" w:pos="1223" w:val="left"/>
        </w:tabs>
        <w:numPr>
          <w:ilvl w:val="1"/>
          <w:numId w:val="1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Indemnification</w:t>
      </w:r>
      <w:r>
        <w:rPr>
          <w:rFonts w:ascii="Times New Roman" w:cs="Times New Roman" w:eastAsia="Times New Roman" w:hAnsi="Times New Roman"/>
          <w:sz w:val="19"/>
          <w:szCs w:val="19"/>
          <w:color w:val="auto"/>
        </w:rPr>
        <w:t>. The Company is prohibited from indemnifying any Executive Officer or former Executive Officer against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loss of Recoverable Incentive Compensation.</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Severability</w:t>
      </w:r>
    </w:p>
    <w:p>
      <w:pPr>
        <w:spacing w:after="0" w:line="237" w:lineRule="exact"/>
        <w:rPr>
          <w:sz w:val="20"/>
          <w:szCs w:val="20"/>
          <w:color w:val="auto"/>
        </w:rPr>
      </w:pPr>
    </w:p>
    <w:p>
      <w:pPr>
        <w:ind w:left="100" w:right="100" w:firstLine="619"/>
        <w:spacing w:after="0" w:line="233" w:lineRule="auto"/>
        <w:rPr>
          <w:sz w:val="20"/>
          <w:szCs w:val="20"/>
          <w:color w:val="auto"/>
        </w:rPr>
      </w:pPr>
      <w:r>
        <w:rPr>
          <w:rFonts w:ascii="Times New Roman" w:cs="Times New Roman" w:eastAsia="Times New Roman" w:hAnsi="Times New Roman"/>
          <w:sz w:val="19"/>
          <w:szCs w:val="19"/>
          <w:color w:val="auto"/>
        </w:rPr>
        <w:t>If any provision of this Policy or the application of any such provision to any Covered Officer shall be adjudicated to be invalid, illegal or unenforceable in any respect, such invalidity, illegality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88"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4"/>
          <w:szCs w:val="24"/>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00" w:right="100"/>
        <w:spacing w:after="0"/>
        <w:rPr>
          <w:sz w:val="20"/>
          <w:szCs w:val="20"/>
          <w:color w:val="auto"/>
        </w:rPr>
      </w:pPr>
      <w:r>
        <w:rPr>
          <w:rFonts w:ascii="Times New Roman" w:cs="Times New Roman" w:eastAsia="Times New Roman" w:hAnsi="Times New Roman"/>
          <w:sz w:val="19"/>
          <w:szCs w:val="19"/>
          <w:color w:val="auto"/>
        </w:rPr>
        <w:t>unenforceability shall not affect any other provisions of this Policy, and the invalid, illegal or unenforceable provisions shall be deemed amended to the minimum extent necessary to render any such provision or application enforceable.</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No Impairment Of Other Remedies</w:t>
      </w:r>
    </w:p>
    <w:p>
      <w:pPr>
        <w:spacing w:after="0" w:line="224" w:lineRule="exact"/>
        <w:rPr>
          <w:sz w:val="20"/>
          <w:szCs w:val="20"/>
          <w:color w:val="auto"/>
        </w:rPr>
      </w:pPr>
    </w:p>
    <w:p>
      <w:pPr>
        <w:jc w:val="both"/>
        <w:ind w:left="100" w:right="100" w:firstLine="619"/>
        <w:spacing w:after="0" w:line="231" w:lineRule="auto"/>
        <w:rPr>
          <w:sz w:val="20"/>
          <w:szCs w:val="20"/>
          <w:color w:val="auto"/>
        </w:rPr>
      </w:pPr>
      <w:r>
        <w:rPr>
          <w:rFonts w:ascii="Times New Roman" w:cs="Times New Roman" w:eastAsia="Times New Roman" w:hAnsi="Times New Roman"/>
          <w:sz w:val="19"/>
          <w:szCs w:val="19"/>
          <w:color w:val="auto"/>
        </w:rPr>
        <w:t>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 Oxley Act of 2002 that are applicable to the Company’s Chief Executive Officer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1"/>
          <w:szCs w:val="21"/>
          <w:color w:val="auto"/>
        </w:rPr>
        <w:t>4</w:t>
      </w:r>
    </w:p>
    <w:sectPr>
      <w:pgSz w:w="11900" w:h="16838" w:orient="portrait"/>
      <w:cols w:equalWidth="0" w:num="1">
        <w:col w:w="11240"/>
      </w:cols>
      <w:pgMar w:left="320" w:top="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1)"/>
      <w:numFmt w:val="lowerRoman"/>
      <w:start w:val="2"/>
    </w:lvl>
  </w:abstractNum>
  <w:abstractNum w:abstractNumId="7">
    <w:nsid w:val="1F48EAA1"/>
    <w:multiLevelType w:val="hybridMultilevel"/>
    <w:lvl w:ilvl="0">
      <w:lvlJc w:val="left"/>
      <w:lvlText w:val="(%1)"/>
      <w:numFmt w:val="lowerRoman"/>
      <w:start w:val="4"/>
    </w:lvl>
  </w:abstractNum>
  <w:abstractNum w:abstractNumId="8">
    <w:nsid w:val="1381823A"/>
    <w:multiLevelType w:val="hybridMultilevel"/>
    <w:lvl w:ilvl="0">
      <w:lvlJc w:val="left"/>
      <w:lvlText w:val="(%1)"/>
      <w:numFmt w:val="lowerRoman"/>
      <w:start w:val="2"/>
    </w:lvl>
  </w:abstractNum>
  <w:abstractNum w:abstractNumId="9">
    <w:nsid w:val="5DB70AE5"/>
    <w:multiLevelType w:val="hybridMultilevel"/>
    <w:lvl w:ilvl="0">
      <w:lvlJc w:val="left"/>
      <w:lvlText w:val="1"/>
      <w:numFmt w:val="bullet"/>
      <w:start w:val="1"/>
    </w:lvl>
  </w:abstractNum>
  <w:abstractNum w:abstractNumId="10">
    <w:nsid w:val="100F8FCA"/>
    <w:multiLevelType w:val="hybridMultilevel"/>
    <w:lvl w:ilvl="0">
      <w:lvlJc w:val="left"/>
      <w:lvlText w:val="2"/>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lvl w:ilvl="1">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3"/>
      <w:numFmt w:val="bullet"/>
      <w:start w:val="1"/>
    </w:lvl>
  </w:abstractNum>
  <w:abstractNum w:abstractNumId="17">
    <w:nsid w:val="42C296BD"/>
    <w:multiLevelType w:val="hybridMultilevel"/>
    <w:lvl w:ilvl="0">
      <w:lvlJc w:val="left"/>
      <w:lvlText w:val="4"/>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5"/>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1)"/>
      <w:numFmt w:val="decimal"/>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1)"/>
      <w:numFmt w:val="decimal"/>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1)"/>
      <w:numFmt w:val="decimal"/>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1."/>
      <w:numFmt w:val="decimal"/>
      <w:start w:val="1"/>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1."/>
      <w:numFmt w:val="decimal"/>
      <w:start w:val="1"/>
    </w:lvl>
  </w:abstractNum>
  <w:abstractNum w:abstractNumId="59">
    <w:nsid w:val="CC1016F"/>
    <w:multiLevelType w:val="hybridMultilevel"/>
    <w:lvl w:ilvl="0">
      <w:lvlJc w:val="left"/>
      <w:lvlText w:val="%1."/>
      <w:numFmt w:val="decimal"/>
      <w:start w:val="1"/>
    </w:lvl>
  </w:abstractNum>
  <w:abstractNum w:abstractNumId="60">
    <w:nsid w:val="43F18422"/>
    <w:multiLevelType w:val="hybridMultilevel"/>
    <w:lvl w:ilvl="0">
      <w:lvlJc w:val="left"/>
      <w:lvlText w:val="%1."/>
      <w:numFmt w:val="decimal"/>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8"/>
    </w:lvl>
  </w:abstractNum>
  <w:abstractNum w:abstractNumId="65">
    <w:nsid w:val="7055A5F5"/>
    <w:multiLevelType w:val="hybridMultilevel"/>
    <w:lvl w:ilvl="0">
      <w:lvlJc w:val="left"/>
      <w:lvlText w:val="1"/>
      <w:numFmt w:val="bullet"/>
      <w:start w:val="1"/>
    </w:lvl>
  </w:abstractNum>
  <w:abstractNum w:abstractNumId="66">
    <w:nsid w:val="5FB8370B"/>
    <w:multiLevelType w:val="hybridMultilevel"/>
    <w:lvl w:ilvl="0">
      <w:lvlJc w:val="left"/>
      <w:lvlText w:val="2"/>
      <w:numFmt w:val="bullet"/>
      <w:start w:val="1"/>
    </w:lvl>
  </w:abstractNum>
  <w:abstractNum w:abstractNumId="67">
    <w:nsid w:val="50801EE1"/>
    <w:multiLevelType w:val="hybridMultilevel"/>
    <w:lvl w:ilvl="0">
      <w:lvlJc w:val="left"/>
      <w:lvlText w:val="3"/>
      <w:numFmt w:val="bullet"/>
      <w:start w:val="1"/>
    </w:lvl>
  </w:abstractNum>
  <w:abstractNum w:abstractNumId="68">
    <w:nsid w:val="488AC1A"/>
    <w:multiLevelType w:val="hybridMultilevel"/>
    <w:lvl w:ilvl="0">
      <w:lvlJc w:val="left"/>
      <w:lvlText w:val="4"/>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1)"/>
      <w:numFmt w:val="decimal"/>
      <w:start w:val="1"/>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1)"/>
      <w:numFmt w:val="decimal"/>
      <w:start w:val="2"/>
    </w:lvl>
  </w:abstractNum>
  <w:abstractNum w:abstractNumId="76">
    <w:nsid w:val="73A1821B"/>
    <w:multiLevelType w:val="hybridMultilevel"/>
    <w:lvl w:ilvl="0">
      <w:lvlJc w:val="left"/>
      <w:lvlText w:val="•"/>
      <w:numFmt w:val="bullet"/>
      <w:start w:val="1"/>
    </w:lvl>
    <w:lvl w:ilvl="1">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lvl w:ilvl="1">
      <w:lvlJc w:val="left"/>
      <w:lvlText w:val="◦"/>
      <w:numFmt w:val="bullet"/>
      <w:start w:val="1"/>
    </w:lvl>
  </w:abstractNum>
  <w:abstractNum w:abstractNumId="81">
    <w:nsid w:val="6A3DD3E8"/>
    <w:multiLevelType w:val="hybridMultilevel"/>
    <w:lvl w:ilvl="0">
      <w:lvlJc w:val="left"/>
      <w:lvlText w:val="1"/>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1."/>
      <w:numFmt w:val="decimal"/>
      <w:start w:val="7"/>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1."/>
      <w:numFmt w:val="decimal"/>
      <w:start w:val="8"/>
    </w:lvl>
  </w:abstractNum>
  <w:abstractNum w:abstractNumId="88">
    <w:nsid w:val="59ADEA3D"/>
    <w:multiLevelType w:val="hybridMultilevel"/>
    <w:lvl w:ilvl="0">
      <w:lvlJc w:val="left"/>
      <w:lvlText w:val="(%1)"/>
      <w:numFmt w:val="decimal"/>
      <w:start w:val="1"/>
    </w:lvl>
  </w:abstractNum>
  <w:abstractNum w:abstractNumId="89">
    <w:nsid w:val="288F1A34"/>
    <w:multiLevelType w:val="hybridMultilevel"/>
    <w:lvl w:ilvl="0">
      <w:lvlJc w:val="left"/>
      <w:lvlText w:val="(%1)"/>
      <w:numFmt w:val="decimal"/>
      <w:start w:val="1"/>
    </w:lvl>
  </w:abstractNum>
  <w:abstractNum w:abstractNumId="90">
    <w:nsid w:val="2A155DBC"/>
    <w:multiLevelType w:val="hybridMultilevel"/>
    <w:lvl w:ilvl="0">
      <w:lvlJc w:val="left"/>
      <w:lvlText w:val="(%1)"/>
      <w:numFmt w:val="decimal"/>
      <w:start w:val="1"/>
    </w:lvl>
  </w:abstractNum>
  <w:abstractNum w:abstractNumId="91">
    <w:nsid w:val="1D9F6E5F"/>
    <w:multiLevelType w:val="hybridMultilevel"/>
    <w:lvl w:ilvl="0">
      <w:lvlJc w:val="left"/>
      <w:lvlText w:val="%1."/>
      <w:numFmt w:val="decimal"/>
      <w:start w:val="9"/>
    </w:lvl>
  </w:abstractNum>
  <w:abstractNum w:abstractNumId="92">
    <w:nsid w:val="97E1B4E"/>
    <w:multiLevelType w:val="hybridMultilevel"/>
    <w:lvl w:ilvl="0">
      <w:lvlJc w:val="left"/>
      <w:lvlText w:val="%1."/>
      <w:numFmt w:val="decimal"/>
      <w:start w:val="10"/>
    </w:lvl>
  </w:abstractNum>
  <w:abstractNum w:abstractNumId="93">
    <w:nsid w:val="51088277"/>
    <w:multiLevelType w:val="hybridMultilevel"/>
    <w:lvl w:ilvl="0">
      <w:lvlJc w:val="left"/>
      <w:lvlText w:val="%1."/>
      <w:numFmt w:val="decimal"/>
      <w:start w:val="11"/>
    </w:lvl>
  </w:abstractNum>
  <w:abstractNum w:abstractNumId="94">
    <w:nsid w:val="1CA0C5FA"/>
    <w:multiLevelType w:val="hybridMultilevel"/>
    <w:lvl w:ilvl="0">
      <w:lvlJc w:val="left"/>
      <w:lvlText w:val="%1."/>
      <w:numFmt w:val="decimal"/>
      <w:start w:val="12"/>
    </w:lvl>
  </w:abstractNum>
  <w:abstractNum w:abstractNumId="95">
    <w:nsid w:val="53584BCB"/>
    <w:multiLevelType w:val="hybridMultilevel"/>
    <w:lvl w:ilvl="0">
      <w:lvlJc w:val="left"/>
      <w:lvlText w:val="%1."/>
      <w:numFmt w:val="decimal"/>
      <w:start w:val="13"/>
    </w:lvl>
  </w:abstractNum>
  <w:abstractNum w:abstractNumId="96">
    <w:nsid w:val="415E286C"/>
    <w:multiLevelType w:val="hybridMultilevel"/>
    <w:lvl w:ilvl="0">
      <w:lvlJc w:val="left"/>
      <w:lvlText w:val="%1."/>
      <w:numFmt w:val="decimal"/>
      <w:start w:val="14"/>
    </w:lvl>
  </w:abstractNum>
  <w:abstractNum w:abstractNumId="97">
    <w:nsid w:val="7C58FD05"/>
    <w:multiLevelType w:val="hybridMultilevel"/>
    <w:lvl w:ilvl="0">
      <w:lvlJc w:val="left"/>
      <w:lvlText w:val="%1."/>
      <w:numFmt w:val="decimal"/>
      <w:start w:val="15"/>
    </w:lvl>
  </w:abstractNum>
  <w:abstractNum w:abstractNumId="98">
    <w:nsid w:val="23D86AAC"/>
    <w:multiLevelType w:val="hybridMultilevel"/>
    <w:lvl w:ilvl="0">
      <w:lvlJc w:val="left"/>
      <w:lvlText w:val="%1."/>
      <w:numFmt w:val="decimal"/>
      <w:start w:val="16"/>
    </w:lvl>
  </w:abstractNum>
  <w:abstractNum w:abstractNumId="99">
    <w:nsid w:val="45E6D486"/>
    <w:multiLevelType w:val="hybridMultilevel"/>
    <w:lvl w:ilvl="0">
      <w:lvlJc w:val="left"/>
      <w:lvlText w:val="%1."/>
      <w:numFmt w:val="decimal"/>
      <w:start w:val="17"/>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1)"/>
      <w:numFmt w:val="upperLetter"/>
      <w:start w:val="2"/>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1"/>
      <w:numFmt w:val="decimal"/>
      <w:start w:val="41"/>
    </w:lvl>
  </w:abstractNum>
  <w:abstractNum w:abstractNumId="107">
    <w:nsid w:val="6C80EC70"/>
    <w:multiLevelType w:val="hybridMultilevel"/>
    <w:lvl w:ilvl="0">
      <w:lvlJc w:val="left"/>
      <w:lvlText w:val="%1"/>
      <w:numFmt w:val="decimal"/>
      <w:start w:val="41"/>
    </w:lvl>
  </w:abstractNum>
  <w:abstractNum w:abstractNumId="108">
    <w:nsid w:val="379E21B5"/>
    <w:multiLevelType w:val="hybridMultilevel"/>
    <w:lvl w:ilvl="0">
      <w:lvlJc w:val="left"/>
      <w:lvlText w:val="%1."/>
      <w:numFmt w:val="decimal"/>
      <w:start w:val="1"/>
    </w:lvl>
    <w:lvl w:ilvl="1">
      <w:lvlJc w:val="left"/>
      <w:lvlText w:val="%2"/>
      <w:numFmt w:val="lowerLetter"/>
      <w:start w:val="1"/>
    </w:lvl>
  </w:abstractNum>
  <w:abstractNum w:abstractNumId="109">
    <w:nsid w:val="69E373"/>
    <w:multiLevelType w:val="hybridMultilevel"/>
    <w:lvl w:ilvl="0">
      <w:lvlJc w:val="left"/>
      <w:lvlText w:val="%1."/>
      <w:numFmt w:val="lowerLetter"/>
      <w:start w:val="1"/>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1."/>
      <w:numFmt w:val="lowerLetter"/>
      <w:start w:val="1"/>
    </w:lvl>
  </w:abstractNum>
  <w:abstractNum w:abstractNumId="112">
    <w:nsid w:val="6AA7B75C"/>
    <w:multiLevelType w:val="hybridMultilevel"/>
    <w:lvl w:ilvl="0">
      <w:lvlJc w:val="left"/>
      <w:lvlText w:val="%1."/>
      <w:numFmt w:val="lowerLetter"/>
      <w:start w:val="2"/>
    </w:lvl>
  </w:abstractNum>
  <w:abstractNum w:abstractNumId="113">
    <w:nsid w:val="1DF029D3"/>
    <w:multiLevelType w:val="hybridMultilevel"/>
    <w:lvl w:ilvl="0">
      <w:lvlJc w:val="left"/>
      <w:lvlText w:val="%1."/>
      <w:numFmt w:val="lowerLetter"/>
      <w:start w:val="1"/>
    </w:lvl>
  </w:abstractNum>
  <w:abstractNum w:abstractNumId="114">
    <w:nsid w:val="5675FF36"/>
    <w:multiLevelType w:val="hybridMultilevel"/>
    <w:lvl w:ilvl="0">
      <w:lvlJc w:val="left"/>
      <w:lvlText w:val="%1."/>
      <w:numFmt w:val="lowerLetter"/>
      <w:start w:val="1"/>
    </w:lvl>
  </w:abstractNum>
  <w:abstractNum w:abstractNumId="115">
    <w:nsid w:val="3DD15094"/>
    <w:multiLevelType w:val="hybridMultilevel"/>
    <w:lvl w:ilvl="0">
      <w:lvlJc w:val="left"/>
      <w:lvlText w:val="%1."/>
      <w:numFmt w:val="decimal"/>
      <w:start w:val="5"/>
    </w:lvl>
    <w:lvl w:ilvl="1">
      <w:lvlJc w:val="left"/>
      <w:lvlText w:val="%2"/>
      <w:numFmt w:val="lowerLetter"/>
      <w:start w:val="1"/>
    </w:lvl>
  </w:abstractNum>
  <w:abstractNum w:abstractNumId="116">
    <w:nsid w:val="3DB012B3"/>
    <w:multiLevelType w:val="hybridMultilevel"/>
    <w:lvl w:ilvl="0">
      <w:lvlJc w:val="left"/>
      <w:lvlText w:val="%1."/>
      <w:numFmt w:val="lowerLetter"/>
      <w:start w:val="1"/>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lowerLetter"/>
      <w:start w:val="1"/>
    </w:lvl>
  </w:abstractNum>
  <w:abstractNum w:abstractNumId="119">
    <w:nsid w:val="175DFCF0"/>
    <w:multiLevelType w:val="hybridMultilevel"/>
    <w:lvl w:ilvl="0">
      <w:lvlJc w:val="left"/>
      <w:lvlText w:val="%1."/>
      <w:numFmt w:val="lowerLetter"/>
      <w:start w:val="4"/>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lowerLetter"/>
      <w:start w:val="1"/>
    </w:lvl>
  </w:abstractNum>
  <w:abstractNum w:abstractNumId="124">
    <w:nsid w:val="56438D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5">
    <w:nsid w:val="519E3149"/>
    <w:multiLevelType w:val="hybridMultilevel"/>
    <w:lvl w:ilvl="0">
      <w:lvlJc w:val="left"/>
      <w:lvlText w:val="(%1)"/>
      <w:numFmt w:val="decimal"/>
      <w:start w:val="13"/>
    </w:lvl>
    <w:lvl w:ilvl="1">
      <w:lvlJc w:val="left"/>
      <w:lvlText w:val="(%2)"/>
      <w:numFmt w:val="decimal"/>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jpeg"/><Relationship Id="rId227" Type="http://schemas.openxmlformats.org/officeDocument/2006/relationships/image" Target="media/image194.jpeg"/><Relationship Id="rId228" Type="http://schemas.openxmlformats.org/officeDocument/2006/relationships/image" Target="media/image195.png"/><Relationship Id="rId229" Type="http://schemas.openxmlformats.org/officeDocument/2006/relationships/image" Target="media/image196.jpe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jpeg"/><Relationship Id="rId120" Type="http://schemas.openxmlformats.org/officeDocument/2006/relationships/hyperlink" Target="https://www.sec.gov/Archives/edgar/data/1779474/000114036121021785/brhc10025756_ex3-1.htm" TargetMode="External"/><Relationship Id="rId121" Type="http://schemas.openxmlformats.org/officeDocument/2006/relationships/hyperlink" Target="https://www.sec.gov/Archives/edgar/data/1779474/000114036121021785/brhc10025756_ex3-2.htm" TargetMode="External"/><Relationship Id="rId122" Type="http://schemas.openxmlformats.org/officeDocument/2006/relationships/hyperlink" Target="https://www.sec.gov/Archives/edgar/data/1779474/000114036121021785/brhc10025756_ex4-1.htm" TargetMode="External"/><Relationship Id="rId123" Type="http://schemas.openxmlformats.org/officeDocument/2006/relationships/hyperlink" Target="https://www.sec.gov/Archives/edgar/data/1779474/000114036121021785/brhc10025756_ex4-2.htm" TargetMode="External"/><Relationship Id="rId124" Type="http://schemas.openxmlformats.org/officeDocument/2006/relationships/hyperlink" Target="https://www.sec.gov/Archives/edgar/data/1779474/000095010319010751/dp111173_ex0401.htm" TargetMode="External"/><Relationship Id="rId125" Type="http://schemas.openxmlformats.org/officeDocument/2006/relationships/hyperlink" Target="https://www.sec.gov/Archives/edgar/data/1779474/000114036121021785/brhc10025756_ex10-1.htm" TargetMode="External"/><Relationship Id="rId126" Type="http://schemas.openxmlformats.org/officeDocument/2006/relationships/hyperlink" Target="https://www.sec.gov/Archives/edgar/data/1779474/000114036121021785/brhc10025756_ex10-2.htm" TargetMode="External"/><Relationship Id="rId127" Type="http://schemas.openxmlformats.org/officeDocument/2006/relationships/hyperlink" Target="https://www.sec.gov/Archives/edgar/data/1779474/000114036121021785/brhc10025756_ex10-3.htm" TargetMode="External"/><Relationship Id="rId128" Type="http://schemas.openxmlformats.org/officeDocument/2006/relationships/hyperlink" Target="https://www.sec.gov/Archives/edgar/data/1779474/000095010320024045/dp142700_ex1001.htm" TargetMode="External"/><Relationship Id="rId129" Type="http://schemas.openxmlformats.org/officeDocument/2006/relationships/hyperlink" Target="https://www.sec.gov/Archives/edgar/data/1779474/000114036121021785/brhc10025756_ex10-5.htm" TargetMode="External"/><Relationship Id="rId130" Type="http://schemas.openxmlformats.org/officeDocument/2006/relationships/hyperlink" Target="https://www.sec.gov/Archives/edgar/data/1779474/000114036121021785/brhc10025756_ex10-6.htm" TargetMode="External"/><Relationship Id="rId131" Type="http://schemas.openxmlformats.org/officeDocument/2006/relationships/hyperlink" Target="https://www.sec.gov/Archives/edgar/data/1779474/000114036121021785/brhc10025756_ex10-7.htm" TargetMode="External"/><Relationship Id="rId132" Type="http://schemas.openxmlformats.org/officeDocument/2006/relationships/hyperlink" Target="https://www.sec.gov/Archives/edgar/data/1779474/000114036121021785/brhc10025756_ex10-7a.htm" TargetMode="External"/><Relationship Id="rId141" Type="http://schemas.openxmlformats.org/officeDocument/2006/relationships/hyperlink" Target="https://www.sec.gov/Archives/edgar/data/1779474/000114036121021785/brhc10025756_ex10-7b.htm" TargetMode="External"/><Relationship Id="rId142" Type="http://schemas.openxmlformats.org/officeDocument/2006/relationships/hyperlink" Target="https://www.sec.gov/Archives/edgar/data/1779474/000114036121021785/brhc10025756_ex10-8.htm" TargetMode="External"/><Relationship Id="rId143" Type="http://schemas.openxmlformats.org/officeDocument/2006/relationships/hyperlink" Target="https://www.sec.gov/Archives/edgar/data/1779474/000114036121021785/brhc10025756_ex10-12.htm" TargetMode="External"/><Relationship Id="rId144" Type="http://schemas.openxmlformats.org/officeDocument/2006/relationships/hyperlink" Target="https://www.sec.gov/Archives/edgar/data/1779474/000114036121021785/brhc10025756_ex10-13.htm" TargetMode="External"/><Relationship Id="rId145" Type="http://schemas.openxmlformats.org/officeDocument/2006/relationships/hyperlink" Target="https://www.sec.gov/Archives/edgar/data/1779474/000114036121021785/brhc10025756_ex10-14.htm" TargetMode="External"/><Relationship Id="rId146" Type="http://schemas.openxmlformats.org/officeDocument/2006/relationships/hyperlink" Target="https://www.sec.gov/Archives/edgar/data/1779474/000114036121021785/brhc10025756_ex10-15.htm" TargetMode="External"/><Relationship Id="rId147" Type="http://schemas.openxmlformats.org/officeDocument/2006/relationships/hyperlink" Target="https://www.sec.gov/Archives/edgar/data/1779474/000114036121021785/brhc10025756_ex10-16.htm" TargetMode="External"/><Relationship Id="rId148" Type="http://schemas.openxmlformats.org/officeDocument/2006/relationships/hyperlink" Target="https://www.sec.gov/Archives/edgar/data/1779474/000177947421000027/exhibit101.htm" TargetMode="External"/><Relationship Id="rId149" Type="http://schemas.openxmlformats.org/officeDocument/2006/relationships/hyperlink" Target="https://www.sec.gov/Archives/edgar/data/1779474/000177947423000072/exhibit102amendedandrestat.htm" TargetMode="External"/><Relationship Id="rId150" Type="http://schemas.openxmlformats.org/officeDocument/2006/relationships/hyperlink" Target="https://www.sec.gov/Archives/edgar/data/1779474/000177947423000023/exhibit1019dgrazier_offerl.htm" TargetMode="External"/><Relationship Id="rId151" Type="http://schemas.openxmlformats.org/officeDocument/2006/relationships/hyperlink" Target="https://www.sec.gov/Archives/edgar/data/1779474/000177947423000066/exhibit101dougsemploymenta.htm" TargetMode="External"/><Relationship Id="rId152" Type="http://schemas.openxmlformats.org/officeDocument/2006/relationships/hyperlink" Target="https://www.sec.gov/Archives/edgar/data/1779474/000177947423000062/exhibit101q223.htm" TargetMode="External"/><Relationship Id="rId153" Type="http://schemas.openxmlformats.org/officeDocument/2006/relationships/hyperlink" Target="https://www.sec.gov/Archives/edgar/data/1779474/000177947423000076/exhibit105randassepe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2024-05-24T16:53:02Z</dcterms:created>
  <dcterms:modified xsi:type="dcterms:W3CDTF">2024-05-24T16:53:02Z</dcterms:modified>
</cp:coreProperties>
</file>