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4"/>
          <w:szCs w:val="24"/>
          <w:color w:val="auto"/>
        </w:rPr>
      </w:pPr>
    </w:p>
    <w:p>
      <w:pPr>
        <w:spacing w:after="0" w:line="224" w:lineRule="exact"/>
        <w:rPr>
          <w:sz w:val="24"/>
          <w:szCs w:val="24"/>
          <w:color w:val="auto"/>
        </w:rPr>
      </w:pPr>
    </w:p>
    <w:p>
      <w:pPr>
        <w:ind w:left="2040"/>
        <w:spacing w:after="0"/>
        <w:rPr>
          <w:sz w:val="20"/>
          <w:szCs w:val="20"/>
          <w:color w:val="auto"/>
        </w:rPr>
      </w:pPr>
      <w:r>
        <w:rPr>
          <w:rFonts w:ascii="Arial" w:cs="Arial" w:eastAsia="Arial" w:hAnsi="Arial"/>
          <w:sz w:val="18"/>
          <w:szCs w:val="18"/>
          <w:b w:val="1"/>
          <w:bCs w:val="1"/>
          <w:color w:val="auto"/>
        </w:rPr>
        <w:t>As filed with the Securities and Exchange Commission on October 5, 2022</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333-261466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94615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Post-Effective Amendment No. 3</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FORM S-1</w:t>
      </w:r>
    </w:p>
    <w:p>
      <w:pPr>
        <w:spacing w:after="0" w:line="9"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ON</w:t>
      </w:r>
    </w:p>
    <w:p>
      <w:pPr>
        <w:spacing w:after="0" w:line="9"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FORM S-3</w:t>
      </w:r>
    </w:p>
    <w:p>
      <w:pPr>
        <w:jc w:val="center"/>
        <w:spacing w:after="0" w:line="235" w:lineRule="auto"/>
        <w:rPr>
          <w:sz w:val="20"/>
          <w:szCs w:val="20"/>
          <w:color w:val="auto"/>
        </w:rPr>
      </w:pPr>
      <w:r>
        <w:rPr>
          <w:rFonts w:ascii="Arial" w:cs="Arial" w:eastAsia="Arial" w:hAnsi="Arial"/>
          <w:sz w:val="22"/>
          <w:szCs w:val="22"/>
          <w:b w:val="1"/>
          <w:bCs w:val="1"/>
          <w:color w:val="auto"/>
        </w:rPr>
        <w:t>REGISTRATION STATEMENT</w:t>
      </w:r>
    </w:p>
    <w:p>
      <w:pPr>
        <w:jc w:val="center"/>
        <w:spacing w:after="0" w:line="231" w:lineRule="auto"/>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73025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WM Technology,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81915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Delaware</w:t>
            </w:r>
          </w:p>
        </w:tc>
        <w:tc>
          <w:tcPr>
            <w:tcW w:w="3100" w:type="dxa"/>
            <w:vAlign w:val="bottom"/>
          </w:tcPr>
          <w:p>
            <w:pPr>
              <w:jc w:val="center"/>
              <w:spacing w:after="0"/>
              <w:rPr>
                <w:sz w:val="20"/>
                <w:szCs w:val="20"/>
                <w:color w:val="auto"/>
              </w:rPr>
            </w:pPr>
            <w:r>
              <w:rPr>
                <w:rFonts w:ascii="Arial" w:cs="Arial" w:eastAsia="Arial" w:hAnsi="Arial"/>
                <w:sz w:val="16"/>
                <w:szCs w:val="16"/>
                <w:b w:val="1"/>
                <w:bCs w:val="1"/>
                <w:color w:val="auto"/>
                <w:w w:val="95"/>
              </w:rPr>
              <w:t>7372</w:t>
            </w:r>
          </w:p>
        </w:tc>
        <w:tc>
          <w:tcPr>
            <w:tcW w:w="20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6"/>
                <w:szCs w:val="16"/>
                <w:b w:val="1"/>
                <w:bCs w:val="1"/>
                <w:color w:val="auto"/>
                <w:w w:val="91"/>
              </w:rPr>
              <w:t>98-1605615</w:t>
            </w:r>
          </w:p>
        </w:tc>
      </w:tr>
      <w:tr>
        <w:trPr>
          <w:trHeight w:val="60"/>
        </w:trPr>
        <w:tc>
          <w:tcPr>
            <w:tcW w:w="31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r>
      <w:tr>
        <w:trPr>
          <w:trHeight w:val="240"/>
        </w:trPr>
        <w:tc>
          <w:tcPr>
            <w:tcW w:w="330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(State or Other Jurisdiction of</w:t>
            </w:r>
          </w:p>
        </w:tc>
        <w:tc>
          <w:tcPr>
            <w:tcW w:w="330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(Primary Standard Industrial</w:t>
            </w:r>
          </w:p>
        </w:tc>
        <w:tc>
          <w:tcPr>
            <w:tcW w:w="3120" w:type="dxa"/>
            <w:vAlign w:val="bottom"/>
          </w:tcPr>
          <w:p>
            <w:pPr>
              <w:jc w:val="center"/>
              <w:spacing w:after="0"/>
              <w:rPr>
                <w:sz w:val="20"/>
                <w:szCs w:val="20"/>
                <w:color w:val="auto"/>
              </w:rPr>
            </w:pPr>
            <w:r>
              <w:rPr>
                <w:rFonts w:ascii="Arial" w:cs="Arial" w:eastAsia="Arial" w:hAnsi="Arial"/>
                <w:sz w:val="16"/>
                <w:szCs w:val="16"/>
                <w:color w:val="auto"/>
                <w:w w:val="95"/>
              </w:rPr>
              <w:t>(I.R.S. Employer</w:t>
            </w:r>
          </w:p>
        </w:tc>
      </w:tr>
      <w:tr>
        <w:trPr>
          <w:trHeight w:val="206"/>
        </w:trPr>
        <w:tc>
          <w:tcPr>
            <w:tcW w:w="3300" w:type="dxa"/>
            <w:vAlign w:val="bottom"/>
            <w:gridSpan w:val="2"/>
          </w:tcPr>
          <w:p>
            <w:pPr>
              <w:jc w:val="center"/>
              <w:ind w:right="180"/>
              <w:spacing w:after="0"/>
              <w:rPr>
                <w:sz w:val="20"/>
                <w:szCs w:val="20"/>
                <w:color w:val="auto"/>
              </w:rPr>
            </w:pPr>
            <w:r>
              <w:rPr>
                <w:rFonts w:ascii="Arial" w:cs="Arial" w:eastAsia="Arial" w:hAnsi="Arial"/>
                <w:sz w:val="16"/>
                <w:szCs w:val="16"/>
                <w:color w:val="auto"/>
                <w:w w:val="94"/>
              </w:rPr>
              <w:t>Incorporation or Organization)</w:t>
            </w:r>
          </w:p>
        </w:tc>
        <w:tc>
          <w:tcPr>
            <w:tcW w:w="3300" w:type="dxa"/>
            <w:vAlign w:val="bottom"/>
            <w:gridSpan w:val="2"/>
          </w:tcPr>
          <w:p>
            <w:pPr>
              <w:jc w:val="center"/>
              <w:ind w:right="200"/>
              <w:spacing w:after="0"/>
              <w:rPr>
                <w:sz w:val="20"/>
                <w:szCs w:val="20"/>
                <w:color w:val="auto"/>
              </w:rPr>
            </w:pPr>
            <w:r>
              <w:rPr>
                <w:rFonts w:ascii="Arial" w:cs="Arial" w:eastAsia="Arial" w:hAnsi="Arial"/>
                <w:sz w:val="16"/>
                <w:szCs w:val="16"/>
                <w:color w:val="auto"/>
                <w:w w:val="94"/>
              </w:rPr>
              <w:t>Classification Code No.)</w:t>
            </w:r>
          </w:p>
        </w:tc>
        <w:tc>
          <w:tcPr>
            <w:tcW w:w="312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bl>
    <w:p>
      <w:pPr>
        <w:spacing w:after="0" w:line="73" w:lineRule="exact"/>
        <w:rPr>
          <w:sz w:val="24"/>
          <w:szCs w:val="24"/>
          <w:color w:val="auto"/>
        </w:rPr>
      </w:pPr>
    </w:p>
    <w:p>
      <w:pPr>
        <w:ind w:left="4620" w:hanging="199"/>
        <w:spacing w:after="0"/>
        <w:tabs>
          <w:tab w:leader="none" w:pos="462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Discovery</w:t>
      </w:r>
    </w:p>
    <w:p>
      <w:pPr>
        <w:spacing w:after="0" w:line="26" w:lineRule="exact"/>
        <w:rPr>
          <w:rFonts w:ascii="Arial" w:cs="Arial" w:eastAsia="Arial" w:hAnsi="Arial"/>
          <w:sz w:val="16"/>
          <w:szCs w:val="16"/>
          <w:b w:val="1"/>
          <w:bCs w:val="1"/>
          <w:color w:val="auto"/>
        </w:rPr>
      </w:pPr>
    </w:p>
    <w:p>
      <w:pPr>
        <w:ind w:left="40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Irvine, California 92618</w:t>
      </w:r>
    </w:p>
    <w:p>
      <w:pPr>
        <w:spacing w:after="0" w:line="18" w:lineRule="exact"/>
        <w:rPr>
          <w:rFonts w:ascii="Arial" w:cs="Arial" w:eastAsia="Arial" w:hAnsi="Arial"/>
          <w:sz w:val="16"/>
          <w:szCs w:val="16"/>
          <w:b w:val="1"/>
          <w:bCs w:val="1"/>
          <w:color w:val="auto"/>
        </w:rPr>
      </w:pPr>
    </w:p>
    <w:p>
      <w:pPr>
        <w:ind w:left="4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Tel: (844) 933-3627</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92710</wp:posOffset>
            </wp:positionV>
            <wp:extent cx="1097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Brian Camire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General Counsel</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WM Technology, Inc.</w:t>
      </w:r>
    </w:p>
    <w:p>
      <w:pPr>
        <w:spacing w:after="0" w:line="19" w:lineRule="exact"/>
        <w:rPr>
          <w:sz w:val="24"/>
          <w:szCs w:val="24"/>
          <w:color w:val="auto"/>
        </w:rPr>
      </w:pPr>
    </w:p>
    <w:p>
      <w:pPr>
        <w:ind w:left="4620" w:hanging="199"/>
        <w:spacing w:after="0"/>
        <w:tabs>
          <w:tab w:leader="none" w:pos="46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Discovery</w:t>
      </w:r>
    </w:p>
    <w:p>
      <w:pPr>
        <w:spacing w:after="0" w:line="18" w:lineRule="exact"/>
        <w:rPr>
          <w:rFonts w:ascii="Arial" w:cs="Arial" w:eastAsia="Arial" w:hAnsi="Arial"/>
          <w:sz w:val="16"/>
          <w:szCs w:val="16"/>
          <w:b w:val="1"/>
          <w:bCs w:val="1"/>
          <w:color w:val="auto"/>
        </w:rPr>
      </w:pPr>
    </w:p>
    <w:p>
      <w:pPr>
        <w:ind w:left="40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Irvine, California 92618</w:t>
      </w:r>
    </w:p>
    <w:p>
      <w:pPr>
        <w:spacing w:after="0" w:line="18" w:lineRule="exact"/>
        <w:rPr>
          <w:rFonts w:ascii="Arial" w:cs="Arial" w:eastAsia="Arial" w:hAnsi="Arial"/>
          <w:sz w:val="16"/>
          <w:szCs w:val="16"/>
          <w:b w:val="1"/>
          <w:bCs w:val="1"/>
          <w:color w:val="auto"/>
        </w:rPr>
      </w:pPr>
    </w:p>
    <w:p>
      <w:pPr>
        <w:ind w:left="4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Tel: (844) 933-3627</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92710</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Copies to: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Dave Peinsipp</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Garth Osterman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Kristin VanderPas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Peter Byrne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Cooley LLP</w:t>
      </w:r>
    </w:p>
    <w:p>
      <w:pPr>
        <w:jc w:val="center"/>
        <w:spacing w:after="0" w:line="185" w:lineRule="auto"/>
        <w:rPr>
          <w:sz w:val="20"/>
          <w:szCs w:val="20"/>
          <w:color w:val="auto"/>
        </w:rPr>
      </w:pPr>
      <w:r>
        <w:rPr>
          <w:rFonts w:ascii="Arial" w:cs="Arial" w:eastAsia="Arial" w:hAnsi="Arial"/>
          <w:sz w:val="16"/>
          <w:szCs w:val="16"/>
          <w:b w:val="1"/>
          <w:bCs w:val="1"/>
          <w:color w:val="auto"/>
        </w:rPr>
        <w:t>101 California Street, 5</w:t>
      </w:r>
      <w:r>
        <w:rPr>
          <w:rFonts w:ascii="Arial" w:cs="Arial" w:eastAsia="Arial" w:hAnsi="Arial"/>
          <w:sz w:val="26"/>
          <w:szCs w:val="26"/>
          <w:b w:val="1"/>
          <w:bCs w:val="1"/>
          <w:color w:val="auto"/>
          <w:vertAlign w:val="superscript"/>
        </w:rPr>
        <w:t>th</w:t>
      </w:r>
      <w:r>
        <w:rPr>
          <w:rFonts w:ascii="Arial" w:cs="Arial" w:eastAsia="Arial" w:hAnsi="Arial"/>
          <w:sz w:val="16"/>
          <w:szCs w:val="16"/>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San Francisco, California 94111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 (415) 693-2177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101600</wp:posOffset>
            </wp:positionV>
            <wp:extent cx="1097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66" w:lineRule="exact"/>
        <w:rPr>
          <w:sz w:val="24"/>
          <w:szCs w:val="24"/>
          <w:color w:val="auto"/>
        </w:rPr>
      </w:pPr>
    </w:p>
    <w:p>
      <w:pPr>
        <w:jc w:val="both"/>
        <w:ind w:firstLine="360"/>
        <w:spacing w:after="0" w:line="269" w:lineRule="auto"/>
        <w:rPr>
          <w:sz w:val="20"/>
          <w:szCs w:val="20"/>
          <w:color w:val="auto"/>
        </w:rPr>
      </w:pPr>
      <w:r>
        <w:rPr>
          <w:rFonts w:ascii="Arial" w:cs="Arial" w:eastAsia="Arial" w:hAnsi="Arial"/>
          <w:sz w:val="16"/>
          <w:szCs w:val="16"/>
          <w:b w:val="1"/>
          <w:bCs w:val="1"/>
          <w:color w:val="auto"/>
        </w:rPr>
        <w:t>Approximate date of commencement of proposed sale to the public: From time to time after the effective date of this registration statement.</w:t>
      </w:r>
    </w:p>
    <w:p>
      <w:pPr>
        <w:jc w:val="both"/>
        <w:ind w:firstLine="360"/>
        <w:spacing w:after="0" w:line="207"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jc w:val="both"/>
        <w:ind w:firstLine="360"/>
        <w:spacing w:after="0" w:line="294"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w:t>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3" w:lineRule="exact"/>
        <w:rPr>
          <w:sz w:val="24"/>
          <w:szCs w:val="24"/>
          <w:color w:val="auto"/>
        </w:rPr>
      </w:pPr>
    </w:p>
    <w:p>
      <w:pPr>
        <w:jc w:val="both"/>
        <w:ind w:firstLine="360"/>
        <w:spacing w:after="0" w:line="202"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jc w:val="both"/>
        <w:ind w:firstLine="360"/>
        <w:spacing w:after="0" w:line="203"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jc w:val="both"/>
        <w:ind w:firstLine="360"/>
        <w:spacing w:after="0" w:line="203"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jc w:val="both"/>
        <w:ind w:firstLine="360"/>
        <w:spacing w:after="0" w:line="203"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jc w:val="both"/>
        <w:ind w:firstLine="36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8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3280" w:type="dxa"/>
            <w:vAlign w:val="bottom"/>
          </w:tcPr>
          <w:p>
            <w:pPr>
              <w:ind w:left="116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18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3280" w:type="dxa"/>
            <w:vAlign w:val="bottom"/>
          </w:tcPr>
          <w:p>
            <w:pPr>
              <w:ind w:left="116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19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280" w:type="dxa"/>
            <w:vAlign w:val="bottom"/>
          </w:tcPr>
          <w:p>
            <w:pPr>
              <w:ind w:left="116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2" w:lineRule="exact"/>
        <w:rPr>
          <w:sz w:val="24"/>
          <w:szCs w:val="24"/>
          <w:color w:val="auto"/>
        </w:rPr>
      </w:pPr>
    </w:p>
    <w:p>
      <w:pPr>
        <w:jc w:val="both"/>
        <w:ind w:firstLine="3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 w:lineRule="exact"/>
        <w:rPr>
          <w:sz w:val="24"/>
          <w:szCs w:val="24"/>
          <w:color w:val="auto"/>
        </w:rPr>
      </w:pPr>
    </w:p>
    <w:p>
      <w:pPr>
        <w:jc w:val="both"/>
        <w:ind w:firstLine="360"/>
        <w:spacing w:after="0" w:line="270" w:lineRule="auto"/>
        <w:rPr>
          <w:sz w:val="20"/>
          <w:szCs w:val="20"/>
          <w:color w:val="auto"/>
        </w:rPr>
      </w:pPr>
      <w:r>
        <w:rPr>
          <w:rFonts w:ascii="Arial" w:cs="Arial" w:eastAsia="Arial" w:hAnsi="Arial"/>
          <w:sz w:val="16"/>
          <w:szCs w:val="16"/>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ectPr>
          <w:pgSz w:w="11900" w:h="16838" w:orient="portrait"/>
          <w:cols w:equalWidth="0" w:num="1">
            <w:col w:w="9720"/>
          </w:cols>
          <w:pgMar w:left="1080" w:top="225" w:right="1099" w:bottom="0" w:gutter="0" w:footer="0" w:header="0"/>
        </w:sectPr>
      </w:pPr>
    </w:p>
    <w:bookmarkStart w:id="1" w:name="page2"/>
    <w:bookmarkEnd w:id="1"/>
    <w:p>
      <w:pPr>
        <w:jc w:val="both"/>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286385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88900</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149225</wp:posOffset>
            </wp:positionV>
            <wp:extent cx="61722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WM Technology, Inc., a Delaware corporation, filed a Registration Statement on Form S-1 on December 2, 2021, which was declared effective on December 10, 2021, as amended by (i) Post-Effective Amendment No. 1 to Form S-1, which was filed on March 7, 2022, as further amended by (ii) Post-Effective Amendment No. 2 to Form S-1, which was filed on March 11, 2022, and subsequently declared effective by the Securities and Exchange Commission (the “SEC”) on March 15, 2022 (as amended and supplemented, the “registration statement”).</w:t>
      </w:r>
    </w:p>
    <w:p>
      <w:pPr>
        <w:spacing w:after="0" w:line="84"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This Post-Effective Amendment No. 3 to the registration statement is being filed by the registrant to convert the registration statement on Form S-1 into a registration statement on Form S-3 (“Post-Effective Amendment No. 3”).</w:t>
      </w:r>
    </w:p>
    <w:p>
      <w:pPr>
        <w:spacing w:after="0" w:line="1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On February 25, 2022, WM Technology, Inc. filed its Annual Report on Form 10-K for fiscal year ended December 31, 2021 (the “Annual Report on Form 10-K”). Interested parties should refer to such Annual Report on Form 10-K for more information.</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form of prospectus included in this Post-Effective Amendment may be used in one or more offerings by one or more selling stockholders identified in the prospectus contained herein with one or more of the underwriters named therein and with different types and amounts of securities offered.</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No additional securities are being registered under this Post-Effective Amendment. All applicable registration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100330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4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ind w:left="400" w:right="439"/>
        <w:spacing w:after="0" w:line="244"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Neither we nor the selling securityholders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C0014"/>
        </w:rPr>
        <w:t>PRELIMINARY PROSPECTUS SUBJECT TO COMPLETION—DATED OCTOBER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180340</wp:posOffset>
            </wp:positionV>
            <wp:extent cx="3429000" cy="1020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0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 to 1,938,798 Shares of Class A Common Stock</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Offered by the Selling Securityholders</w:t>
      </w:r>
    </w:p>
    <w:p>
      <w:pPr>
        <w:spacing w:after="0" w:line="229" w:lineRule="exact"/>
        <w:rPr>
          <w:sz w:val="20"/>
          <w:szCs w:val="20"/>
          <w:color w:val="auto"/>
        </w:rPr>
      </w:pPr>
    </w:p>
    <w:p>
      <w:pPr>
        <w:jc w:val="both"/>
        <w:ind w:left="400" w:right="419" w:firstLine="360"/>
        <w:spacing w:after="0" w:line="286" w:lineRule="auto"/>
        <w:rPr>
          <w:sz w:val="20"/>
          <w:szCs w:val="20"/>
          <w:color w:val="auto"/>
        </w:rPr>
      </w:pPr>
      <w:r>
        <w:rPr>
          <w:rFonts w:ascii="Arial" w:cs="Arial" w:eastAsia="Arial" w:hAnsi="Arial"/>
          <w:sz w:val="16"/>
          <w:szCs w:val="16"/>
          <w:color w:val="auto"/>
        </w:rPr>
        <w:t>This prospectus relates to the offer and sale from time to time by the selling securityholders named in this prospectus (the “Selling Securityholders”) of up to 1,938,798 shares of our Class A Common Stock, par value $0.0001 per share (“Class A Common Stock”), consisting of (i) 1,244,258 shares of Class A Common Stock issued pursuant to that certain Asset Purchase Agreement, dated September 3, 2021 (the “Asset Purchase Agreement”), by and among MembersRSVP, LLC d/b/a Sprout (“Sprout”), Text Ripple, Inc. (“Text Ripple”), the Company, WM Loyalty, LLC, certain equityholders of Sprout and Text Ripple and Jaret Christopher, as sellers’ representative and (ii) 694,540 shares of Class A Common Stock issued pursuant to that certain Equity Interest Purchase Agreement, dated September 28, 2021 (the “Equity Interest Purchase Agreement” and together with the Asset Purchase Agreement, the “Purchase Agreements”), by and among Ghost Management Group, LLC, Transport Logistics Holding Company, LLC d/b/a Merry Go Jane (“TLHC”), certain securityholders of TLHC and Justin Morris, as sellers’ representative. We will not receive any proceeds from the sale of the shares of Class A Common Stock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167" w:lineRule="exact"/>
        <w:rPr>
          <w:sz w:val="20"/>
          <w:szCs w:val="20"/>
          <w:color w:val="auto"/>
        </w:rPr>
      </w:pPr>
    </w:p>
    <w:p>
      <w:pPr>
        <w:jc w:val="both"/>
        <w:ind w:left="400" w:right="419" w:firstLine="360"/>
        <w:spacing w:after="0" w:line="293" w:lineRule="auto"/>
        <w:rPr>
          <w:sz w:val="20"/>
          <w:szCs w:val="20"/>
          <w:color w:val="auto"/>
        </w:rPr>
      </w:pPr>
      <w:r>
        <w:rPr>
          <w:rFonts w:ascii="Arial" w:cs="Arial" w:eastAsia="Arial" w:hAnsi="Arial"/>
          <w:sz w:val="16"/>
          <w:szCs w:val="16"/>
          <w:color w:val="auto"/>
        </w:rPr>
        <w:t>Our registration of the securities covered by this prospectus does not mean that the Selling Securityholders will offer or sell any of the shares of Class A Common Stock. The Selling Securityholders may offer, sell or distribute all or a portion of their shares of Class A Common Stock publicly or through private transactions at prevailing market prices or at negotiated prices. We will not receive any proceeds from the sale of shares of Class A Common Stock by the Selling Securityholders pursuant to this prospectus. We provide more information about how the Selling Securityholders may sell the Shares in the section entitled “Plan of Distribution.”</w:t>
      </w:r>
    </w:p>
    <w:p>
      <w:pPr>
        <w:spacing w:after="0" w:line="164" w:lineRule="exact"/>
        <w:rPr>
          <w:sz w:val="20"/>
          <w:szCs w:val="20"/>
          <w:color w:val="auto"/>
        </w:rPr>
      </w:pPr>
    </w:p>
    <w:p>
      <w:pPr>
        <w:jc w:val="both"/>
        <w:ind w:left="400" w:right="419" w:firstLine="360"/>
        <w:spacing w:after="0" w:line="277" w:lineRule="auto"/>
        <w:rPr>
          <w:sz w:val="20"/>
          <w:szCs w:val="20"/>
          <w:color w:val="auto"/>
        </w:rPr>
      </w:pPr>
      <w:r>
        <w:rPr>
          <w:rFonts w:ascii="Arial" w:cs="Arial" w:eastAsia="Arial" w:hAnsi="Arial"/>
          <w:sz w:val="18"/>
          <w:szCs w:val="18"/>
          <w:color w:val="auto"/>
        </w:rPr>
        <w:t>Our Class A Common Stock is listed on The Nasdaq Global Select Market (“Nasdaq”) under the symbol “MAPS.” On October 4, 2022, the closing price of our Class A Common Stock was $1.79.</w:t>
      </w:r>
    </w:p>
    <w:p>
      <w:pPr>
        <w:spacing w:after="0" w:line="170" w:lineRule="exact"/>
        <w:rPr>
          <w:sz w:val="20"/>
          <w:szCs w:val="20"/>
          <w:color w:val="auto"/>
        </w:rPr>
      </w:pPr>
    </w:p>
    <w:p>
      <w:pPr>
        <w:jc w:val="both"/>
        <w:ind w:left="400" w:right="419" w:firstLine="360"/>
        <w:spacing w:after="0" w:line="263" w:lineRule="auto"/>
        <w:rPr>
          <w:sz w:val="20"/>
          <w:szCs w:val="20"/>
          <w:color w:val="auto"/>
        </w:rPr>
      </w:pPr>
      <w:r>
        <w:rPr>
          <w:rFonts w:ascii="Arial" w:cs="Arial" w:eastAsia="Arial" w:hAnsi="Arial"/>
          <w:sz w:val="18"/>
          <w:szCs w:val="18"/>
          <w:color w:val="auto"/>
        </w:rPr>
        <w:t xml:space="preserve">See the section entitled “Risk Factors” beginning on page </w:t>
      </w:r>
      <w:r>
        <w:rPr>
          <w:rFonts w:ascii="Arial" w:cs="Arial" w:eastAsia="Arial" w:hAnsi="Arial"/>
          <w:sz w:val="18"/>
          <w:szCs w:val="18"/>
          <w:u w:val="single" w:color="auto"/>
          <w:color w:val="0000EE"/>
        </w:rPr>
        <w:t>6</w:t>
      </w:r>
      <w:r>
        <w:rPr>
          <w:rFonts w:ascii="Arial" w:cs="Arial" w:eastAsia="Arial" w:hAnsi="Arial"/>
          <w:sz w:val="18"/>
          <w:szCs w:val="18"/>
          <w:color w:val="auto"/>
        </w:rPr>
        <w:t xml:space="preserve"> of this prospectus, and under similar headings in any amendments or supplements to this prospectus and the documents incorporated herein by reference, to read about factors you should consider before buying our securities.</w:t>
      </w:r>
    </w:p>
    <w:p>
      <w:pPr>
        <w:spacing w:after="0" w:line="184" w:lineRule="exact"/>
        <w:rPr>
          <w:sz w:val="20"/>
          <w:szCs w:val="20"/>
          <w:color w:val="auto"/>
        </w:rPr>
      </w:pPr>
    </w:p>
    <w:p>
      <w:pPr>
        <w:jc w:val="both"/>
        <w:ind w:left="400" w:right="419" w:firstLine="360"/>
        <w:spacing w:after="0" w:line="263"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date of this prospectus is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 w:name="page5"/>
    <w:bookmarkEnd w:id="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gridSpan w:val="5"/>
          </w:tcPr>
          <w:p>
            <w:pPr>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76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34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ABOUT THIS PROSPECTUS</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0000EE"/>
              </w:rPr>
              <w:t>1</w:t>
            </w:r>
          </w:p>
        </w:tc>
        <w:tc>
          <w:tcPr>
            <w:tcW w:w="20" w:type="dxa"/>
            <w:vAlign w:val="bottom"/>
            <w:shd w:val="clear" w:color="auto" w:fill="CCEEFF"/>
          </w:tcPr>
          <w:p>
            <w:pPr>
              <w:spacing w:after="0"/>
              <w:rPr>
                <w:sz w:val="20"/>
                <w:szCs w:val="20"/>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6"/>
          </w:tcPr>
          <w:p>
            <w:pPr>
              <w:spacing w:after="0"/>
              <w:rPr>
                <w:sz w:val="20"/>
                <w:szCs w:val="20"/>
                <w:color w:val="auto"/>
              </w:rPr>
            </w:pPr>
            <w:r>
              <w:rPr>
                <w:rFonts w:ascii="Arial" w:cs="Arial" w:eastAsia="Arial" w:hAnsi="Arial"/>
                <w:sz w:val="18"/>
                <w:szCs w:val="18"/>
                <w:color w:val="0000EE"/>
              </w:rPr>
              <w:t>CAUTIONARY NOTE REGARDING FORWARD-LOOKING STATEMENTS</w:t>
            </w:r>
          </w:p>
        </w:tc>
        <w:tc>
          <w:tcPr>
            <w:tcW w:w="280" w:type="dxa"/>
            <w:vAlign w:val="bottom"/>
            <w:gridSpan w:val="4"/>
          </w:tcPr>
          <w:p>
            <w:pPr>
              <w:jc w:val="right"/>
              <w:spacing w:after="0"/>
              <w:rPr>
                <w:sz w:val="20"/>
                <w:szCs w:val="20"/>
                <w:color w:val="auto"/>
              </w:rPr>
            </w:pPr>
            <w:r>
              <w:rPr>
                <w:rFonts w:ascii="Arial" w:cs="Arial" w:eastAsia="Arial" w:hAnsi="Arial"/>
                <w:sz w:val="18"/>
                <w:szCs w:val="18"/>
                <w:color w:val="0000EE"/>
              </w:rPr>
              <w:t>2</w:t>
            </w:r>
          </w:p>
        </w:tc>
        <w:tc>
          <w:tcPr>
            <w:tcW w:w="2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PROSPECTUS SUMMARY</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0000EE"/>
              </w:rPr>
              <w:t>4</w:t>
            </w:r>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6"/>
          </w:tcPr>
          <w:p>
            <w:pPr>
              <w:spacing w:after="0"/>
              <w:rPr>
                <w:sz w:val="20"/>
                <w:szCs w:val="20"/>
                <w:color w:val="auto"/>
              </w:rPr>
            </w:pPr>
            <w:r>
              <w:rPr>
                <w:rFonts w:ascii="Arial" w:cs="Arial" w:eastAsia="Arial" w:hAnsi="Arial"/>
                <w:sz w:val="18"/>
                <w:szCs w:val="18"/>
                <w:color w:val="0000EE"/>
              </w:rPr>
              <w:t>THE OFFERING</w:t>
            </w:r>
          </w:p>
        </w:tc>
        <w:tc>
          <w:tcPr>
            <w:tcW w:w="280" w:type="dxa"/>
            <w:vAlign w:val="bottom"/>
            <w:gridSpan w:val="4"/>
          </w:tcPr>
          <w:p>
            <w:pPr>
              <w:jc w:val="right"/>
              <w:spacing w:after="0"/>
              <w:rPr>
                <w:sz w:val="20"/>
                <w:szCs w:val="20"/>
                <w:color w:val="auto"/>
              </w:rPr>
            </w:pPr>
            <w:r>
              <w:rPr>
                <w:rFonts w:ascii="Arial" w:cs="Arial" w:eastAsia="Arial" w:hAnsi="Arial"/>
                <w:sz w:val="18"/>
                <w:szCs w:val="18"/>
                <w:color w:val="0000EE"/>
              </w:rPr>
              <w:t>5</w:t>
            </w:r>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RISK FACTORS</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0000EE"/>
              </w:rPr>
              <w:t>6</w:t>
            </w:r>
          </w:p>
        </w:tc>
        <w:tc>
          <w:tcPr>
            <w:tcW w:w="2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6"/>
          </w:tcPr>
          <w:p>
            <w:pPr>
              <w:spacing w:after="0"/>
              <w:rPr>
                <w:sz w:val="20"/>
                <w:szCs w:val="20"/>
                <w:color w:val="auto"/>
              </w:rPr>
            </w:pPr>
            <w:r>
              <w:rPr>
                <w:rFonts w:ascii="Arial" w:cs="Arial" w:eastAsia="Arial" w:hAnsi="Arial"/>
                <w:sz w:val="18"/>
                <w:szCs w:val="18"/>
                <w:color w:val="0000EE"/>
              </w:rPr>
              <w:t>USE OF PROCEEDS</w:t>
            </w:r>
          </w:p>
        </w:tc>
        <w:tc>
          <w:tcPr>
            <w:tcW w:w="280" w:type="dxa"/>
            <w:vAlign w:val="bottom"/>
            <w:gridSpan w:val="4"/>
          </w:tcPr>
          <w:p>
            <w:pPr>
              <w:jc w:val="right"/>
              <w:spacing w:after="0"/>
              <w:rPr>
                <w:sz w:val="20"/>
                <w:szCs w:val="20"/>
                <w:color w:val="auto"/>
              </w:rPr>
            </w:pPr>
            <w:r>
              <w:rPr>
                <w:rFonts w:ascii="Arial" w:cs="Arial" w:eastAsia="Arial" w:hAnsi="Arial"/>
                <w:sz w:val="18"/>
                <w:szCs w:val="18"/>
                <w:color w:val="0000EE"/>
              </w:rPr>
              <w:t>7</w:t>
            </w:r>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SELLING SECURITYHOLDERS</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0000EE"/>
              </w:rPr>
              <w:t>8</w:t>
            </w:r>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6"/>
          </w:tcPr>
          <w:p>
            <w:pPr>
              <w:spacing w:after="0"/>
              <w:rPr>
                <w:sz w:val="20"/>
                <w:szCs w:val="20"/>
                <w:color w:val="auto"/>
              </w:rPr>
            </w:pPr>
            <w:r>
              <w:rPr>
                <w:rFonts w:ascii="Arial" w:cs="Arial" w:eastAsia="Arial" w:hAnsi="Arial"/>
                <w:sz w:val="18"/>
                <w:szCs w:val="18"/>
                <w:color w:val="0000EE"/>
              </w:rPr>
              <w:t>DESCRIPTION OF SECURITIES</w:t>
            </w:r>
          </w:p>
        </w:tc>
        <w:tc>
          <w:tcPr>
            <w:tcW w:w="280" w:type="dxa"/>
            <w:vAlign w:val="bottom"/>
            <w:gridSpan w:val="4"/>
          </w:tcPr>
          <w:p>
            <w:pPr>
              <w:jc w:val="right"/>
              <w:spacing w:after="0"/>
              <w:rPr>
                <w:sz w:val="20"/>
                <w:szCs w:val="20"/>
                <w:color w:val="auto"/>
              </w:rPr>
            </w:pPr>
            <w:r>
              <w:rPr>
                <w:rFonts w:ascii="Arial" w:cs="Arial" w:eastAsia="Arial" w:hAnsi="Arial"/>
                <w:sz w:val="18"/>
                <w:szCs w:val="18"/>
                <w:color w:val="0000EE"/>
              </w:rPr>
              <w:t>10</w:t>
            </w:r>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MATERIAL UNITED STATES FEDERAL INCOME TAX CONSEQUENCES</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0000EE"/>
              </w:rPr>
              <w:t>18</w:t>
            </w:r>
          </w:p>
        </w:tc>
        <w:tc>
          <w:tcPr>
            <w:tcW w:w="2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30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6"/>
          </w:tcPr>
          <w:p>
            <w:pPr>
              <w:spacing w:after="0"/>
              <w:rPr>
                <w:sz w:val="20"/>
                <w:szCs w:val="20"/>
                <w:color w:val="auto"/>
              </w:rPr>
            </w:pPr>
            <w:r>
              <w:rPr>
                <w:rFonts w:ascii="Arial" w:cs="Arial" w:eastAsia="Arial" w:hAnsi="Arial"/>
                <w:sz w:val="18"/>
                <w:szCs w:val="18"/>
                <w:color w:val="0000EE"/>
              </w:rPr>
              <w:t>PLAN OF DISTRIBUTION</w:t>
            </w:r>
          </w:p>
        </w:tc>
        <w:tc>
          <w:tcPr>
            <w:tcW w:w="280" w:type="dxa"/>
            <w:vAlign w:val="bottom"/>
            <w:gridSpan w:val="4"/>
          </w:tcPr>
          <w:p>
            <w:pPr>
              <w:jc w:val="right"/>
              <w:spacing w:after="0"/>
              <w:rPr>
                <w:sz w:val="20"/>
                <w:szCs w:val="20"/>
                <w:color w:val="auto"/>
              </w:rPr>
            </w:pPr>
            <w:r>
              <w:rPr>
                <w:rFonts w:ascii="Arial" w:cs="Arial" w:eastAsia="Arial" w:hAnsi="Arial"/>
                <w:sz w:val="18"/>
                <w:szCs w:val="18"/>
                <w:color w:val="0000EE"/>
              </w:rPr>
              <w:t>22</w:t>
            </w:r>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LEGAL MATTERS</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0000EE"/>
              </w:rPr>
              <w:t>24</w:t>
            </w:r>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6"/>
          </w:tcPr>
          <w:p>
            <w:pPr>
              <w:spacing w:after="0"/>
              <w:rPr>
                <w:sz w:val="20"/>
                <w:szCs w:val="20"/>
                <w:color w:val="auto"/>
              </w:rPr>
            </w:pPr>
            <w:r>
              <w:rPr>
                <w:rFonts w:ascii="Arial" w:cs="Arial" w:eastAsia="Arial" w:hAnsi="Arial"/>
                <w:sz w:val="18"/>
                <w:szCs w:val="18"/>
                <w:color w:val="0000EE"/>
              </w:rPr>
              <w:t>EXPERTS</w:t>
            </w:r>
          </w:p>
        </w:tc>
        <w:tc>
          <w:tcPr>
            <w:tcW w:w="280" w:type="dxa"/>
            <w:vAlign w:val="bottom"/>
            <w:gridSpan w:val="4"/>
          </w:tcPr>
          <w:p>
            <w:pPr>
              <w:jc w:val="right"/>
              <w:spacing w:after="0"/>
              <w:rPr>
                <w:sz w:val="20"/>
                <w:szCs w:val="20"/>
                <w:color w:val="auto"/>
              </w:rPr>
            </w:pPr>
            <w:r>
              <w:rPr>
                <w:rFonts w:ascii="Arial" w:cs="Arial" w:eastAsia="Arial" w:hAnsi="Arial"/>
                <w:sz w:val="18"/>
                <w:szCs w:val="18"/>
                <w:color w:val="0000EE"/>
              </w:rPr>
              <w:t>24</w:t>
            </w:r>
          </w:p>
        </w:tc>
        <w:tc>
          <w:tcPr>
            <w:tcW w:w="2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WHERE YOU CAN FIND MORE INFORMATION</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0000EE"/>
              </w:rPr>
              <w:t>25</w:t>
            </w:r>
          </w:p>
        </w:tc>
        <w:tc>
          <w:tcPr>
            <w:tcW w:w="2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30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6"/>
          </w:tcPr>
          <w:p>
            <w:pPr>
              <w:spacing w:after="0"/>
              <w:rPr>
                <w:sz w:val="20"/>
                <w:szCs w:val="20"/>
                <w:color w:val="auto"/>
              </w:rPr>
            </w:pPr>
            <w:r>
              <w:rPr>
                <w:rFonts w:ascii="Arial" w:cs="Arial" w:eastAsia="Arial" w:hAnsi="Arial"/>
                <w:sz w:val="18"/>
                <w:szCs w:val="18"/>
                <w:color w:val="0000EE"/>
              </w:rPr>
              <w:t>INCORPORATION OF CERTAIN INFORMATION BY REFERENCE</w:t>
            </w:r>
          </w:p>
        </w:tc>
        <w:tc>
          <w:tcPr>
            <w:tcW w:w="280" w:type="dxa"/>
            <w:vAlign w:val="bottom"/>
            <w:gridSpan w:val="4"/>
          </w:tcPr>
          <w:p>
            <w:pPr>
              <w:jc w:val="right"/>
              <w:spacing w:after="0"/>
              <w:rPr>
                <w:sz w:val="20"/>
                <w:szCs w:val="20"/>
                <w:color w:val="auto"/>
              </w:rPr>
            </w:pPr>
            <w:r>
              <w:rPr>
                <w:rFonts w:ascii="Arial" w:cs="Arial" w:eastAsia="Arial" w:hAnsi="Arial"/>
                <w:sz w:val="18"/>
                <w:szCs w:val="18"/>
                <w:color w:val="0000EE"/>
              </w:rPr>
              <w:t>25</w:t>
            </w:r>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PART II INFORMATION NOT REQUIRED IN PROSPECTUS</w:t>
            </w:r>
          </w:p>
        </w:tc>
        <w:tc>
          <w:tcPr>
            <w:tcW w:w="3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0000EE"/>
                <w:w w:val="99"/>
              </w:rPr>
              <w:t>II-1</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30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100" w:type="dxa"/>
            <w:vAlign w:val="bottom"/>
            <w:gridSpan w:val="2"/>
          </w:tcPr>
          <w:p>
            <w:pPr>
              <w:spacing w:after="0"/>
              <w:rPr>
                <w:sz w:val="20"/>
                <w:szCs w:val="20"/>
                <w:color w:val="auto"/>
              </w:rPr>
            </w:pPr>
            <w:r>
              <w:rPr>
                <w:rFonts w:ascii="Arial" w:cs="Arial" w:eastAsia="Arial" w:hAnsi="Arial"/>
                <w:sz w:val="18"/>
                <w:szCs w:val="18"/>
                <w:color w:val="0000EE"/>
                <w:w w:val="92"/>
              </w:rPr>
              <w:t>SIGNATURES</w:t>
            </w:r>
          </w:p>
        </w:tc>
        <w:tc>
          <w:tcPr>
            <w:tcW w:w="7020" w:type="dxa"/>
            <w:vAlign w:val="bottom"/>
            <w:gridSpan w:val="14"/>
          </w:tcPr>
          <w:p>
            <w:pPr>
              <w:spacing w:after="0"/>
              <w:rPr>
                <w:sz w:val="19"/>
                <w:szCs w:val="19"/>
                <w:color w:val="auto"/>
              </w:rPr>
            </w:pPr>
          </w:p>
        </w:tc>
        <w:tc>
          <w:tcPr>
            <w:tcW w:w="300" w:type="dxa"/>
            <w:vAlign w:val="bottom"/>
            <w:gridSpan w:val="5"/>
          </w:tcPr>
          <w:p>
            <w:pPr>
              <w:ind w:left="20"/>
              <w:spacing w:after="0"/>
              <w:rPr>
                <w:sz w:val="20"/>
                <w:szCs w:val="20"/>
                <w:color w:val="auto"/>
              </w:rPr>
            </w:pPr>
            <w:r>
              <w:rPr>
                <w:rFonts w:ascii="Arial" w:cs="Arial" w:eastAsia="Arial" w:hAnsi="Arial"/>
                <w:sz w:val="18"/>
                <w:szCs w:val="18"/>
                <w:color w:val="0000EE"/>
                <w:w w:val="99"/>
              </w:rPr>
              <w:t>II-5</w:t>
            </w:r>
          </w:p>
        </w:tc>
      </w:tr>
      <w:tr>
        <w:trPr>
          <w:trHeight w:val="20"/>
        </w:trPr>
        <w:tc>
          <w:tcPr>
            <w:tcW w:w="7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-3256915</wp:posOffset>
            </wp:positionV>
            <wp:extent cx="111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5"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88900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This prospectus is part of a registration statement that we filed with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w:t>
      </w:r>
    </w:p>
    <w:p>
      <w:pPr>
        <w:spacing w:after="0" w:line="63"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 and “Incorporation of Certain Information by Reference.”</w:t>
      </w:r>
    </w:p>
    <w:p>
      <w:pPr>
        <w:spacing w:after="0" w:line="6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On June 16, 2021 (the “Closing Date”), Silver Spike Acquisition Corp., our predecessor company, consummated the Business Combination (as defined below),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for pre-Business Combination (as defined below) periods, “Legacy WMH” and when referred to in for post-Business Combination periods, “WMH LLC”),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WMH LLC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7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Unless the context indicates otherwise, references in this prospectus to the “Company,” “WMTI,”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This prospectus, the documents incorporated by reference herein and any prospectus supplement delivered with this prospectus may contain forward-looking statements within the meaning of Section 27A of the Securities Act, and Section 21E of the Securities Exchange Act of 1934, as amended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in this prospectus may include, for example, statements about:</w:t>
      </w:r>
    </w:p>
    <w:p>
      <w:pPr>
        <w:spacing w:after="0" w:line="117" w:lineRule="exact"/>
        <w:rPr>
          <w:sz w:val="20"/>
          <w:szCs w:val="20"/>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and business performance, including key business metrics and any underlying assumptions thereunder;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market opportunity and our ability to acquire new customers and retain existing customers;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and timing related to commercial product launches;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go-to-market strategy;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business and expand our offerings;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advantages and growth strategies;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requirements and sources and uses of cash;</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future operations;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global, regional or local economic and market conditions affecting the cannabis industry;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effects and enforcement of and changes to laws and regulations, including with respect to the cannabis industry;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capitalize on new and existing cannabis markets, including our ability to successfully monetize our solutions in those markets;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future growth;</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products and solutions, bring them to market in a timely manner, and make enhancements to our platform and our ability to maintain and grow our two sided digital network, including our ability to acquire and retain paying customers;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on our future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in retaining or recruiting, or changes required in, officers, key employees or directors; and</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possibility that we may be adversely affected by other economic, business or competitive factors.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 xml:space="preserve">Should one or more of the risks or uncertainties described in this prospectus, the documents incorporated by reference herein and any prospectus supplement,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84"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You should read this prospectus, the documents incorporated by reference herein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736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3405" cy="773620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jc w:val="both"/>
        <w:ind w:left="320" w:right="279" w:firstLine="360"/>
        <w:spacing w:after="0" w:line="257" w:lineRule="auto"/>
        <w:rPr>
          <w:sz w:val="20"/>
          <w:szCs w:val="20"/>
          <w:color w:val="auto"/>
        </w:rPr>
      </w:pPr>
      <w:r>
        <w:rPr>
          <w:rFonts w:ascii="Arial" w:cs="Arial" w:eastAsia="Arial" w:hAnsi="Arial"/>
          <w:sz w:val="18"/>
          <w:szCs w:val="18"/>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included elsewhere in this prospectus and other information incorporated by reference from our filings with the SEC before making an investment decision.</w:t>
      </w:r>
    </w:p>
    <w:p>
      <w:pPr>
        <w:spacing w:after="0" w:line="3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We were founded in 2008 and operate a leading online cannabis marketplace for consumers together with a comprehensive set of eCommerce and compliance software solutions for cannabis businesses, which are sold to retailers and brands in the U.S. state-legal and Canadian cannabis markets. The Company’s mission is to power a transparent and inclusive global cannabis economy. Our technology addresses the challenges facing both consumers seeking to understand cannabis products and businesses who serve cannabis users in a legally compliant fashion. Over the past 14 years, the Weedmaps marketplace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77" w:lineRule="exact"/>
        <w:rPr>
          <w:sz w:val="20"/>
          <w:szCs w:val="20"/>
          <w:color w:val="auto"/>
        </w:rPr>
      </w:pPr>
    </w:p>
    <w:p>
      <w:pPr>
        <w:jc w:val="both"/>
        <w:ind w:left="320" w:right="279" w:firstLine="360"/>
        <w:spacing w:after="0" w:line="273" w:lineRule="auto"/>
        <w:rPr>
          <w:sz w:val="20"/>
          <w:szCs w:val="20"/>
          <w:color w:val="auto"/>
        </w:rPr>
      </w:pPr>
      <w:r>
        <w:rPr>
          <w:rFonts w:ascii="Arial" w:cs="Arial" w:eastAsia="Arial" w:hAnsi="Arial"/>
          <w:sz w:val="17"/>
          <w:szCs w:val="17"/>
          <w:color w:val="auto"/>
        </w:rPr>
        <w:t>We hold a strong belief in the importance of enabling safe, legal access to cannabis for consumers worldwide. We believe we offer the only comprehensive software platform that allows cannabis retailers to reach their target audience, quickly and cost effectively, addressing a wide range of needs. We are committed to building the software solutions that power cannabis businesses compliantly in the industry, to advocating for legalization, licensing and social equity of cannabis, and to facilitating further learning through partnership with subject matter experts on providing detailed, accurate information about cannabis.</w:t>
      </w:r>
    </w:p>
    <w:p>
      <w:pPr>
        <w:spacing w:after="0" w:line="3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jc w:val="both"/>
        <w:ind w:left="320" w:right="299" w:firstLine="360"/>
        <w:spacing w:after="0" w:line="279" w:lineRule="auto"/>
        <w:rPr>
          <w:sz w:val="20"/>
          <w:szCs w:val="20"/>
          <w:color w:val="auto"/>
        </w:rPr>
      </w:pPr>
      <w:r>
        <w:rPr>
          <w:rFonts w:ascii="Arial" w:cs="Arial" w:eastAsia="Arial" w:hAnsi="Arial"/>
          <w:sz w:val="17"/>
          <w:szCs w:val="17"/>
          <w:color w:val="auto"/>
        </w:rPr>
        <w:t>On September 3, 2021, we entered into the Asset Purchase Agreement with Sprout, Text Ripple, WM Loyalty, LLC, certain equityholders of Sprout and Text Ripple, and Jaret Christopher, as sellers’ representative. We issued 1,244,258 shares of Class A Common Stock pursuant to the Asset Purchase Agreement , and we are required under the Asset Purchase Agreement to register such shares for resale under the Securities Act.</w:t>
      </w:r>
    </w:p>
    <w:p>
      <w:pPr>
        <w:spacing w:after="0" w:line="63" w:lineRule="exact"/>
        <w:rPr>
          <w:sz w:val="20"/>
          <w:szCs w:val="20"/>
          <w:color w:val="auto"/>
        </w:rPr>
      </w:pPr>
    </w:p>
    <w:p>
      <w:pPr>
        <w:jc w:val="both"/>
        <w:ind w:left="320" w:right="279" w:firstLine="360"/>
        <w:spacing w:after="0" w:line="259" w:lineRule="auto"/>
        <w:rPr>
          <w:sz w:val="20"/>
          <w:szCs w:val="20"/>
          <w:color w:val="auto"/>
        </w:rPr>
      </w:pPr>
      <w:r>
        <w:rPr>
          <w:rFonts w:ascii="Arial" w:cs="Arial" w:eastAsia="Arial" w:hAnsi="Arial"/>
          <w:sz w:val="18"/>
          <w:szCs w:val="18"/>
          <w:color w:val="auto"/>
        </w:rPr>
        <w:t>On September 28, 2021, Ghost Management Group, LLC, a subsidiary of the Company, entered into the Equity Interest Purchase Agreement with TLHC, certain securityholders of TLHC, and Justin Morris, as sellers’ representative. We issued 694,540 shares of Class A Common Stock pursuant to the Equity Interest Purchase Agreement.</w:t>
      </w:r>
    </w:p>
    <w:p>
      <w:pPr>
        <w:spacing w:after="0" w:line="34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w:t>
      </w:r>
    </w:p>
    <w:p>
      <w:pPr>
        <w:spacing w:after="0" w:line="77"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The mailing address of our principal executive office is 41 Discovery, Irvine, California 92618. Our telephone number is (844) 933-3627.</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10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3133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3405" cy="31330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020"/>
          </w:cols>
          <w:pgMar w:left="440" w:top="265" w:right="439" w:bottom="1440" w:gutter="0" w:footer="0" w:header="0"/>
        </w:sectPr>
      </w:pPr>
    </w:p>
    <w:p>
      <w:pPr>
        <w:spacing w:after="0" w:line="131"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Issuer</w:t>
      </w:r>
    </w:p>
    <w:p>
      <w:pPr>
        <w:spacing w:after="0" w:line="185"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Resale of Class A Common Stock</w:t>
      </w:r>
    </w:p>
    <w:p>
      <w:pPr>
        <w:spacing w:after="0" w:line="117" w:lineRule="exact"/>
        <w:rPr>
          <w:sz w:val="20"/>
          <w:szCs w:val="20"/>
          <w:color w:val="auto"/>
        </w:rPr>
      </w:pPr>
    </w:p>
    <w:p>
      <w:pPr>
        <w:ind w:left="1480" w:hanging="179"/>
        <w:spacing w:after="0" w:line="282" w:lineRule="auto"/>
        <w:rPr>
          <w:sz w:val="20"/>
          <w:szCs w:val="20"/>
          <w:color w:val="auto"/>
        </w:rPr>
      </w:pPr>
      <w:r>
        <w:rPr>
          <w:rFonts w:ascii="Arial" w:cs="Arial" w:eastAsia="Arial" w:hAnsi="Arial"/>
          <w:sz w:val="18"/>
          <w:szCs w:val="18"/>
          <w:b w:val="1"/>
          <w:bCs w:val="1"/>
          <w:color w:val="auto"/>
        </w:rPr>
        <w:t>Shares of Class A Common Stock Offered by the Selling Securityholders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WM Technology,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Up to 1,938,798 shares of Class A Common Stock.</w:t>
      </w:r>
    </w:p>
    <w:p>
      <w:pPr>
        <w:spacing w:after="0" w:line="158" w:lineRule="exact"/>
        <w:rPr>
          <w:sz w:val="20"/>
          <w:szCs w:val="20"/>
          <w:color w:val="auto"/>
        </w:rPr>
      </w:pPr>
    </w:p>
    <w:p>
      <w:pPr>
        <w:jc w:val="both"/>
        <w:ind w:right="1280"/>
        <w:spacing w:after="0" w:line="263" w:lineRule="auto"/>
        <w:rPr>
          <w:sz w:val="20"/>
          <w:szCs w:val="20"/>
          <w:color w:val="auto"/>
        </w:rPr>
      </w:pPr>
      <w:r>
        <w:rPr>
          <w:rFonts w:ascii="Arial" w:cs="Arial" w:eastAsia="Arial" w:hAnsi="Arial"/>
          <w:sz w:val="18"/>
          <w:szCs w:val="18"/>
          <w:color w:val="auto"/>
        </w:rPr>
        <w:t>We will not receive any proceeds from the sale of shares of Class A Common Stock by the Selling Securityholders.</w:t>
      </w:r>
    </w:p>
    <w:p>
      <w:pPr>
        <w:spacing w:after="0" w:line="99" w:lineRule="exact"/>
        <w:rPr>
          <w:sz w:val="20"/>
          <w:szCs w:val="20"/>
          <w:color w:val="auto"/>
        </w:rPr>
      </w:pPr>
    </w:p>
    <w:p>
      <w:pPr>
        <w:sectPr>
          <w:pgSz w:w="11900" w:h="16838" w:orient="portrait"/>
          <w:cols w:equalWidth="0" w:num="2">
            <w:col w:w="5040" w:space="600"/>
            <w:col w:w="5380"/>
          </w:cols>
          <w:pgMar w:left="440" w:top="265" w:right="4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b w:val="1"/>
                <w:bCs w:val="1"/>
                <w:color w:val="auto"/>
              </w:rPr>
              <w:t>Market for Class A Common Stock</w:t>
            </w: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Our Class A Common Stock is currently traded on</w:t>
            </w:r>
          </w:p>
        </w:tc>
      </w:tr>
      <w:tr>
        <w:trPr>
          <w:trHeight w:val="230"/>
        </w:trPr>
        <w:tc>
          <w:tcPr>
            <w:tcW w:w="1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Nasdaq under the symbol “MAPS.”</w:t>
            </w:r>
          </w:p>
        </w:tc>
      </w:tr>
      <w:tr>
        <w:trPr>
          <w:trHeight w:val="350"/>
        </w:trPr>
        <w:tc>
          <w:tcPr>
            <w:tcW w:w="1080" w:type="dxa"/>
            <w:vAlign w:val="bottom"/>
          </w:tcPr>
          <w:p>
            <w:pPr>
              <w:spacing w:after="0"/>
              <w:rPr>
                <w:sz w:val="24"/>
                <w:szCs w:val="24"/>
                <w:color w:val="auto"/>
              </w:rPr>
            </w:pPr>
          </w:p>
        </w:tc>
        <w:tc>
          <w:tcPr>
            <w:tcW w:w="3660" w:type="dxa"/>
            <w:vAlign w:val="bottom"/>
          </w:tcPr>
          <w:p>
            <w:pPr>
              <w:ind w:left="240"/>
              <w:spacing w:after="0"/>
              <w:rPr>
                <w:sz w:val="20"/>
                <w:szCs w:val="20"/>
                <w:color w:val="auto"/>
              </w:rPr>
            </w:pPr>
            <w:r>
              <w:rPr>
                <w:rFonts w:ascii="Arial" w:cs="Arial" w:eastAsia="Arial" w:hAnsi="Arial"/>
                <w:sz w:val="18"/>
                <w:szCs w:val="18"/>
                <w:b w:val="1"/>
                <w:bCs w:val="1"/>
                <w:color w:val="auto"/>
              </w:rPr>
              <w:t>Risk Factors</w:t>
            </w: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See  the  section  entitled  “Risk  Factors,”  other</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information  included  in  this  prospectus,  and  under</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similar headings in any amendments or supplements to</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this prospectus and the documents incorporated herein</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by reference, for a discussion of factors you should</w:t>
            </w:r>
          </w:p>
        </w:tc>
      </w:tr>
      <w:tr>
        <w:trPr>
          <w:trHeight w:val="230"/>
        </w:trPr>
        <w:tc>
          <w:tcPr>
            <w:tcW w:w="1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consider before investing in our securities.</w:t>
            </w:r>
          </w:p>
        </w:tc>
      </w:tr>
      <w:tr>
        <w:trPr>
          <w:trHeight w:val="213"/>
        </w:trPr>
        <w:tc>
          <w:tcPr>
            <w:tcW w:w="1080" w:type="dxa"/>
            <w:vAlign w:val="bottom"/>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c>
          <w:tcPr>
            <w:tcW w:w="524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0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40" w:type="dxa"/>
            <w:vAlign w:val="bottom"/>
          </w:tcPr>
          <w:p>
            <w:pPr>
              <w:ind w:left="720"/>
              <w:spacing w:after="0"/>
              <w:rPr>
                <w:sz w:val="20"/>
                <w:szCs w:val="20"/>
                <w:color w:val="auto"/>
              </w:rPr>
            </w:pPr>
            <w:r>
              <w:rPr>
                <w:rFonts w:ascii="Arial" w:cs="Arial" w:eastAsia="Arial" w:hAnsi="Arial"/>
                <w:sz w:val="18"/>
                <w:szCs w:val="18"/>
                <w:color w:val="auto"/>
              </w:rPr>
              <w:t>5</w:t>
            </w:r>
          </w:p>
        </w:tc>
        <w:tc>
          <w:tcPr>
            <w:tcW w:w="1040" w:type="dxa"/>
            <w:vAlign w:val="bottom"/>
          </w:tcPr>
          <w:p>
            <w:pPr>
              <w:spacing w:after="0"/>
              <w:rPr>
                <w:sz w:val="24"/>
                <w:szCs w:val="24"/>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5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type w:val="continuous"/>
        </w:sectPr>
      </w:pPr>
    </w:p>
    <w:bookmarkStart w:id="10" w:name="page11"/>
    <w:bookmarkEnd w:id="1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risk factors incorporated by reference to our most recent Annual Report on Form 10-K,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before acquiring any of such securities.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All of the Class A Common Stock offered by the Selling Securityholders pursuant to this prospectus will be sold by the Selling Securityholders for their respective accounts. We will not receive any of the proceeds from these sales.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SELLING SECURITYHOLDERS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Selling Securityholders acquired 1,938,798 shares of Class A Common Stock (the “Shares”), consisting of</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  1,244,258  shares  of  Class A  Common  Stock  issued  pursuant  to  the  Asset  Purchase  Agreement  and</w:t>
      </w:r>
    </w:p>
    <w:p>
      <w:pPr>
        <w:spacing w:after="0" w:line="21" w:lineRule="exact"/>
        <w:rPr>
          <w:sz w:val="20"/>
          <w:szCs w:val="20"/>
          <w:color w:val="auto"/>
        </w:rPr>
      </w:pPr>
    </w:p>
    <w:p>
      <w:pPr>
        <w:jc w:val="both"/>
        <w:ind w:left="300" w:right="319" w:hanging="8"/>
        <w:spacing w:after="0" w:line="253" w:lineRule="auto"/>
        <w:tabs>
          <w:tab w:leader="none" w:pos="565" w:val="left"/>
        </w:tabs>
        <w:numPr>
          <w:ilvl w:val="0"/>
          <w:numId w:val="4"/>
        </w:numPr>
        <w:rPr>
          <w:rFonts w:ascii="Arial" w:cs="Arial" w:eastAsia="Arial" w:hAnsi="Arial"/>
          <w:sz w:val="18"/>
          <w:szCs w:val="18"/>
          <w:color w:val="auto"/>
        </w:rPr>
      </w:pPr>
      <w:r>
        <w:rPr>
          <w:rFonts w:ascii="Arial" w:cs="Arial" w:eastAsia="Arial" w:hAnsi="Arial"/>
          <w:sz w:val="18"/>
          <w:szCs w:val="18"/>
          <w:color w:val="auto"/>
        </w:rPr>
        <w:t>694,540 shares of Class A Common Stock issued pursuant to the Equity Interest Purchase Agreement. We agreed to file a registration statement with the SEC for the purposes of registering for resale such shares of Class A Common Stock. The shares of Common Stock were issued to the Selling Securityholders in reliance on the exemption from registration in Section 4(a)(2) under the Securities Act.</w:t>
      </w:r>
    </w:p>
    <w:p>
      <w:pPr>
        <w:spacing w:after="0" w:line="85"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shares of Class A Common Stock to be offered by the Selling Securityholders are “restricted” securities under applicable federal and state securities laws and are being registered under the Securities Act to give the Selling Securityholders the opportunity to sell these shares publicly. The registration of these shares does not require that any of the shares be offered or sold by the Selling Securityholders. Subject to these resale restrictions, the Selling Securityholders may from time to time offer and sell all or a portion of their shares indicated below in privately negotiated transactions or on the Nasdaq Global Select Market or any other market on which our common stock may subsequently be listed.</w:t>
      </w:r>
    </w:p>
    <w:p>
      <w:pPr>
        <w:spacing w:after="0" w:line="8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registered shares may be sold directly or through brokers or dealers, or in a distribution by one or more underwriters on a firm commitment or best effort basis. To the extent required, the names of any agent or broker-dealer and applicable commissions or discounts and any other required information with respect to any particular offering will be set forth in a prospectus supplement. See the section of this prospectus entitled “Plan of Distribution”. The Selling Securityholders and any agents or broker-dealers that participate with the Selling Securityholders in the distribution of registered shares may be deemed to be “underwriters” within the meaning of the Securities Act, and any commissions received by them and any profit on the resale of the registered shares may be deemed to be underwriting commissions or discounts under the Securities Act.</w:t>
      </w:r>
    </w:p>
    <w:p>
      <w:pPr>
        <w:spacing w:after="0" w:line="70"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No estimate can be given as to the amount or percentage of Class A Common Stock that will be held by the Selling Securityholders after any sales made pursuant to this prospectus because the Selling Securityholders are not required to sell any of the Shares being registered under this prospectus. The following table assumes that the Selling Securityholders will sell all of the Shares listed in this prospectus.</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Unless otherwise indicated in the footnotes below, no Selling Stockholder has had any material relationship with us or any of our affiliates within the past three years other than as a security holder.</w:t>
      </w:r>
    </w:p>
    <w:p>
      <w:pPr>
        <w:spacing w:after="0" w:line="6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Except as set forth in the footnotes below, the following table sets forth, based on written representations from the Selling Securityholders, certain information as of November 24, 2021 regarding the beneficial ownership of our Class A Common Stock by the Selling Securityholders and the shares of Class A Common Stock being offered by the Selling Securityholders (“Registrable Securities”). The applicable percentage ownership of Class A Common Stock is based on 88,836,328 shares of our Class A Common Stock issued and outstanding as of June 30, 2022.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7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Information with respect to shares of Class A Common Stock owned beneficially after the offering assumes the sale of all of the shares of Class A Common Stock offered and no other purchases or sales of our Class A Common Stock. The Selling Securityholders may offer and sell some, all or none of their shares of Class A Common Stock, as applicable.</w:t>
      </w:r>
    </w:p>
    <w:p>
      <w:pPr>
        <w:spacing w:after="0" w:line="79"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tbl>
      <w:tblPr>
        <w:tblLayout w:type="fixed"/>
        <w:tblInd w:w="300" w:type="dxa"/>
        <w:tblCellMar>
          <w:top w:w="0" w:type="dxa"/>
          <w:left w:w="0" w:type="dxa"/>
          <w:bottom w:w="0" w:type="dxa"/>
          <w:right w:w="0" w:type="dxa"/>
        </w:tblCellMar>
      </w:tblPr>
      <w:tr>
        <w:trPr>
          <w:trHeight w:val="161"/>
        </w:trPr>
        <w:tc>
          <w:tcPr>
            <w:tcW w:w="4500" w:type="dxa"/>
            <w:vAlign w:val="bottom"/>
            <w:gridSpan w:val="3"/>
          </w:tcPr>
          <w:p>
            <w:pPr>
              <w:spacing w:after="0"/>
              <w:rPr>
                <w:sz w:val="20"/>
                <w:szCs w:val="20"/>
                <w:color w:val="auto"/>
              </w:rPr>
            </w:pPr>
            <w:r>
              <w:rPr>
                <w:rFonts w:ascii="Arial" w:cs="Arial" w:eastAsia="Arial" w:hAnsi="Arial"/>
                <w:sz w:val="14"/>
                <w:szCs w:val="14"/>
                <w:b w:val="1"/>
                <w:bCs w:val="1"/>
                <w:color w:val="0000EE"/>
              </w:rPr>
              <w:t>TABLE OF CONTENTS</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Shares of ClassA</w:t>
            </w:r>
          </w:p>
        </w:tc>
        <w:tc>
          <w:tcPr>
            <w:tcW w:w="22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Shares of</w:t>
            </w: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Shares of Class A</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Class A</w:t>
            </w: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2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Common</w:t>
            </w: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Prior to the Offering</w:t>
            </w:r>
          </w:p>
        </w:tc>
        <w:tc>
          <w:tcPr>
            <w:tcW w:w="2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After the Offering</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2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20" w:type="dxa"/>
            <w:vAlign w:val="bottom"/>
            <w:vMerge w:val="restart"/>
          </w:tcPr>
          <w:p>
            <w:pPr>
              <w:spacing w:after="0"/>
              <w:rPr>
                <w:sz w:val="7"/>
                <w:szCs w:val="7"/>
                <w:color w:val="auto"/>
              </w:rPr>
            </w:pPr>
          </w:p>
        </w:tc>
        <w:tc>
          <w:tcPr>
            <w:tcW w:w="9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Being</w:t>
            </w:r>
          </w:p>
        </w:tc>
        <w:tc>
          <w:tcPr>
            <w:tcW w:w="5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Selling Securityholder</w:t>
            </w: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Number</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line="20" w:lineRule="exact"/>
              <w:rPr>
                <w:sz w:val="1"/>
                <w:szCs w:val="1"/>
                <w:color w:val="auto"/>
              </w:rPr>
            </w:pPr>
          </w:p>
        </w:tc>
      </w:tr>
      <w:tr>
        <w:trPr>
          <w:trHeight w:val="186"/>
        </w:trPr>
        <w:tc>
          <w:tcPr>
            <w:tcW w:w="4500" w:type="dxa"/>
            <w:vAlign w:val="bottom"/>
            <w:gridSpan w:val="3"/>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Offered</w:t>
            </w:r>
          </w:p>
        </w:tc>
        <w:tc>
          <w:tcPr>
            <w:tcW w:w="78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4500" w:type="dxa"/>
            <w:vAlign w:val="bottom"/>
            <w:gridSpan w:val="3"/>
            <w:shd w:val="clear" w:color="auto" w:fill="CCEEFF"/>
          </w:tcPr>
          <w:p>
            <w:pPr>
              <w:spacing w:after="0" w:line="331" w:lineRule="exact"/>
              <w:rPr>
                <w:sz w:val="20"/>
                <w:szCs w:val="20"/>
                <w:color w:val="auto"/>
              </w:rPr>
            </w:pPr>
            <w:r>
              <w:rPr>
                <w:rFonts w:ascii="Arial" w:cs="Arial" w:eastAsia="Arial" w:hAnsi="Arial"/>
                <w:sz w:val="18"/>
                <w:szCs w:val="18"/>
                <w:color w:val="auto"/>
              </w:rPr>
              <w:t>Andrew &amp; Ellen Astrove</w:t>
            </w:r>
            <w:r>
              <w:rPr>
                <w:rFonts w:ascii="Arial" w:cs="Arial" w:eastAsia="Arial" w:hAnsi="Arial"/>
                <w:sz w:val="29"/>
                <w:szCs w:val="29"/>
                <w:color w:val="auto"/>
                <w:vertAlign w:val="superscript"/>
              </w:rPr>
              <w:t>(1)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10,423</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10,423</w:t>
            </w: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4"/>
        </w:trPr>
        <w:tc>
          <w:tcPr>
            <w:tcW w:w="4500" w:type="dxa"/>
            <w:vAlign w:val="bottom"/>
            <w:gridSpan w:val="3"/>
          </w:tcPr>
          <w:p>
            <w:pPr>
              <w:spacing w:after="0" w:line="324" w:lineRule="exact"/>
              <w:rPr>
                <w:sz w:val="20"/>
                <w:szCs w:val="20"/>
                <w:color w:val="auto"/>
              </w:rPr>
            </w:pPr>
            <w:r>
              <w:rPr>
                <w:rFonts w:ascii="Arial" w:cs="Arial" w:eastAsia="Arial" w:hAnsi="Arial"/>
                <w:sz w:val="18"/>
                <w:szCs w:val="18"/>
                <w:color w:val="auto"/>
              </w:rPr>
              <w:t>Ashwin Surajbali</w:t>
            </w:r>
            <w:r>
              <w:rPr>
                <w:rFonts w:ascii="Arial" w:cs="Arial" w:eastAsia="Arial" w:hAnsi="Arial"/>
                <w:sz w:val="29"/>
                <w:szCs w:val="29"/>
                <w:color w:val="auto"/>
                <w:vertAlign w:val="superscript"/>
              </w:rPr>
              <w:t>(2)</w:t>
            </w:r>
          </w:p>
        </w:tc>
        <w:tc>
          <w:tcPr>
            <w:tcW w:w="720" w:type="dxa"/>
            <w:vAlign w:val="bottom"/>
          </w:tcPr>
          <w:p>
            <w:pPr>
              <w:jc w:val="right"/>
              <w:spacing w:after="0"/>
              <w:rPr>
                <w:sz w:val="20"/>
                <w:szCs w:val="20"/>
                <w:color w:val="auto"/>
              </w:rPr>
            </w:pPr>
            <w:r>
              <w:rPr>
                <w:rFonts w:ascii="Arial" w:cs="Arial" w:eastAsia="Arial" w:hAnsi="Arial"/>
                <w:sz w:val="18"/>
                <w:szCs w:val="18"/>
                <w:color w:val="auto"/>
              </w:rPr>
              <w:t>197,843</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197,843</w:t>
            </w:r>
          </w:p>
        </w:tc>
        <w:tc>
          <w:tcPr>
            <w:tcW w:w="2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4"/>
        </w:trPr>
        <w:tc>
          <w:tcPr>
            <w:tcW w:w="4500" w:type="dxa"/>
            <w:vAlign w:val="bottom"/>
            <w:gridSpan w:val="3"/>
            <w:shd w:val="clear" w:color="auto" w:fill="CCEEFF"/>
          </w:tcPr>
          <w:p>
            <w:pPr>
              <w:spacing w:after="0" w:line="324" w:lineRule="exact"/>
              <w:rPr>
                <w:sz w:val="20"/>
                <w:szCs w:val="20"/>
                <w:color w:val="auto"/>
              </w:rPr>
            </w:pPr>
            <w:r>
              <w:rPr>
                <w:rFonts w:ascii="Arial" w:cs="Arial" w:eastAsia="Arial" w:hAnsi="Arial"/>
                <w:sz w:val="18"/>
                <w:szCs w:val="18"/>
                <w:color w:val="auto"/>
              </w:rPr>
              <w:t>Bradley Nathan Albert</w:t>
            </w:r>
            <w:r>
              <w:rPr>
                <w:rFonts w:ascii="Arial" w:cs="Arial" w:eastAsia="Arial" w:hAnsi="Arial"/>
                <w:sz w:val="29"/>
                <w:szCs w:val="29"/>
                <w:color w:val="auto"/>
                <w:vertAlign w:val="superscript"/>
              </w:rPr>
              <w:t>(3)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32,974</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32,974</w:t>
            </w: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4"/>
        </w:trPr>
        <w:tc>
          <w:tcPr>
            <w:tcW w:w="4500" w:type="dxa"/>
            <w:vAlign w:val="bottom"/>
            <w:gridSpan w:val="3"/>
          </w:tcPr>
          <w:p>
            <w:pPr>
              <w:spacing w:after="0" w:line="324" w:lineRule="exact"/>
              <w:rPr>
                <w:sz w:val="20"/>
                <w:szCs w:val="20"/>
                <w:color w:val="auto"/>
              </w:rPr>
            </w:pPr>
            <w:r>
              <w:rPr>
                <w:rFonts w:ascii="Arial" w:cs="Arial" w:eastAsia="Arial" w:hAnsi="Arial"/>
                <w:sz w:val="18"/>
                <w:szCs w:val="18"/>
                <w:color w:val="auto"/>
              </w:rPr>
              <w:t>Diane Roskind</w:t>
            </w:r>
            <w:r>
              <w:rPr>
                <w:rFonts w:ascii="Arial" w:cs="Arial" w:eastAsia="Arial" w:hAnsi="Arial"/>
                <w:sz w:val="29"/>
                <w:szCs w:val="29"/>
                <w:color w:val="auto"/>
                <w:vertAlign w:val="superscript"/>
              </w:rPr>
              <w:t>(4)</w:t>
            </w:r>
          </w:p>
        </w:tc>
        <w:tc>
          <w:tcPr>
            <w:tcW w:w="720" w:type="dxa"/>
            <w:vAlign w:val="bottom"/>
          </w:tcPr>
          <w:p>
            <w:pPr>
              <w:jc w:val="right"/>
              <w:spacing w:after="0"/>
              <w:rPr>
                <w:sz w:val="20"/>
                <w:szCs w:val="20"/>
                <w:color w:val="auto"/>
              </w:rPr>
            </w:pPr>
            <w:r>
              <w:rPr>
                <w:rFonts w:ascii="Arial" w:cs="Arial" w:eastAsia="Arial" w:hAnsi="Arial"/>
                <w:sz w:val="18"/>
                <w:szCs w:val="18"/>
                <w:color w:val="auto"/>
              </w:rPr>
              <w:t>14,184</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14,184</w:t>
            </w:r>
          </w:p>
        </w:tc>
        <w:tc>
          <w:tcPr>
            <w:tcW w:w="2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4"/>
        </w:trPr>
        <w:tc>
          <w:tcPr>
            <w:tcW w:w="4500" w:type="dxa"/>
            <w:vAlign w:val="bottom"/>
            <w:gridSpan w:val="3"/>
            <w:shd w:val="clear" w:color="auto" w:fill="CCEEFF"/>
          </w:tcPr>
          <w:p>
            <w:pPr>
              <w:spacing w:after="0" w:line="324" w:lineRule="exact"/>
              <w:rPr>
                <w:sz w:val="20"/>
                <w:szCs w:val="20"/>
                <w:color w:val="auto"/>
              </w:rPr>
            </w:pPr>
            <w:r>
              <w:rPr>
                <w:rFonts w:ascii="Arial" w:cs="Arial" w:eastAsia="Arial" w:hAnsi="Arial"/>
                <w:sz w:val="18"/>
                <w:szCs w:val="18"/>
                <w:color w:val="auto"/>
              </w:rPr>
              <w:t>DJK Morris Investments, LLC</w:t>
            </w:r>
            <w:r>
              <w:rPr>
                <w:rFonts w:ascii="Arial" w:cs="Arial" w:eastAsia="Arial" w:hAnsi="Arial"/>
                <w:sz w:val="29"/>
                <w:szCs w:val="29"/>
                <w:color w:val="auto"/>
                <w:vertAlign w:val="superscript"/>
              </w:rPr>
              <w:t>(5)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395,760</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395,760</w:t>
            </w: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4"/>
        </w:trPr>
        <w:tc>
          <w:tcPr>
            <w:tcW w:w="4500" w:type="dxa"/>
            <w:vAlign w:val="bottom"/>
            <w:gridSpan w:val="3"/>
          </w:tcPr>
          <w:p>
            <w:pPr>
              <w:spacing w:after="0" w:line="324" w:lineRule="exact"/>
              <w:rPr>
                <w:sz w:val="20"/>
                <w:szCs w:val="20"/>
                <w:color w:val="auto"/>
              </w:rPr>
            </w:pPr>
            <w:r>
              <w:rPr>
                <w:rFonts w:ascii="Arial" w:cs="Arial" w:eastAsia="Arial" w:hAnsi="Arial"/>
                <w:sz w:val="18"/>
                <w:szCs w:val="18"/>
                <w:color w:val="auto"/>
              </w:rPr>
              <w:t>Farzin Arsanjani</w:t>
            </w:r>
            <w:r>
              <w:rPr>
                <w:rFonts w:ascii="Arial" w:cs="Arial" w:eastAsia="Arial" w:hAnsi="Arial"/>
                <w:sz w:val="29"/>
                <w:szCs w:val="29"/>
                <w:color w:val="auto"/>
                <w:vertAlign w:val="superscript"/>
              </w:rPr>
              <w:t>(6)</w:t>
            </w:r>
          </w:p>
        </w:tc>
        <w:tc>
          <w:tcPr>
            <w:tcW w:w="720" w:type="dxa"/>
            <w:vAlign w:val="bottom"/>
          </w:tcPr>
          <w:p>
            <w:pPr>
              <w:jc w:val="right"/>
              <w:spacing w:after="0"/>
              <w:rPr>
                <w:sz w:val="20"/>
                <w:szCs w:val="20"/>
                <w:color w:val="auto"/>
              </w:rPr>
            </w:pPr>
            <w:r>
              <w:rPr>
                <w:rFonts w:ascii="Arial" w:cs="Arial" w:eastAsia="Arial" w:hAnsi="Arial"/>
                <w:sz w:val="18"/>
                <w:szCs w:val="18"/>
                <w:color w:val="auto"/>
              </w:rPr>
              <w:t>7,092</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7,092</w:t>
            </w:r>
          </w:p>
        </w:tc>
        <w:tc>
          <w:tcPr>
            <w:tcW w:w="2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4"/>
        </w:trPr>
        <w:tc>
          <w:tcPr>
            <w:tcW w:w="4500" w:type="dxa"/>
            <w:vAlign w:val="bottom"/>
            <w:gridSpan w:val="3"/>
            <w:shd w:val="clear" w:color="auto" w:fill="CCEEFF"/>
          </w:tcPr>
          <w:p>
            <w:pPr>
              <w:spacing w:after="0" w:line="324" w:lineRule="exact"/>
              <w:rPr>
                <w:sz w:val="20"/>
                <w:szCs w:val="20"/>
                <w:color w:val="auto"/>
              </w:rPr>
            </w:pPr>
            <w:r>
              <w:rPr>
                <w:rFonts w:ascii="Arial" w:cs="Arial" w:eastAsia="Arial" w:hAnsi="Arial"/>
                <w:sz w:val="18"/>
                <w:szCs w:val="18"/>
                <w:color w:val="auto"/>
              </w:rPr>
              <w:t>Ian Cohen</w:t>
            </w:r>
            <w:r>
              <w:rPr>
                <w:rFonts w:ascii="Arial" w:cs="Arial" w:eastAsia="Arial" w:hAnsi="Arial"/>
                <w:sz w:val="29"/>
                <w:szCs w:val="29"/>
                <w:color w:val="auto"/>
                <w:vertAlign w:val="superscript"/>
              </w:rPr>
              <w:t>(7)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4"/>
        </w:trPr>
        <w:tc>
          <w:tcPr>
            <w:tcW w:w="4500" w:type="dxa"/>
            <w:vAlign w:val="bottom"/>
            <w:gridSpan w:val="3"/>
          </w:tcPr>
          <w:p>
            <w:pPr>
              <w:spacing w:after="0" w:line="324" w:lineRule="exact"/>
              <w:rPr>
                <w:sz w:val="20"/>
                <w:szCs w:val="20"/>
                <w:color w:val="auto"/>
              </w:rPr>
            </w:pPr>
            <w:r>
              <w:rPr>
                <w:rFonts w:ascii="Arial" w:cs="Arial" w:eastAsia="Arial" w:hAnsi="Arial"/>
                <w:sz w:val="18"/>
                <w:szCs w:val="18"/>
                <w:color w:val="auto"/>
              </w:rPr>
              <w:t>Jennifer Goldman-Brisman</w:t>
            </w:r>
            <w:r>
              <w:rPr>
                <w:rFonts w:ascii="Arial" w:cs="Arial" w:eastAsia="Arial" w:hAnsi="Arial"/>
                <w:sz w:val="29"/>
                <w:szCs w:val="29"/>
                <w:color w:val="auto"/>
                <w:vertAlign w:val="superscript"/>
              </w:rPr>
              <w:t>(8)</w:t>
            </w:r>
          </w:p>
        </w:tc>
        <w:tc>
          <w:tcPr>
            <w:tcW w:w="720" w:type="dxa"/>
            <w:vAlign w:val="bottom"/>
          </w:tcPr>
          <w:p>
            <w:pPr>
              <w:jc w:val="right"/>
              <w:spacing w:after="0"/>
              <w:rPr>
                <w:sz w:val="20"/>
                <w:szCs w:val="20"/>
                <w:color w:val="auto"/>
              </w:rPr>
            </w:pPr>
            <w:r>
              <w:rPr>
                <w:rFonts w:ascii="Arial" w:cs="Arial" w:eastAsia="Arial" w:hAnsi="Arial"/>
                <w:sz w:val="18"/>
                <w:szCs w:val="18"/>
                <w:color w:val="auto"/>
              </w:rPr>
              <w:t>1,665</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1,665</w:t>
            </w:r>
          </w:p>
        </w:tc>
        <w:tc>
          <w:tcPr>
            <w:tcW w:w="2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4"/>
        </w:trPr>
        <w:tc>
          <w:tcPr>
            <w:tcW w:w="4500" w:type="dxa"/>
            <w:vAlign w:val="bottom"/>
            <w:gridSpan w:val="3"/>
            <w:shd w:val="clear" w:color="auto" w:fill="CCEEFF"/>
          </w:tcPr>
          <w:p>
            <w:pPr>
              <w:spacing w:after="0" w:line="324" w:lineRule="exact"/>
              <w:rPr>
                <w:sz w:val="20"/>
                <w:szCs w:val="20"/>
                <w:color w:val="auto"/>
              </w:rPr>
            </w:pPr>
            <w:r>
              <w:rPr>
                <w:rFonts w:ascii="Arial" w:cs="Arial" w:eastAsia="Arial" w:hAnsi="Arial"/>
                <w:sz w:val="18"/>
                <w:szCs w:val="18"/>
                <w:color w:val="auto"/>
              </w:rPr>
              <w:t>LCP Group, L.P.</w:t>
            </w:r>
            <w:r>
              <w:rPr>
                <w:rFonts w:ascii="Arial" w:cs="Arial" w:eastAsia="Arial" w:hAnsi="Arial"/>
                <w:sz w:val="29"/>
                <w:szCs w:val="29"/>
                <w:color w:val="auto"/>
                <w:vertAlign w:val="superscript"/>
              </w:rPr>
              <w:t>(9)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14,184</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14,184</w:t>
            </w: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4"/>
        </w:trPr>
        <w:tc>
          <w:tcPr>
            <w:tcW w:w="4500" w:type="dxa"/>
            <w:vAlign w:val="bottom"/>
            <w:gridSpan w:val="3"/>
          </w:tcPr>
          <w:p>
            <w:pPr>
              <w:spacing w:after="0" w:line="324" w:lineRule="exact"/>
              <w:rPr>
                <w:sz w:val="20"/>
                <w:szCs w:val="20"/>
                <w:color w:val="auto"/>
              </w:rPr>
            </w:pPr>
            <w:r>
              <w:rPr>
                <w:rFonts w:ascii="Arial" w:cs="Arial" w:eastAsia="Arial" w:hAnsi="Arial"/>
                <w:sz w:val="18"/>
                <w:szCs w:val="18"/>
                <w:color w:val="auto"/>
              </w:rPr>
              <w:t>LeRoy Robinson</w:t>
            </w:r>
            <w:r>
              <w:rPr>
                <w:rFonts w:ascii="Arial" w:cs="Arial" w:eastAsia="Arial" w:hAnsi="Arial"/>
                <w:sz w:val="29"/>
                <w:szCs w:val="29"/>
                <w:color w:val="auto"/>
                <w:vertAlign w:val="superscript"/>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3,175</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1,665</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1,510</w:t>
            </w:r>
          </w:p>
        </w:tc>
        <w:tc>
          <w:tcPr>
            <w:tcW w:w="200" w:type="dxa"/>
            <w:vAlign w:val="bottom"/>
          </w:tcPr>
          <w:p>
            <w:pPr>
              <w:spacing w:after="0"/>
              <w:rPr>
                <w:sz w:val="24"/>
                <w:szCs w:val="24"/>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500" w:type="dxa"/>
            <w:vAlign w:val="bottom"/>
            <w:gridSpan w:val="3"/>
            <w:shd w:val="clear" w:color="auto" w:fill="CCEEFF"/>
          </w:tcPr>
          <w:p>
            <w:pPr>
              <w:spacing w:after="0" w:line="324" w:lineRule="exact"/>
              <w:rPr>
                <w:sz w:val="20"/>
                <w:szCs w:val="20"/>
                <w:color w:val="auto"/>
              </w:rPr>
            </w:pPr>
            <w:r>
              <w:rPr>
                <w:rFonts w:ascii="Arial" w:cs="Arial" w:eastAsia="Arial" w:hAnsi="Arial"/>
                <w:sz w:val="18"/>
                <w:szCs w:val="18"/>
                <w:color w:val="auto"/>
              </w:rPr>
              <w:t>M&amp;S Investment Group, LLC</w:t>
            </w:r>
            <w:r>
              <w:rPr>
                <w:rFonts w:ascii="Arial" w:cs="Arial" w:eastAsia="Arial" w:hAnsi="Arial"/>
                <w:sz w:val="29"/>
                <w:szCs w:val="29"/>
                <w:color w:val="auto"/>
                <w:vertAlign w:val="superscript"/>
              </w:rPr>
              <w:t>(11)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4"/>
        </w:trPr>
        <w:tc>
          <w:tcPr>
            <w:tcW w:w="4500" w:type="dxa"/>
            <w:vAlign w:val="bottom"/>
            <w:gridSpan w:val="3"/>
          </w:tcPr>
          <w:p>
            <w:pPr>
              <w:spacing w:after="0" w:line="324" w:lineRule="exact"/>
              <w:rPr>
                <w:sz w:val="20"/>
                <w:szCs w:val="20"/>
                <w:color w:val="auto"/>
              </w:rPr>
            </w:pPr>
            <w:r>
              <w:rPr>
                <w:rFonts w:ascii="Arial" w:cs="Arial" w:eastAsia="Arial" w:hAnsi="Arial"/>
                <w:sz w:val="18"/>
                <w:szCs w:val="18"/>
                <w:color w:val="auto"/>
              </w:rPr>
              <w:t>MembersRSVP, LLC</w:t>
            </w:r>
            <w:r>
              <w:rPr>
                <w:rFonts w:ascii="Arial" w:cs="Arial" w:eastAsia="Arial" w:hAnsi="Arial"/>
                <w:sz w:val="29"/>
                <w:szCs w:val="29"/>
                <w:color w:val="auto"/>
                <w:vertAlign w:val="superscript"/>
              </w:rPr>
              <w:t>(12)</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1,244,258</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1,244,258</w:t>
            </w:r>
          </w:p>
        </w:tc>
        <w:tc>
          <w:tcPr>
            <w:tcW w:w="2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4"/>
        </w:trPr>
        <w:tc>
          <w:tcPr>
            <w:tcW w:w="4500" w:type="dxa"/>
            <w:vAlign w:val="bottom"/>
            <w:gridSpan w:val="3"/>
            <w:shd w:val="clear" w:color="auto" w:fill="CCEEFF"/>
          </w:tcPr>
          <w:p>
            <w:pPr>
              <w:spacing w:after="0" w:line="324" w:lineRule="exact"/>
              <w:rPr>
                <w:sz w:val="20"/>
                <w:szCs w:val="20"/>
                <w:color w:val="auto"/>
              </w:rPr>
            </w:pPr>
            <w:r>
              <w:rPr>
                <w:rFonts w:ascii="Arial" w:cs="Arial" w:eastAsia="Arial" w:hAnsi="Arial"/>
                <w:sz w:val="18"/>
                <w:szCs w:val="18"/>
                <w:color w:val="auto"/>
              </w:rPr>
              <w:t>Michael Schlaefer</w:t>
            </w:r>
            <w:r>
              <w:rPr>
                <w:rFonts w:ascii="Arial" w:cs="Arial" w:eastAsia="Arial" w:hAnsi="Arial"/>
                <w:sz w:val="29"/>
                <w:szCs w:val="29"/>
                <w:color w:val="auto"/>
                <w:vertAlign w:val="superscript"/>
              </w:rPr>
              <w:t>(13)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20"/>
        </w:trPr>
        <w:tc>
          <w:tcPr>
            <w:tcW w:w="4500" w:type="dxa"/>
            <w:vAlign w:val="bottom"/>
            <w:gridSpan w:val="3"/>
          </w:tcPr>
          <w:p>
            <w:pPr>
              <w:spacing w:after="0"/>
              <w:rPr>
                <w:sz w:val="20"/>
                <w:szCs w:val="20"/>
                <w:color w:val="auto"/>
              </w:rPr>
            </w:pPr>
            <w:r>
              <w:rPr>
                <w:rFonts w:ascii="Arial" w:cs="Arial" w:eastAsia="Arial" w:hAnsi="Arial"/>
                <w:sz w:val="18"/>
                <w:szCs w:val="18"/>
                <w:color w:val="auto"/>
              </w:rPr>
              <w:t>Yael Morris</w:t>
            </w:r>
            <w:r>
              <w:rPr>
                <w:rFonts w:ascii="Arial" w:cs="Arial" w:eastAsia="Arial" w:hAnsi="Arial"/>
                <w:sz w:val="29"/>
                <w:szCs w:val="29"/>
                <w:color w:val="auto"/>
                <w:vertAlign w:val="superscript"/>
              </w:rPr>
              <w:t>(14)</w:t>
            </w:r>
          </w:p>
        </w:tc>
        <w:tc>
          <w:tcPr>
            <w:tcW w:w="720" w:type="dxa"/>
            <w:vAlign w:val="bottom"/>
          </w:tcPr>
          <w:p>
            <w:pPr>
              <w:jc w:val="right"/>
              <w:spacing w:after="0"/>
              <w:rPr>
                <w:sz w:val="20"/>
                <w:szCs w:val="20"/>
                <w:color w:val="auto"/>
              </w:rPr>
            </w:pPr>
            <w:r>
              <w:rPr>
                <w:rFonts w:ascii="Arial" w:cs="Arial" w:eastAsia="Arial" w:hAnsi="Arial"/>
                <w:sz w:val="18"/>
                <w:szCs w:val="18"/>
                <w:color w:val="auto"/>
              </w:rPr>
              <w:t>6,662</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6,662</w:t>
            </w:r>
          </w:p>
        </w:tc>
        <w:tc>
          <w:tcPr>
            <w:tcW w:w="2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-2957830</wp:posOffset>
            </wp:positionV>
            <wp:extent cx="137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-2957830</wp:posOffset>
            </wp:positionV>
            <wp:extent cx="137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-2957830</wp:posOffset>
            </wp:positionV>
            <wp:extent cx="137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-2957830</wp:posOffset>
            </wp:positionV>
            <wp:extent cx="137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-2957830</wp:posOffset>
            </wp:positionV>
            <wp:extent cx="137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127635</wp:posOffset>
            </wp:positionV>
            <wp:extent cx="8229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30" w:lineRule="exact"/>
        <w:rPr>
          <w:sz w:val="20"/>
          <w:szCs w:val="20"/>
          <w:color w:val="auto"/>
        </w:rPr>
      </w:pPr>
    </w:p>
    <w:p>
      <w:pPr>
        <w:ind w:left="640" w:hanging="348"/>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Denotes less than one percent.</w:t>
      </w:r>
    </w:p>
    <w:p>
      <w:pPr>
        <w:spacing w:after="0" w:line="42" w:lineRule="exact"/>
        <w:rPr>
          <w:sz w:val="20"/>
          <w:szCs w:val="20"/>
          <w:color w:val="auto"/>
        </w:rPr>
      </w:pPr>
    </w:p>
    <w:p>
      <w:pPr>
        <w:ind w:left="640" w:hanging="348"/>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Each of Andrew Astrove and Ellen Astrove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Ashwin Surajbali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Bradley Nathan Albert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Diane Roskind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Keith E. Morris is deemed to have power to vote or dispose of the Registrable Securities. Keith E. Morris is our Vice President.</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Farzin Arsanjani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Ian Cohen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Jennifer Goldman-Brisman is deemed to have power to vote or dispose of the Registrable Securities.</w:t>
      </w:r>
    </w:p>
    <w:p>
      <w:pPr>
        <w:spacing w:after="0" w:line="4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E. Robert Roskind, in his capacity as Founder and Chairman of LCP Group, L.P., is deemed to have investment discretion and voting power over the Registrable Securities held by LCP Group, L.P.</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LeRoy Robinson is deemed to have power to vote or dispose of the Registrable Securities.</w:t>
      </w:r>
    </w:p>
    <w:p>
      <w:pPr>
        <w:spacing w:after="0" w:line="41" w:lineRule="exact"/>
        <w:rPr>
          <w:rFonts w:ascii="Arial" w:cs="Arial" w:eastAsia="Arial" w:hAnsi="Arial"/>
          <w:sz w:val="14"/>
          <w:szCs w:val="14"/>
          <w:color w:val="auto"/>
        </w:rPr>
      </w:pPr>
    </w:p>
    <w:p>
      <w:pPr>
        <w:ind w:left="640" w:right="319" w:hanging="348"/>
        <w:spacing w:after="0" w:line="281" w:lineRule="auto"/>
        <w:tabs>
          <w:tab w:leader="none" w:pos="640" w:val="left"/>
        </w:tabs>
        <w:numPr>
          <w:ilvl w:val="0"/>
          <w:numId w:val="6"/>
        </w:numPr>
        <w:rPr>
          <w:rFonts w:ascii="Arial" w:cs="Arial" w:eastAsia="Arial" w:hAnsi="Arial"/>
          <w:sz w:val="13"/>
          <w:szCs w:val="13"/>
          <w:color w:val="auto"/>
        </w:rPr>
      </w:pPr>
      <w:r>
        <w:rPr>
          <w:rFonts w:ascii="Arial" w:cs="Arial" w:eastAsia="Arial" w:hAnsi="Arial"/>
          <w:sz w:val="13"/>
          <w:szCs w:val="13"/>
          <w:color w:val="auto"/>
        </w:rPr>
        <w:t>Mehran Aliakbar serves as the managing member of M&amp;S Investment Group, LLC. By virtue of this relationship, Mehran Aliakbar may be deemed to have voting and dispositive power with respect to the Registrable Securities held by M&amp;S Investment Group, LLC.</w:t>
      </w:r>
    </w:p>
    <w:p>
      <w:pPr>
        <w:jc w:val="both"/>
        <w:ind w:left="640" w:right="299" w:hanging="348"/>
        <w:spacing w:after="0" w:line="238" w:lineRule="auto"/>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Jaret Christopher serves as the Chief Executive Officer of MembersRSVP, LLC. By virtue of this relationship, Jaret Christopher may be deemed to have voting and dispositive power with respect to the Registrable Securities held by MembersRSVP, LLC. Jaret Christopher is our Vice President and General Manager of Customer Relationship Management.</w:t>
      </w:r>
    </w:p>
    <w:p>
      <w:pPr>
        <w:spacing w:after="0" w:line="20" w:lineRule="exact"/>
        <w:rPr>
          <w:rFonts w:ascii="Arial" w:cs="Arial" w:eastAsia="Arial" w:hAnsi="Arial"/>
          <w:sz w:val="14"/>
          <w:szCs w:val="14"/>
          <w:color w:val="auto"/>
        </w:rPr>
      </w:pPr>
    </w:p>
    <w:p>
      <w:pPr>
        <w:ind w:left="640" w:hanging="348"/>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Michael Schlaefer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Yael Morris is deemed to have power to vote or dispose of the Registrable Securities.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4" w:name="page15"/>
    <w:bookmarkEnd w:id="1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21" w:lineRule="exact"/>
        <w:rPr>
          <w:sz w:val="20"/>
          <w:szCs w:val="20"/>
          <w:color w:val="auto"/>
        </w:rPr>
      </w:pPr>
    </w:p>
    <w:p>
      <w:pPr>
        <w:jc w:val="both"/>
        <w:ind w:left="300" w:right="319" w:firstLine="360"/>
        <w:spacing w:after="0" w:line="273" w:lineRule="auto"/>
        <w:rPr>
          <w:sz w:val="20"/>
          <w:szCs w:val="20"/>
          <w:color w:val="auto"/>
        </w:rPr>
      </w:pPr>
      <w:r>
        <w:rPr>
          <w:rFonts w:ascii="Arial" w:cs="Arial" w:eastAsia="Arial" w:hAnsi="Arial"/>
          <w:sz w:val="17"/>
          <w:szCs w:val="17"/>
          <w:color w:val="auto"/>
        </w:rPr>
        <w:t>The following summary of the material terms of our securities is not intended to be a complete summary of the rights and preferences of such securities, and is qualified by reference to our certificate of incorporation (our “Certificate of Incorporation”), our amended and restated bylaws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Authorized and Outstanding Stock</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Our Certificate of Incorporation authorizes the issuance of 2,075,000,000 shares of capital stock, consisting of (x) 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non-assessable. As of June 30, 2022, there were (1) 88,836,328 shares of Class A Common Stock, (2) 56,466,013 shares of Class V Common Stock and no shares of preferred stock outstanding.</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V Common Stock</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holders of the Class V Common Stock will not participate in any dividends declared by our board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V Common Stock are not entitled to receive any of our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holders of shares of Class V Common Stock do not have preemptive, subscription, redemption or conversion rights. There will be no redemption or sinking fund provisions applicable to the Class V Common Stock.</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Issuance and Retirement of Class V Common Stock</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In the event that any outstanding share of Class V Common Stock ceases to be held directly or indirectly by a holder of Class A units representing limited liability company interests of WMH LLC (the “Class A Units”), such share will automatically be transferred to us for no consideration and thereupon will be retired. We will not issue additional shares of Class V Common Stock other than in connection with the valid issuance or transfer of Class P units representing limited liability company interests of WMH LLC (the “Class P Units” and together with the Class A Units, the “Units”) or Class A Units in accordance with the governing documents of WMH LLC.</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8"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Warrants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Each whole the public warrants originally issued in the initial public offering of Silver Spike (the “Public Warrants”) entitles the registered holder to purchase one share of Class A Common Stock at a price of $11.50 per share, subject to adjustment as discussed below, at any time commencing 30 days after the Closing, provided that we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have an effective registration statement under the Securities Act covering the issuance of the shares of Class A Common Stock issuable upon exercise of the Public Warrants and a current prospectus relating to them is available and such shares are registered, qualified or exempt from registration under the securities, or blue sky laws of the state of residence of the holder (or we permits holders to exercise their Public Warrants on a cashless basis under the circumstances specified in the Warrant Agreement). A holder of Public Warrants may exercise its Public 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7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66"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upon not less than 30 days’ prior written notice of redemption to each holder of Public Warrants; and</w:t>
      </w:r>
    </w:p>
    <w:p>
      <w:pPr>
        <w:spacing w:after="0" w:line="128" w:lineRule="exact"/>
        <w:rPr>
          <w:rFonts w:ascii="Arial" w:cs="Arial" w:eastAsia="Arial" w:hAnsi="Arial"/>
          <w:sz w:val="17"/>
          <w:szCs w:val="17"/>
          <w:color w:val="auto"/>
        </w:rPr>
      </w:pPr>
    </w:p>
    <w:p>
      <w:pPr>
        <w:jc w:val="both"/>
        <w:ind w:left="1000" w:right="319" w:hanging="348"/>
        <w:spacing w:after="0" w:line="25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80"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If and when the Public Warrants become redeemable by us, we may exercise our redemption right even if we are unable to register or qualify the underlying securities for sale under all applicable state securities laws.</w:t>
      </w:r>
    </w:p>
    <w:p>
      <w:pPr>
        <w:spacing w:after="0" w:line="3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4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 Public Warrants by (y) the fair market value. The “fair market value” will mean the average last reported sale price 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LLC (“Silver Spike Sponsor”) and its permitted transferees would still be entitled to exercise their warrants originally issued in a private placement (the “Private Placement Warrants” and together with the Public Warrants, the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68"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68"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common stock) multiplied by (2) 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66"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5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68"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Whenever the number of shares of Class A Common Stock purchasable upon exercise of the Public Warrants is adjusted, as described above, the Public Warrant exercise price will be adjusted by multiplying the Public Warrant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79"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6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then issued and outstanding Public Warrants to make any change that adversely affects the interests of the registered holders of Public Warrants.</w:t>
      </w:r>
    </w:p>
    <w:p>
      <w:pPr>
        <w:spacing w:after="0" w:line="8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7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Anti-Takeover Provisions of Delaware Law</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17" w:lineRule="exact"/>
        <w:rPr>
          <w:sz w:val="20"/>
          <w:szCs w:val="20"/>
          <w:color w:val="auto"/>
        </w:rPr>
      </w:pPr>
    </w:p>
    <w:p>
      <w:pPr>
        <w:jc w:val="both"/>
        <w:ind w:left="300" w:right="299" w:firstLine="360"/>
        <w:spacing w:after="0" w:line="228"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nor earlier than the open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and no later than the close of business on the latter of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or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6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Delaware General Corporation Law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67" w:lineRule="auto"/>
        <w:rPr>
          <w:sz w:val="20"/>
          <w:szCs w:val="20"/>
          <w:color w:val="auto"/>
        </w:rPr>
      </w:pPr>
      <w:r>
        <w:rPr>
          <w:rFonts w:ascii="Arial" w:cs="Arial" w:eastAsia="Arial" w:hAnsi="Arial"/>
          <w:sz w:val="17"/>
          <w:szCs w:val="17"/>
          <w:color w:val="auto"/>
        </w:rPr>
        <w:t>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opt out of Section 203 of the DGCL under our Certificate of Incorporation.</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Limitation on Liability and Indemnification of Directors and Officers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76" w:lineRule="exact"/>
        <w:rPr>
          <w:sz w:val="20"/>
          <w:szCs w:val="20"/>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79" w:lineRule="exact"/>
        <w:rPr>
          <w:sz w:val="20"/>
          <w:szCs w:val="20"/>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Closing, we ceased to be a shell company.</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9" w:lineRule="exact"/>
        <w:rPr>
          <w:sz w:val="20"/>
          <w:szCs w:val="20"/>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percent (1%) of the total number of shares of Class A Common Stock then outstanding; or</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Common Stock during the four calendar weeks preceding the filing of a notice on Form 144 with respect to the sale.</w:t>
      </w:r>
    </w:p>
    <w:p>
      <w:pPr>
        <w:spacing w:after="0" w:line="62"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Sales by our affiliates under Rule 144 will also be limited by manner of sale provisions and notice requirements and to the availability of current public information about us.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Warrant Agent and Registrar</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transfer agent, warrant agent and registrar for our Class A Common Stock, Class V Common Stock and Warrants is Continental Stock Transfer &amp; Trust Company.</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 of Securities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Our Class A Common Stock and Public Warrants are listed on Nasdaq under the symbols “MAPS” and “MAPW,”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following discussion is a summary of material U.S. federal income tax considerations generally applicable to the purchase, ownership and disposition of our Class A Common Stock. The Class A Common Stock is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49"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 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65"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8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76" w:lineRule="exact"/>
        <w:rPr>
          <w:sz w:val="20"/>
          <w:szCs w:val="20"/>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this discussion, a “non-U.S. Holder” is a beneficial owner of our securities that is neither a U.S.</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Holder nor a partnership or an entity or arrangement treated as a partnership for U.S. federal income tax purposes.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Considerations Applicable to U.S. 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Holders—Gain or Loss on Sale, Taxable Exchange or Other Taxable Disposition of Class A Common Stock” below.</w:t>
      </w:r>
    </w:p>
    <w:p>
      <w:pPr>
        <w:spacing w:after="0" w:line="88"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Gain or Loss on Sale, Taxable Exchange or Other Taxable Disposition of Class A Common Stock</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taxed at ordinary income tax rates. The deductibility of capital losses is subject to limitations.</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general, information reporting requirements may apply to dividends paid to a U.S. Holder and to the proceeds of the sale or other disposition of our shares of Class A Common Stock,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Taxpayers should consult their tax advisors regarding their qualification for an exemption from backup withholding and the procedures for obtaining such an exemption.</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Considerations Applicable to Non-U.S. 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In general, any distributions (including constructive distributions) we make to a non-U.S. Holder of shares on our Class A Common Stock, to the extent paid out of our current or accumulated earnings and profits (as determined under U.S. federal income tax principles), will constitute dividends for U.S. federal income tax purposes 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“Non-U.S. Holders— Possible Constructive Distributions”), it is possible that this tax would be withheld from any amount owed to a non-U.S. Holder by the applicable withholding agent, including cash distributions on other property or sale proceeds from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Holders—Gain on Sale, Taxable Exchange or Other Taxable Disposition of Class A Common” below. In addition, if we determine that we are likely to be classified as a “United States real property holding corporation” (see the section entitled “Non-U.S. Holders—Gain on Sale, Exchange or Other Taxable Disposition of Class A Common Stock” below), we will withhold 15% of any distribution that exceeds our current and accumulated earnings and profits.</w:t>
      </w:r>
    </w:p>
    <w:p>
      <w:pPr>
        <w:spacing w:after="0" w:line="7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Gain on Sale, Exchange or Other Taxable Disposition of Class A Common Stock</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A non-U.S. Holder generally will not be subject to U.S. federal income or withholding tax in respect of gain recognized on a sale, taxable exchange or other taxable disposition of our Class A Common Stock, unless:</w:t>
      </w:r>
    </w:p>
    <w:p>
      <w:pPr>
        <w:spacing w:after="0" w:line="38" w:lineRule="exact"/>
        <w:rPr>
          <w:sz w:val="20"/>
          <w:szCs w:val="20"/>
          <w:color w:val="auto"/>
        </w:rPr>
      </w:pPr>
    </w:p>
    <w:p>
      <w:pPr>
        <w:jc w:val="both"/>
        <w:ind w:left="1000" w:right="319" w:hanging="348"/>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62" w:lineRule="exact"/>
        <w:rPr>
          <w:rFonts w:ascii="Arial" w:cs="Arial" w:eastAsia="Arial" w:hAnsi="Arial"/>
          <w:sz w:val="18"/>
          <w:szCs w:val="18"/>
          <w:color w:val="auto"/>
        </w:rPr>
      </w:pPr>
    </w:p>
    <w:p>
      <w:pPr>
        <w:jc w:val="both"/>
        <w:ind w:left="1000" w:right="299" w:hanging="348"/>
        <w:spacing w:after="0" w:line="270"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or not regularly traded on an established securities market for this purpose.</w:t>
      </w:r>
    </w:p>
    <w:p>
      <w:pPr>
        <w:spacing w:after="0" w:line="73"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the third bullet point above applies to a non-U.S. Holder and applicable exceptions are not available, gain recognized by such holder on the sale, exchange or other disposition of our Class A Common Stock, as applicable, will be subject to tax at generally applicable U.S. federal income tax rates. In addition, a buyer of our Class A Common Stock from such holder may be required to withhold U.S. income tax at a rate of 15% of the amount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Provisions of the Code and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67" w:lineRule="auto"/>
        <w:tabs>
          <w:tab w:leader="none" w:pos="56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Prospective investors should consult their tax advisors regarding the possible implications of FATCA on their investment in our securities.</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Information returns will be filed with the IRS in connection with payments of dividends and the proceeds from a sale or other disposition of our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We are registering the resale by the Selling Securityholders or their permitted transferees from time to time of up to 1,938,798 shares of Class A Common Stock. We are required to pay all fees and expenses incident to the registration of the securities to be offered and sold pursuant to this prospectus. The Selling Securityholders will pay any underwriting discounts, selling commissions or transfer taxes incurred in disposing of the Shares and the expenses of any attorney or other advisor they decide to employ. We will bear all other costs, fees and expenses incurred in effecting the registration of the Shares covered by this prospectus. These may include, without limitation, all registration, filing, stock exchange fees, printing expenses, all fees and expenses of complying with applicable securities laws and the fees and disbursements of our counsel and of our independent accountants and reasonable fees.</w:t>
      </w:r>
    </w:p>
    <w:p>
      <w:pPr>
        <w:spacing w:after="0" w:line="8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will not receive any of the proceeds from the sale of the securities by the Selling Securityholders. The aggregate proceeds to the Selling Securityholders will be the purchase price of the securities less any discounts and commissions borne by the Selling Securityholders.</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w:t>
      </w:r>
    </w:p>
    <w:p>
      <w:pPr>
        <w:spacing w:after="0" w:line="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Selling Securityholders may sell their securities by one or more of, or a combination of, the following methods:</w:t>
      </w:r>
    </w:p>
    <w:p>
      <w:pPr>
        <w:spacing w:after="0" w:line="49" w:lineRule="exact"/>
        <w:rPr>
          <w:sz w:val="20"/>
          <w:szCs w:val="20"/>
          <w:color w:val="auto"/>
        </w:rPr>
      </w:pPr>
    </w:p>
    <w:p>
      <w:pPr>
        <w:ind w:left="1000" w:right="31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48"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90"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shares as agent but may position and resell a portion of the block as principal to facilitate the transaction;</w:t>
      </w:r>
    </w:p>
    <w:p>
      <w:pPr>
        <w:spacing w:after="0" w:line="48"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Nasdaq;</w:t>
      </w:r>
    </w:p>
    <w:p>
      <w:pPr>
        <w:spacing w:after="0" w:line="103"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51"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distribution to employees, members, limited partners or stockholders of the Selling Securityholders;</w:t>
      </w:r>
    </w:p>
    <w:p>
      <w:pPr>
        <w:spacing w:after="0" w:line="115"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 whether through an options exchange or otherwise;</w:t>
      </w:r>
    </w:p>
    <w:p>
      <w:pPr>
        <w:spacing w:after="0" w:line="35"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delayed delivery arrangements;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or through underwriters or broker-dealers;</w:t>
      </w:r>
    </w:p>
    <w:p>
      <w:pPr>
        <w:spacing w:after="0" w:line="90"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65"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7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7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validity of any securities offered by this prospectus herein has been passed upon for us by Cooley LLP.</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left="300" w:right="319" w:firstLine="360"/>
        <w:spacing w:after="0" w:line="293" w:lineRule="auto"/>
        <w:rPr>
          <w:sz w:val="20"/>
          <w:szCs w:val="20"/>
          <w:color w:val="auto"/>
        </w:rPr>
      </w:pPr>
      <w:r>
        <w:rPr>
          <w:rFonts w:ascii="Arial" w:cs="Arial" w:eastAsia="Arial" w:hAnsi="Arial"/>
          <w:sz w:val="16"/>
          <w:szCs w:val="16"/>
          <w:color w:val="auto"/>
        </w:rPr>
        <w:t>The consolidated financial statements of the Company appearing in the Company’s Annual Report on Form 10-K for the year ended as of December 31, 2021 have been audited by Baker Tilly US, LLP (“Baker Tilly”), an independent registered public accounting firm, as stated in their report thereon, included therein, and incorporated herein by reference, which report expresses an unqualified opinion and includes an emphasis of matter paragraph relating to the industry in which WMTI operates. Such consolidated financial statements are incorporated by reference in reliance upon such reports and upon the authority of such firm as experts in accounting and auditing.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7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i w:val="1"/>
          <w:iCs w:val="1"/>
          <w:color w:val="auto"/>
        </w:rPr>
        <w:t>www.weedmaps.com</w:t>
      </w:r>
      <w:r>
        <w:rPr>
          <w:rFonts w:ascii="Arial" w:cs="Arial" w:eastAsia="Arial" w:hAnsi="Arial"/>
          <w:sz w:val="17"/>
          <w:szCs w:val="17"/>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The documents we are incorporating by reference as of their respective dates of filing are:</w:t>
      </w:r>
    </w:p>
    <w:p>
      <w:pPr>
        <w:spacing w:after="0" w:line="58" w:lineRule="exact"/>
        <w:rPr>
          <w:sz w:val="20"/>
          <w:szCs w:val="20"/>
          <w:color w:val="auto"/>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0000EE"/>
        </w:rPr>
      </w:pPr>
      <w:hyperlink r:id="rId54">
        <w:r>
          <w:rPr>
            <w:rFonts w:ascii="Arial" w:cs="Arial" w:eastAsia="Arial" w:hAnsi="Arial"/>
            <w:sz w:val="18"/>
            <w:szCs w:val="18"/>
            <w:color w:val="auto"/>
          </w:rPr>
          <w:t xml:space="preserve">our Annual Report on Form 10-K for the year ended December 31, 2021, filed with the SEC on </w:t>
        </w:r>
        <w:r>
          <w:rPr>
            <w:rFonts w:ascii="Arial" w:cs="Arial" w:eastAsia="Arial" w:hAnsi="Arial"/>
            <w:sz w:val="18"/>
            <w:szCs w:val="18"/>
            <w:u w:val="single" w:color="auto"/>
            <w:color w:val="0000EE"/>
          </w:rPr>
          <w:t>February</w:t>
        </w:r>
      </w:hyperlink>
      <w:r>
        <w:rPr>
          <w:rFonts w:ascii="Arial" w:cs="Arial" w:eastAsia="Arial" w:hAnsi="Arial"/>
          <w:sz w:val="18"/>
          <w:szCs w:val="18"/>
          <w:color w:val="auto"/>
        </w:rPr>
        <w:t xml:space="preserve"> </w:t>
      </w:r>
      <w:hyperlink r:id="rId54">
        <w:r>
          <w:rPr>
            <w:rFonts w:ascii="Arial" w:cs="Arial" w:eastAsia="Arial" w:hAnsi="Arial"/>
            <w:sz w:val="18"/>
            <w:szCs w:val="18"/>
            <w:u w:val="single" w:color="auto"/>
            <w:color w:val="0000EE"/>
          </w:rPr>
          <w:t>25, 2022</w:t>
        </w:r>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0000EE"/>
        </w:rPr>
      </w:pPr>
      <w:hyperlink r:id="rId55">
        <w:r>
          <w:rPr>
            <w:rFonts w:ascii="Arial" w:cs="Arial" w:eastAsia="Arial" w:hAnsi="Arial"/>
            <w:sz w:val="18"/>
            <w:szCs w:val="18"/>
            <w:color w:val="auto"/>
          </w:rPr>
          <w:t xml:space="preserve">our Definitive Proxy Statement on Form DEF 14A for the year ended December 31, 2021, filed on </w:t>
        </w:r>
        <w:r>
          <w:rPr>
            <w:rFonts w:ascii="Arial" w:cs="Arial" w:eastAsia="Arial" w:hAnsi="Arial"/>
            <w:sz w:val="18"/>
            <w:szCs w:val="18"/>
            <w:u w:val="single" w:color="auto"/>
            <w:color w:val="0000EE"/>
          </w:rPr>
          <w:t>April</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EE"/>
          </w:rPr>
          <w:t>29, 2022</w:t>
        </w:r>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0000EE"/>
        </w:rPr>
      </w:pPr>
      <w:hyperlink r:id="rId56">
        <w:r>
          <w:rPr>
            <w:rFonts w:ascii="Arial" w:cs="Arial" w:eastAsia="Arial" w:hAnsi="Arial"/>
            <w:sz w:val="18"/>
            <w:szCs w:val="18"/>
            <w:color w:val="auto"/>
          </w:rPr>
          <w:t xml:space="preserve">our Quarterly Reports on Form 10-Q for the quarter ended March 31, 2022, filed with the SEC on </w:t>
        </w:r>
        <w:r>
          <w:rPr>
            <w:rFonts w:ascii="Arial" w:cs="Arial" w:eastAsia="Arial" w:hAnsi="Arial"/>
            <w:sz w:val="18"/>
            <w:szCs w:val="18"/>
            <w:u w:val="single" w:color="auto"/>
            <w:color w:val="0000EE"/>
          </w:rPr>
          <w:t>May 6,</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2022</w:t>
        </w:r>
        <w:r>
          <w:rPr>
            <w:rFonts w:ascii="Arial" w:cs="Arial" w:eastAsia="Arial" w:hAnsi="Arial"/>
            <w:sz w:val="18"/>
            <w:szCs w:val="18"/>
            <w:color w:val="000000"/>
          </w:rPr>
          <w:t>, and for the quarter ended June 30, 2022, filed with the SEC on</w:t>
        </w:r>
        <w:r>
          <w:rPr>
            <w:rFonts w:ascii="Arial" w:cs="Arial" w:eastAsia="Arial" w:hAnsi="Arial"/>
            <w:sz w:val="18"/>
            <w:szCs w:val="18"/>
            <w:color w:val="0000EE"/>
          </w:rPr>
          <w:t xml:space="preserve"> </w:t>
        </w:r>
      </w:hyperlink>
      <w:hyperlink r:id="rId57">
        <w:r>
          <w:rPr>
            <w:rFonts w:ascii="Arial" w:cs="Arial" w:eastAsia="Arial" w:hAnsi="Arial"/>
            <w:sz w:val="18"/>
            <w:szCs w:val="18"/>
            <w:u w:val="single" w:color="auto"/>
            <w:color w:val="0000EE"/>
          </w:rPr>
          <w:t>August 9, 2022</w:t>
        </w:r>
      </w:hyperlink>
      <w:hyperlink r:id="rId56">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0000EE"/>
        </w:rPr>
      </w:pPr>
      <w:hyperlink r:id="rId58">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March 11,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27, 2022</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August 9,</w:t>
        </w:r>
      </w:hyperlink>
      <w:r>
        <w:rPr>
          <w:rFonts w:ascii="Arial" w:cs="Arial" w:eastAsia="Arial" w:hAnsi="Arial"/>
          <w:sz w:val="18"/>
          <w:szCs w:val="18"/>
          <w:color w:val="auto"/>
        </w:rPr>
        <w:t xml:space="preserve"> </w:t>
      </w:r>
      <w:hyperlink r:id="rId58">
        <w:r>
          <w:rPr>
            <w:rFonts w:ascii="Arial" w:cs="Arial" w:eastAsia="Arial" w:hAnsi="Arial"/>
            <w:sz w:val="18"/>
            <w:szCs w:val="18"/>
            <w:u w:val="single" w:color="auto"/>
            <w:color w:val="0000EE"/>
          </w:rPr>
          <w:t>2022</w:t>
        </w:r>
        <w:r>
          <w:rPr>
            <w:rFonts w:ascii="Arial" w:cs="Arial" w:eastAsia="Arial" w:hAnsi="Arial"/>
            <w:sz w:val="18"/>
            <w:szCs w:val="18"/>
            <w:color w:val="0000EE"/>
          </w:rPr>
          <w:t xml:space="preserve"> </w:t>
        </w:r>
        <w:r>
          <w:rPr>
            <w:rFonts w:ascii="Arial" w:cs="Arial" w:eastAsia="Arial" w:hAnsi="Arial"/>
            <w:sz w:val="18"/>
            <w:szCs w:val="18"/>
            <w:color w:val="000000"/>
          </w:rPr>
          <w:t>to the extent the information in such reports is filed and not furnished; and</w:t>
        </w:r>
      </w:hyperlink>
    </w:p>
    <w:p>
      <w:pPr>
        <w:spacing w:after="0" w:line="62" w:lineRule="exact"/>
        <w:rPr>
          <w:rFonts w:ascii="Arial" w:cs="Arial" w:eastAsia="Arial" w:hAnsi="Arial"/>
          <w:sz w:val="18"/>
          <w:szCs w:val="18"/>
          <w:color w:val="0000EE"/>
        </w:rPr>
      </w:pPr>
    </w:p>
    <w:p>
      <w:pPr>
        <w:jc w:val="both"/>
        <w:ind w:left="1000" w:right="319" w:hanging="348"/>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description of securities contained in </w:t>
      </w:r>
      <w:hyperlink r:id="rId59">
        <w:r>
          <w:rPr>
            <w:rFonts w:ascii="Arial" w:cs="Arial" w:eastAsia="Arial" w:hAnsi="Arial"/>
            <w:sz w:val="18"/>
            <w:szCs w:val="18"/>
            <w:u w:val="single" w:color="auto"/>
            <w:color w:val="0000EE"/>
          </w:rPr>
          <w:t>Exhibit 4.5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our Annual Report on Form 10-K for the year ended December 31, 2021 filed with the SEC on February 25, 2022, and any amendment or report filed with the SEC for the purpose of updating such description.</w:t>
      </w:r>
    </w:p>
    <w:p>
      <w:pPr>
        <w:spacing w:after="0" w:line="76" w:lineRule="exact"/>
        <w:rPr>
          <w:rFonts w:ascii="Arial" w:cs="Arial" w:eastAsia="Arial" w:hAnsi="Arial"/>
          <w:sz w:val="18"/>
          <w:szCs w:val="18"/>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All documents we subsequently file pursuant to Section 13(a), 13(c), 14 or 15(d) of the Exchange Act, prior to the termination of this offering, including all such documents we may file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68" w:lineRule="exact"/>
        <w:rPr>
          <w:rFonts w:ascii="Arial" w:cs="Arial" w:eastAsia="Arial" w:hAnsi="Arial"/>
          <w:sz w:val="18"/>
          <w:szCs w:val="18"/>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You may obtain any of the documents incorporated by reference in this prospectus from the SEC through the SEC’s website at the address provided above. You also may request a copy of any document incorporated by reference in this prospectus (excluding any exhibits to those documents, unless the exhibit is specifically incorporated by reference in this document), at no cost, by writing or telephoning us at the following address and phone number:</w:t>
      </w:r>
    </w:p>
    <w:p>
      <w:pPr>
        <w:spacing w:after="0" w:line="12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WM Technology, Inc.</w:t>
      </w:r>
    </w:p>
    <w:p>
      <w:pPr>
        <w:spacing w:after="0" w:line="23" w:lineRule="exact"/>
        <w:rPr>
          <w:rFonts w:ascii="Arial" w:cs="Arial" w:eastAsia="Arial" w:hAnsi="Arial"/>
          <w:sz w:val="18"/>
          <w:szCs w:val="18"/>
          <w:color w:val="auto"/>
        </w:rPr>
      </w:pPr>
    </w:p>
    <w:p>
      <w:pPr>
        <w:ind w:left="4240" w:hanging="218"/>
        <w:spacing w:after="0"/>
        <w:tabs>
          <w:tab w:leader="none" w:pos="4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Discovery</w:t>
      </w:r>
    </w:p>
    <w:p>
      <w:pPr>
        <w:spacing w:after="0" w:line="9" w:lineRule="exact"/>
        <w:rPr>
          <w:rFonts w:ascii="Arial" w:cs="Arial" w:eastAsia="Arial" w:hAnsi="Arial"/>
          <w:sz w:val="18"/>
          <w:szCs w:val="18"/>
          <w:color w:val="auto"/>
        </w:rPr>
      </w:pPr>
    </w:p>
    <w:p>
      <w:pPr>
        <w:ind w:left="3640"/>
        <w:spacing w:after="0"/>
        <w:rPr>
          <w:rFonts w:ascii="Arial" w:cs="Arial" w:eastAsia="Arial" w:hAnsi="Arial"/>
          <w:sz w:val="18"/>
          <w:szCs w:val="18"/>
          <w:color w:val="auto"/>
        </w:rPr>
      </w:pPr>
      <w:r>
        <w:rPr>
          <w:rFonts w:ascii="Arial" w:cs="Arial" w:eastAsia="Arial" w:hAnsi="Arial"/>
          <w:sz w:val="18"/>
          <w:szCs w:val="18"/>
          <w:color w:val="auto"/>
        </w:rPr>
        <w:t>Irvine, California 92618</w:t>
      </w:r>
    </w:p>
    <w:p>
      <w:pPr>
        <w:spacing w:after="0" w:line="9" w:lineRule="exact"/>
        <w:rPr>
          <w:rFonts w:ascii="Arial" w:cs="Arial" w:eastAsia="Arial" w:hAnsi="Arial"/>
          <w:sz w:val="18"/>
          <w:szCs w:val="18"/>
          <w:color w:val="auto"/>
        </w:rPr>
      </w:pPr>
    </w:p>
    <w:p>
      <w:pPr>
        <w:ind w:left="3780"/>
        <w:spacing w:after="0"/>
        <w:rPr>
          <w:rFonts w:ascii="Arial" w:cs="Arial" w:eastAsia="Arial" w:hAnsi="Arial"/>
          <w:sz w:val="18"/>
          <w:szCs w:val="18"/>
          <w:color w:val="auto"/>
        </w:rPr>
      </w:pPr>
      <w:r>
        <w:rPr>
          <w:rFonts w:ascii="Arial" w:cs="Arial" w:eastAsia="Arial" w:hAnsi="Arial"/>
          <w:sz w:val="18"/>
          <w:szCs w:val="18"/>
          <w:color w:val="auto"/>
        </w:rPr>
        <w:t>Tel: (844) 933-3627</w:t>
      </w:r>
    </w:p>
    <w:p>
      <w:pPr>
        <w:spacing w:after="0" w:line="211"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following is an estimate of the expenses (all of which are to be paid by the registrant) that we may incur in connection with the securities being registered hereby.</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r>
      <w:tr>
        <w:trPr>
          <w:trHeight w:val="53"/>
        </w:trPr>
        <w:tc>
          <w:tcPr>
            <w:tcW w:w="77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311"/>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250,000</w:t>
            </w:r>
          </w:p>
        </w:tc>
      </w:tr>
      <w:tr>
        <w:trPr>
          <w:trHeight w:val="54"/>
        </w:trPr>
        <w:tc>
          <w:tcPr>
            <w:tcW w:w="7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15,000</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Miscellaneous</w:t>
            </w:r>
          </w:p>
        </w:tc>
        <w:tc>
          <w:tcPr>
            <w:tcW w:w="1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65,000</w:t>
            </w:r>
          </w:p>
        </w:tc>
      </w:tr>
      <w:tr>
        <w:trPr>
          <w:trHeight w:val="54"/>
        </w:trPr>
        <w:tc>
          <w:tcPr>
            <w:tcW w:w="7740" w:type="dxa"/>
            <w:vAlign w:val="bottom"/>
          </w:tcPr>
          <w:p>
            <w:pPr>
              <w:spacing w:after="0"/>
              <w:rPr>
                <w:sz w:val="4"/>
                <w:szCs w:val="4"/>
                <w:color w:val="auto"/>
              </w:rPr>
            </w:pPr>
          </w:p>
        </w:tc>
        <w:tc>
          <w:tcPr>
            <w:tcW w:w="680" w:type="dxa"/>
            <w:vAlign w:val="bottom"/>
            <w:gridSpan w:val="2"/>
          </w:tcPr>
          <w:p>
            <w:pPr>
              <w:spacing w:after="0"/>
              <w:rPr>
                <w:sz w:val="4"/>
                <w:szCs w:val="4"/>
                <w:color w:val="auto"/>
              </w:rPr>
            </w:pPr>
          </w:p>
        </w:tc>
      </w:tr>
      <w:tr>
        <w:trPr>
          <w:trHeight w:val="27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$331,268</w:t>
            </w:r>
          </w:p>
        </w:tc>
      </w:tr>
      <w:tr>
        <w:trPr>
          <w:trHeight w:val="54"/>
        </w:trPr>
        <w:tc>
          <w:tcPr>
            <w:tcW w:w="77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-1045210</wp:posOffset>
            </wp:positionV>
            <wp:extent cx="120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7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6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7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Additionally, 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76" w:lineRule="exact"/>
        <w:rPr>
          <w:sz w:val="20"/>
          <w:szCs w:val="20"/>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40" w:type="dxa"/>
            <w:vAlign w:val="bottom"/>
            <w:gridSpan w:val="6"/>
          </w:tcPr>
          <w:p>
            <w:pPr>
              <w:spacing w:after="0"/>
              <w:rPr>
                <w:sz w:val="20"/>
                <w:szCs w:val="20"/>
                <w:color w:val="auto"/>
              </w:rPr>
            </w:pPr>
            <w:r>
              <w:rPr>
                <w:rFonts w:ascii="Arial" w:cs="Arial" w:eastAsia="Arial" w:hAnsi="Arial"/>
                <w:sz w:val="18"/>
                <w:szCs w:val="18"/>
                <w:b w:val="1"/>
                <w:bCs w:val="1"/>
                <w:color w:val="auto"/>
              </w:rPr>
              <w:t>Item 16.</w:t>
            </w:r>
          </w:p>
        </w:tc>
        <w:tc>
          <w:tcPr>
            <w:tcW w:w="120" w:type="dxa"/>
            <w:vAlign w:val="bottom"/>
          </w:tcPr>
          <w:p>
            <w:pPr>
              <w:spacing w:after="0"/>
              <w:rPr>
                <w:sz w:val="20"/>
                <w:szCs w:val="20"/>
                <w:color w:val="auto"/>
              </w:rPr>
            </w:pPr>
          </w:p>
        </w:tc>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740" w:type="dxa"/>
            <w:vAlign w:val="bottom"/>
            <w:gridSpan w:val="6"/>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7560" w:type="dxa"/>
            <w:vAlign w:val="bottom"/>
            <w:vMerge w:val="restart"/>
          </w:tcPr>
          <w:p>
            <w:pPr>
              <w:ind w:left="3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740" w:type="dxa"/>
            <w:vAlign w:val="bottom"/>
            <w:gridSpan w:val="6"/>
          </w:tcPr>
          <w:p>
            <w:pPr>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6"/>
                <w:szCs w:val="16"/>
                <w:color w:val="auto"/>
              </w:rPr>
            </w:pPr>
          </w:p>
        </w:tc>
        <w:tc>
          <w:tcPr>
            <w:tcW w:w="7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00" w:type="dxa"/>
            <w:vAlign w:val="bottom"/>
            <w:gridSpan w:val="4"/>
            <w:shd w:val="clear" w:color="auto" w:fill="CCEEFF"/>
          </w:tcPr>
          <w:p>
            <w:pPr>
              <w:spacing w:after="0"/>
              <w:rPr>
                <w:rFonts w:ascii="Arial" w:cs="Arial" w:eastAsia="Arial" w:hAnsi="Arial"/>
                <w:sz w:val="18"/>
                <w:szCs w:val="18"/>
                <w:color w:val="0000EE"/>
              </w:rPr>
            </w:pPr>
            <w:hyperlink r:id="rId63">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Agreement and Plan of Merger, dated December 10, 2020, by and among Silver Spike, Merger Sub,</w:t>
            </w:r>
          </w:p>
        </w:tc>
        <w:tc>
          <w:tcPr>
            <w:tcW w:w="0" w:type="dxa"/>
            <w:vAlign w:val="bottom"/>
          </w:tcPr>
          <w:p>
            <w:pPr>
              <w:spacing w:after="0"/>
              <w:rPr>
                <w:sz w:val="1"/>
                <w:szCs w:val="1"/>
                <w:color w:val="auto"/>
              </w:rPr>
            </w:pP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1"/>
              </w:rPr>
              <w:t>Legacy WMH, and the Holder Representative named therein (incorporated by reference to Exhibit 2.1 to</w:t>
            </w:r>
          </w:p>
        </w:tc>
        <w:tc>
          <w:tcPr>
            <w:tcW w:w="0" w:type="dxa"/>
            <w:vAlign w:val="bottom"/>
          </w:tcPr>
          <w:p>
            <w:pPr>
              <w:spacing w:after="0"/>
              <w:rPr>
                <w:sz w:val="1"/>
                <w:szCs w:val="1"/>
                <w:color w:val="auto"/>
              </w:rPr>
            </w:pPr>
          </w:p>
        </w:tc>
      </w:tr>
      <w:tr>
        <w:trPr>
          <w:trHeight w:val="264"/>
        </w:trPr>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the Current Report on Form 8-K filed on December 10, 2020).</w:t>
            </w:r>
          </w:p>
        </w:tc>
        <w:tc>
          <w:tcPr>
            <w:tcW w:w="0" w:type="dxa"/>
            <w:vAlign w:val="bottom"/>
          </w:tcPr>
          <w:p>
            <w:pPr>
              <w:spacing w:after="0"/>
              <w:rPr>
                <w:sz w:val="1"/>
                <w:szCs w:val="1"/>
                <w:color w:val="auto"/>
              </w:rPr>
            </w:pPr>
          </w:p>
        </w:tc>
      </w:tr>
      <w:tr>
        <w:trPr>
          <w:trHeight w:val="230"/>
        </w:trPr>
        <w:tc>
          <w:tcPr>
            <w:tcW w:w="300" w:type="dxa"/>
            <w:vAlign w:val="bottom"/>
            <w:gridSpan w:val="2"/>
          </w:tcPr>
          <w:p>
            <w:pPr>
              <w:spacing w:after="0"/>
              <w:rPr>
                <w:rFonts w:ascii="Arial" w:cs="Arial" w:eastAsia="Arial" w:hAnsi="Arial"/>
                <w:sz w:val="18"/>
                <w:szCs w:val="18"/>
                <w:color w:val="0000EE"/>
              </w:rPr>
            </w:pPr>
            <w:hyperlink r:id="rId64">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w w:val="92"/>
              </w:rPr>
              <w:t>Certificate of Incorporation of the Company, dated June 15, 2021 (incorporated by reference to Exhibit</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3.1 to the Current Report on Form 8-K filed on June 21, 2021).</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00" w:type="dxa"/>
            <w:vAlign w:val="bottom"/>
            <w:gridSpan w:val="2"/>
            <w:shd w:val="clear" w:color="auto" w:fill="CCEEFF"/>
          </w:tcPr>
          <w:p>
            <w:pPr>
              <w:spacing w:after="0"/>
              <w:rPr>
                <w:rFonts w:ascii="Arial" w:cs="Arial" w:eastAsia="Arial" w:hAnsi="Arial"/>
                <w:sz w:val="18"/>
                <w:szCs w:val="18"/>
                <w:color w:val="0000EE"/>
              </w:rPr>
            </w:pPr>
            <w:hyperlink r:id="rId65">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Amended and Restated Bylaws of the Company, dated June 16, 2021 (incorporated by reference to</w:t>
            </w:r>
          </w:p>
        </w:tc>
        <w:tc>
          <w:tcPr>
            <w:tcW w:w="0" w:type="dxa"/>
            <w:vAlign w:val="bottom"/>
          </w:tcPr>
          <w:p>
            <w:pPr>
              <w:spacing w:after="0"/>
              <w:rPr>
                <w:sz w:val="1"/>
                <w:szCs w:val="1"/>
                <w:color w:val="auto"/>
              </w:rPr>
            </w:pPr>
          </w:p>
        </w:tc>
      </w:tr>
      <w:tr>
        <w:trPr>
          <w:trHeight w:val="270"/>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6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Exhibit 3.2 to the Current Report on Form 8-K filed on June 21, 2021).</w:t>
            </w:r>
          </w:p>
        </w:tc>
        <w:tc>
          <w:tcPr>
            <w:tcW w:w="0" w:type="dxa"/>
            <w:vAlign w:val="bottom"/>
          </w:tcPr>
          <w:p>
            <w:pPr>
              <w:spacing w:after="0"/>
              <w:rPr>
                <w:sz w:val="1"/>
                <w:szCs w:val="1"/>
                <w:color w:val="auto"/>
              </w:rPr>
            </w:pPr>
          </w:p>
        </w:tc>
      </w:tr>
      <w:tr>
        <w:trPr>
          <w:trHeight w:val="230"/>
        </w:trPr>
        <w:tc>
          <w:tcPr>
            <w:tcW w:w="300" w:type="dxa"/>
            <w:vAlign w:val="bottom"/>
            <w:gridSpan w:val="2"/>
          </w:tcPr>
          <w:p>
            <w:pPr>
              <w:spacing w:after="0"/>
              <w:rPr>
                <w:rFonts w:ascii="Arial" w:cs="Arial" w:eastAsia="Arial" w:hAnsi="Arial"/>
                <w:sz w:val="18"/>
                <w:szCs w:val="18"/>
                <w:color w:val="0000EE"/>
              </w:rPr>
            </w:pPr>
            <w:hyperlink r:id="rId66">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w w:val="96"/>
              </w:rPr>
              <w:t>Form of Common Stock Certificate of the Company (incorporated by reference to Exhibit 4.1 to the</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Current Report on Form 8-K filed on June 21, 2021).</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00" w:type="dxa"/>
            <w:vAlign w:val="bottom"/>
            <w:gridSpan w:val="2"/>
            <w:shd w:val="clear" w:color="auto" w:fill="CCEEFF"/>
          </w:tcPr>
          <w:p>
            <w:pPr>
              <w:spacing w:after="0"/>
              <w:rPr>
                <w:rFonts w:ascii="Arial" w:cs="Arial" w:eastAsia="Arial" w:hAnsi="Arial"/>
                <w:sz w:val="18"/>
                <w:szCs w:val="18"/>
                <w:color w:val="0000EE"/>
              </w:rPr>
            </w:pPr>
            <w:hyperlink r:id="rId59">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Description of Securities (incorporated by reference to Exhibit 4.5 to the Annual Report on Form 10-K</w:t>
            </w:r>
          </w:p>
        </w:tc>
        <w:tc>
          <w:tcPr>
            <w:tcW w:w="0" w:type="dxa"/>
            <w:vAlign w:val="bottom"/>
          </w:tcPr>
          <w:p>
            <w:pPr>
              <w:spacing w:after="0"/>
              <w:rPr>
                <w:sz w:val="1"/>
                <w:szCs w:val="1"/>
                <w:color w:val="auto"/>
              </w:rPr>
            </w:pPr>
          </w:p>
        </w:tc>
      </w:tr>
      <w:tr>
        <w:trPr>
          <w:trHeight w:val="270"/>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6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filed on February 25, 2022).</w:t>
            </w:r>
          </w:p>
        </w:tc>
        <w:tc>
          <w:tcPr>
            <w:tcW w:w="0" w:type="dxa"/>
            <w:vAlign w:val="bottom"/>
          </w:tcPr>
          <w:p>
            <w:pPr>
              <w:spacing w:after="0"/>
              <w:rPr>
                <w:sz w:val="1"/>
                <w:szCs w:val="1"/>
                <w:color w:val="auto"/>
              </w:rPr>
            </w:pPr>
          </w:p>
        </w:tc>
      </w:tr>
      <w:tr>
        <w:trPr>
          <w:trHeight w:val="230"/>
        </w:trPr>
        <w:tc>
          <w:tcPr>
            <w:tcW w:w="300" w:type="dxa"/>
            <w:vAlign w:val="bottom"/>
            <w:gridSpan w:val="2"/>
          </w:tcPr>
          <w:p>
            <w:pPr>
              <w:spacing w:after="0"/>
              <w:rPr>
                <w:rFonts w:ascii="Arial" w:cs="Arial" w:eastAsia="Arial" w:hAnsi="Arial"/>
                <w:sz w:val="18"/>
                <w:szCs w:val="18"/>
                <w:color w:val="0000EE"/>
              </w:rPr>
            </w:pPr>
            <w:hyperlink r:id="rId67">
              <w:r>
                <w:rPr>
                  <w:rFonts w:ascii="Arial" w:cs="Arial" w:eastAsia="Arial" w:hAnsi="Arial"/>
                  <w:sz w:val="18"/>
                  <w:szCs w:val="18"/>
                  <w:color w:val="0000EE"/>
                </w:rPr>
                <w:t>5.</w:t>
              </w:r>
              <w:r>
                <w:rPr>
                  <w:rFonts w:ascii="Arial" w:cs="Arial" w:eastAsia="Arial" w:hAnsi="Arial"/>
                  <w:sz w:val="18"/>
                  <w:szCs w:val="18"/>
                  <w:u w:val="single" w:color="auto"/>
                  <w:color w:val="0000EE"/>
                </w:rPr>
                <w:t>1</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Opinion of Cooley LLP*</w:t>
            </w:r>
          </w:p>
        </w:tc>
        <w:tc>
          <w:tcPr>
            <w:tcW w:w="0" w:type="dxa"/>
            <w:vAlign w:val="bottom"/>
          </w:tcPr>
          <w:p>
            <w:pPr>
              <w:spacing w:after="0"/>
              <w:rPr>
                <w:sz w:val="1"/>
                <w:szCs w:val="1"/>
                <w:color w:val="auto"/>
              </w:rPr>
            </w:pPr>
          </w:p>
        </w:tc>
      </w:tr>
      <w:tr>
        <w:trPr>
          <w:trHeight w:val="75"/>
        </w:trPr>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00" w:type="dxa"/>
            <w:vAlign w:val="bottom"/>
            <w:tcBorders>
              <w:bottom w:val="single" w:sz="8" w:color="0000EE"/>
            </w:tcBorders>
            <w:gridSpan w:val="2"/>
            <w:shd w:val="clear" w:color="auto" w:fill="CCEEFF"/>
          </w:tcPr>
          <w:p>
            <w:pPr>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Consent of Baker Tilly US, LLP</w:t>
            </w:r>
          </w:p>
        </w:tc>
        <w:tc>
          <w:tcPr>
            <w:tcW w:w="0" w:type="dxa"/>
            <w:vAlign w:val="bottom"/>
          </w:tcPr>
          <w:p>
            <w:pPr>
              <w:spacing w:after="0"/>
              <w:rPr>
                <w:sz w:val="1"/>
                <w:szCs w:val="1"/>
                <w:color w:val="auto"/>
              </w:rPr>
            </w:pPr>
          </w:p>
        </w:tc>
      </w:tr>
      <w:tr>
        <w:trPr>
          <w:trHeight w:val="75"/>
        </w:trPr>
        <w:tc>
          <w:tcPr>
            <w:tcW w:w="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5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60" w:type="dxa"/>
            <w:vAlign w:val="bottom"/>
            <w:gridSpan w:val="5"/>
          </w:tcPr>
          <w:p>
            <w:pPr>
              <w:spacing w:after="0"/>
              <w:rPr>
                <w:rFonts w:ascii="Arial" w:cs="Arial" w:eastAsia="Arial" w:hAnsi="Arial"/>
                <w:sz w:val="18"/>
                <w:szCs w:val="18"/>
                <w:color w:val="0000EE"/>
              </w:rPr>
            </w:pPr>
            <w:hyperlink r:id="rId67">
              <w:r>
                <w:rPr>
                  <w:rFonts w:ascii="Arial" w:cs="Arial" w:eastAsia="Arial" w:hAnsi="Arial"/>
                  <w:sz w:val="18"/>
                  <w:szCs w:val="18"/>
                  <w:color w:val="0000EE"/>
                </w:rPr>
                <w:t>23.</w:t>
              </w:r>
              <w:r>
                <w:rPr>
                  <w:rFonts w:ascii="Arial" w:cs="Arial" w:eastAsia="Arial" w:hAnsi="Arial"/>
                  <w:sz w:val="18"/>
                  <w:szCs w:val="18"/>
                  <w:u w:val="single" w:color="auto"/>
                  <w:color w:val="0000EE"/>
                </w:rPr>
                <w:t>2*</w:t>
              </w:r>
            </w:hyperlink>
          </w:p>
        </w:tc>
        <w:tc>
          <w:tcPr>
            <w:tcW w:w="280" w:type="dxa"/>
            <w:vAlign w:val="bottom"/>
          </w:tcPr>
          <w:p>
            <w:pPr>
              <w:spacing w:after="0"/>
              <w:rPr>
                <w:sz w:val="19"/>
                <w:szCs w:val="19"/>
                <w:color w:val="auto"/>
              </w:rPr>
            </w:pP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Consent of Cooley LLP (included in Exhibit 5.1)</w:t>
            </w:r>
          </w:p>
        </w:tc>
        <w:tc>
          <w:tcPr>
            <w:tcW w:w="0" w:type="dxa"/>
            <w:vAlign w:val="bottom"/>
          </w:tcPr>
          <w:p>
            <w:pPr>
              <w:spacing w:after="0"/>
              <w:rPr>
                <w:sz w:val="1"/>
                <w:szCs w:val="1"/>
                <w:color w:val="auto"/>
              </w:rPr>
            </w:pPr>
          </w:p>
        </w:tc>
      </w:tr>
      <w:tr>
        <w:trPr>
          <w:trHeight w:val="75"/>
        </w:trPr>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60" w:type="dxa"/>
            <w:vAlign w:val="bottom"/>
            <w:gridSpan w:val="5"/>
            <w:shd w:val="clear" w:color="auto" w:fill="CCEEFF"/>
          </w:tcPr>
          <w:p>
            <w:pPr>
              <w:spacing w:after="0"/>
              <w:rPr>
                <w:rFonts w:ascii="Arial" w:cs="Arial" w:eastAsia="Arial" w:hAnsi="Arial"/>
                <w:sz w:val="18"/>
                <w:szCs w:val="18"/>
                <w:color w:val="0000EE"/>
              </w:rPr>
            </w:pPr>
            <w:hyperlink r:id="rId68">
              <w:r>
                <w:rPr>
                  <w:rFonts w:ascii="Arial" w:cs="Arial" w:eastAsia="Arial" w:hAnsi="Arial"/>
                  <w:sz w:val="18"/>
                  <w:szCs w:val="18"/>
                  <w:color w:val="0000EE"/>
                </w:rPr>
                <w:t>24.</w:t>
              </w:r>
              <w:r>
                <w:rPr>
                  <w:rFonts w:ascii="Arial" w:cs="Arial" w:eastAsia="Arial" w:hAnsi="Arial"/>
                  <w:sz w:val="18"/>
                  <w:szCs w:val="18"/>
                  <w:u w:val="single" w:color="auto"/>
                  <w:color w:val="0000EE"/>
                </w:rPr>
                <w:t>1*</w:t>
              </w:r>
            </w:hyperlink>
          </w:p>
        </w:tc>
        <w:tc>
          <w:tcPr>
            <w:tcW w:w="28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Power of Attorney (included on signature page of Registration Statement on Form S-1 filed on July 8,</w:t>
            </w:r>
          </w:p>
        </w:tc>
        <w:tc>
          <w:tcPr>
            <w:tcW w:w="0" w:type="dxa"/>
            <w:vAlign w:val="bottom"/>
          </w:tcPr>
          <w:p>
            <w:pPr>
              <w:spacing w:after="0"/>
              <w:rPr>
                <w:sz w:val="1"/>
                <w:szCs w:val="1"/>
                <w:color w:val="auto"/>
              </w:rPr>
            </w:pPr>
          </w:p>
        </w:tc>
      </w:tr>
      <w:tr>
        <w:trPr>
          <w:trHeight w:val="271"/>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6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9"/>
        </w:trPr>
        <w:tc>
          <w:tcPr>
            <w:tcW w:w="3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79"/>
              </w:rPr>
              <w:t>24.</w:t>
            </w:r>
            <w:r>
              <w:rPr>
                <w:rFonts w:ascii="Arial" w:cs="Arial" w:eastAsia="Arial" w:hAnsi="Arial"/>
                <w:sz w:val="18"/>
                <w:szCs w:val="18"/>
                <w:u w:val="single" w:color="auto"/>
                <w:color w:val="0000EE"/>
                <w:w w:val="79"/>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Power of Attorney (included on signature page)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-2982595</wp:posOffset>
            </wp:positionV>
            <wp:extent cx="2571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171450</wp:posOffset>
            </wp:positionV>
            <wp:extent cx="8229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9" w:lineRule="exact"/>
        <w:rPr>
          <w:sz w:val="20"/>
          <w:szCs w:val="20"/>
          <w:color w:val="auto"/>
        </w:rPr>
      </w:pPr>
    </w:p>
    <w:p>
      <w:pPr>
        <w:ind w:left="640" w:hanging="348"/>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204"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640" w:hanging="34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jc w:val="both"/>
        <w:ind w:left="1360" w:right="319" w:hanging="348"/>
        <w:spacing w:after="0" w:line="269" w:lineRule="auto"/>
        <w:tabs>
          <w:tab w:leader="none" w:pos="1360" w:val="left"/>
        </w:tabs>
        <w:numPr>
          <w:ilvl w:val="2"/>
          <w:numId w:val="19"/>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77" w:lineRule="exact"/>
        <w:rPr>
          <w:rFonts w:ascii="Arial" w:cs="Arial" w:eastAsia="Arial" w:hAnsi="Arial"/>
          <w:sz w:val="17"/>
          <w:szCs w:val="17"/>
          <w:color w:val="auto"/>
        </w:rPr>
      </w:pPr>
    </w:p>
    <w:p>
      <w:pPr>
        <w:ind w:left="1360" w:right="319" w:hanging="348"/>
        <w:spacing w:after="0" w:line="342" w:lineRule="auto"/>
        <w:tabs>
          <w:tab w:leader="none" w:pos="1360" w:val="left"/>
        </w:tabs>
        <w:numPr>
          <w:ilvl w:val="2"/>
          <w:numId w:val="19"/>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1380" w:right="299"/>
        <w:spacing w:after="0" w:line="273"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Paragraphs (a)(1)(i), (a)(1)(ii) and (a)(1)(iii) of this section do not apply if</w:t>
      </w:r>
      <w:r>
        <w:rPr>
          <w:rFonts w:ascii="Arial" w:cs="Arial" w:eastAsia="Arial" w:hAnsi="Arial"/>
          <w:sz w:val="17"/>
          <w:szCs w:val="17"/>
          <w:i w:val="1"/>
          <w:iCs w:val="1"/>
          <w:color w:val="auto"/>
        </w:rPr>
        <w:t xml:space="preserve"> </w:t>
      </w:r>
      <w:r>
        <w:rPr>
          <w:rFonts w:ascii="Arial" w:cs="Arial" w:eastAsia="Arial" w:hAnsi="Arial"/>
          <w:sz w:val="17"/>
          <w:szCs w:val="17"/>
          <w:color w:val="auto"/>
        </w:rPr>
        <w:t>the information required to be 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70" w:lineRule="exact"/>
        <w:rPr>
          <w:sz w:val="20"/>
          <w:szCs w:val="20"/>
          <w:color w:val="auto"/>
        </w:rPr>
      </w:pPr>
    </w:p>
    <w:p>
      <w:pPr>
        <w:jc w:val="both"/>
        <w:ind w:left="1000" w:right="319" w:hanging="348"/>
        <w:spacing w:after="0" w:line="311"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17" w:lineRule="exact"/>
        <w:rPr>
          <w:rFonts w:ascii="Arial" w:cs="Arial" w:eastAsia="Arial" w:hAnsi="Arial"/>
          <w:sz w:val="18"/>
          <w:szCs w:val="18"/>
          <w:color w:val="auto"/>
        </w:rPr>
      </w:pPr>
    </w:p>
    <w:p>
      <w:pPr>
        <w:jc w:val="both"/>
        <w:ind w:left="1360" w:right="319" w:hanging="348"/>
        <w:spacing w:after="0" w:line="263" w:lineRule="auto"/>
        <w:tabs>
          <w:tab w:leader="none" w:pos="13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jc w:val="both"/>
        <w:ind w:left="1360" w:right="319" w:hanging="348"/>
        <w:spacing w:after="0" w:line="291" w:lineRule="auto"/>
        <w:tabs>
          <w:tab w:leader="none" w:pos="13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w:t>
      </w:r>
    </w:p>
    <w:p>
      <w:pPr>
        <w:jc w:val="both"/>
        <w:ind w:left="1360" w:right="319"/>
        <w:spacing w:after="0" w:line="267" w:lineRule="auto"/>
        <w:rPr>
          <w:rFonts w:ascii="Arial" w:cs="Arial" w:eastAsia="Arial" w:hAnsi="Arial"/>
          <w:sz w:val="16"/>
          <w:szCs w:val="16"/>
          <w:color w:val="auto"/>
        </w:rPr>
      </w:pPr>
      <w:r>
        <w:rPr>
          <w:rFonts w:ascii="Arial" w:cs="Arial" w:eastAsia="Arial" w:hAnsi="Arial"/>
          <w:sz w:val="17"/>
          <w:szCs w:val="17"/>
          <w:color w:val="auto"/>
        </w:rPr>
        <w:t>(1)(i),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3" w:lineRule="exact"/>
        <w:rPr>
          <w:rFonts w:ascii="Arial" w:cs="Arial" w:eastAsia="Arial" w:hAnsi="Arial"/>
          <w:sz w:val="16"/>
          <w:szCs w:val="16"/>
          <w:color w:val="auto"/>
        </w:rPr>
      </w:pPr>
    </w:p>
    <w:p>
      <w:pPr>
        <w:jc w:val="both"/>
        <w:ind w:left="1000" w:right="319" w:hanging="348"/>
        <w:spacing w:after="0" w:line="293"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56" w:lineRule="exact"/>
        <w:rPr>
          <w:rFonts w:ascii="Arial" w:cs="Arial" w:eastAsia="Arial" w:hAnsi="Arial"/>
          <w:sz w:val="16"/>
          <w:szCs w:val="16"/>
          <w:color w:val="auto"/>
        </w:rPr>
      </w:pPr>
    </w:p>
    <w:p>
      <w:pPr>
        <w:ind w:left="1360" w:right="319" w:hanging="348"/>
        <w:spacing w:after="0" w:line="277" w:lineRule="auto"/>
        <w:tabs>
          <w:tab w:leader="none" w:pos="13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jc w:val="both"/>
        <w:ind w:left="1360" w:right="319" w:hanging="348"/>
        <w:spacing w:after="0" w:line="263" w:lineRule="auto"/>
        <w:tabs>
          <w:tab w:leader="none" w:pos="13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1000" w:right="299" w:hanging="348"/>
        <w:spacing w:after="0" w:line="255" w:lineRule="auto"/>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4" w:lineRule="exact"/>
        <w:rPr>
          <w:rFonts w:ascii="Arial" w:cs="Arial" w:eastAsia="Arial" w:hAnsi="Arial"/>
          <w:sz w:val="18"/>
          <w:szCs w:val="18"/>
          <w:color w:val="auto"/>
        </w:rPr>
      </w:pPr>
    </w:p>
    <w:p>
      <w:pPr>
        <w:jc w:val="both"/>
        <w:ind w:left="640" w:right="299" w:hanging="348"/>
        <w:spacing w:after="0" w:line="288"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1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300" w:firstLine="360"/>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No. 3 to Registration Statement to be signed on its behalf by the undersigned, thereunto duly authorized in the City of Irvine, State of California on October 5, 2022.</w:t>
      </w:r>
    </w:p>
    <w:p>
      <w:pPr>
        <w:spacing w:after="0" w:line="16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WM TECHNOLOGY, INC.</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57785</wp:posOffset>
            </wp:positionV>
            <wp:extent cx="27686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38" w:lineRule="exact"/>
        <w:rPr>
          <w:sz w:val="20"/>
          <w:szCs w:val="20"/>
          <w:color w:val="auto"/>
        </w:rPr>
      </w:pPr>
    </w:p>
    <w:p>
      <w:pPr>
        <w:ind w:left="5360"/>
        <w:spacing w:after="0"/>
        <w:tabs>
          <w:tab w:leader="none" w:pos="6020" w:val="left"/>
        </w:tabs>
        <w:rPr>
          <w:sz w:val="20"/>
          <w:szCs w:val="20"/>
          <w:color w:val="auto"/>
        </w:rPr>
      </w:pPr>
      <w:r>
        <w:rPr>
          <w:rFonts w:ascii="Arial" w:cs="Arial" w:eastAsia="Arial" w:hAnsi="Arial"/>
          <w:sz w:val="18"/>
          <w:szCs w:val="18"/>
          <w:color w:val="auto"/>
        </w:rPr>
        <w:t>Name:</w:t>
        <w:tab/>
        <w:t>Christopher Beals</w:t>
      </w:r>
    </w:p>
    <w:p>
      <w:pPr>
        <w:spacing w:after="0" w:line="117" w:lineRule="exact"/>
        <w:rPr>
          <w:sz w:val="20"/>
          <w:szCs w:val="20"/>
          <w:color w:val="auto"/>
        </w:rPr>
      </w:pPr>
    </w:p>
    <w:p>
      <w:pPr>
        <w:ind w:left="5360"/>
        <w:spacing w:after="0"/>
        <w:tabs>
          <w:tab w:leader="none" w:pos="6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171" w:lineRule="exact"/>
        <w:rPr>
          <w:sz w:val="20"/>
          <w:szCs w:val="20"/>
          <w:color w:val="auto"/>
        </w:rPr>
      </w:pPr>
    </w:p>
    <w:p>
      <w:pPr>
        <w:jc w:val="both"/>
        <w:ind w:left="1300" w:right="132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 indicated.</w:t>
      </w:r>
    </w:p>
    <w:p>
      <w:pPr>
        <w:spacing w:after="0" w:line="62" w:lineRule="exact"/>
        <w:rPr>
          <w:sz w:val="20"/>
          <w:szCs w:val="20"/>
          <w:color w:val="auto"/>
        </w:rPr>
      </w:pPr>
    </w:p>
    <w:p>
      <w:pPr>
        <w:jc w:val="both"/>
        <w:ind w:left="1300" w:right="1300" w:firstLine="360"/>
        <w:spacing w:after="0" w:line="287"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Christopher Beals and Arden Lee,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80" w:type="dxa"/>
            <w:vAlign w:val="bottom"/>
          </w:tcPr>
          <w:p>
            <w:pPr>
              <w:spacing w:after="0"/>
              <w:rPr>
                <w:sz w:val="16"/>
                <w:szCs w:val="16"/>
                <w:color w:val="auto"/>
              </w:rPr>
            </w:pPr>
          </w:p>
        </w:tc>
        <w:tc>
          <w:tcPr>
            <w:tcW w:w="4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Title</w:t>
            </w:r>
          </w:p>
        </w:tc>
        <w:tc>
          <w:tcPr>
            <w:tcW w:w="304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52"/>
        </w:trPr>
        <w:tc>
          <w:tcPr>
            <w:tcW w:w="130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/s/ Christopher Beals</w:t>
            </w:r>
          </w:p>
        </w:tc>
        <w:tc>
          <w:tcPr>
            <w:tcW w:w="180" w:type="dxa"/>
            <w:vAlign w:val="bottom"/>
          </w:tcPr>
          <w:p>
            <w:pPr>
              <w:spacing w:after="0"/>
              <w:rPr>
                <w:sz w:val="22"/>
                <w:szCs w:val="22"/>
                <w:color w:val="auto"/>
              </w:rPr>
            </w:pPr>
          </w:p>
        </w:tc>
        <w:tc>
          <w:tcPr>
            <w:tcW w:w="43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Chief Executive Officer and Director</w:t>
            </w:r>
          </w:p>
        </w:tc>
        <w:tc>
          <w:tcPr>
            <w:tcW w:w="3040" w:type="dxa"/>
            <w:vAlign w:val="bottom"/>
            <w:gridSpan w:val="2"/>
          </w:tcPr>
          <w:p>
            <w:pPr>
              <w:jc w:val="center"/>
              <w:ind w:right="1320"/>
              <w:spacing w:after="0"/>
              <w:rPr>
                <w:sz w:val="20"/>
                <w:szCs w:val="20"/>
                <w:color w:val="auto"/>
              </w:rPr>
            </w:pPr>
            <w:r>
              <w:rPr>
                <w:rFonts w:ascii="Arial" w:cs="Arial" w:eastAsia="Arial" w:hAnsi="Arial"/>
                <w:sz w:val="18"/>
                <w:szCs w:val="18"/>
                <w:color w:val="auto"/>
                <w:w w:val="89"/>
              </w:rPr>
              <w:t>October 5, 2022</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180" w:type="dxa"/>
            <w:vAlign w:val="bottom"/>
            <w:vMerge w:val="restart"/>
          </w:tcPr>
          <w:p>
            <w:pPr>
              <w:spacing w:after="0"/>
              <w:rPr>
                <w:sz w:val="7"/>
                <w:szCs w:val="7"/>
                <w:color w:val="auto"/>
              </w:rPr>
            </w:pPr>
          </w:p>
        </w:tc>
        <w:tc>
          <w:tcPr>
            <w:tcW w:w="434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4"/>
              </w:rPr>
              <w:t>(Principal Executive Officer)</w:t>
            </w:r>
          </w:p>
        </w:tc>
        <w:tc>
          <w:tcPr>
            <w:tcW w:w="17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0"/>
              </w:rPr>
              <w:t>Christopher Beals</w:t>
            </w:r>
          </w:p>
        </w:tc>
        <w:tc>
          <w:tcPr>
            <w:tcW w:w="180" w:type="dxa"/>
            <w:vAlign w:val="bottom"/>
            <w:vMerge w:val="continue"/>
          </w:tcPr>
          <w:p>
            <w:pPr>
              <w:spacing w:after="0"/>
              <w:rPr>
                <w:sz w:val="11"/>
                <w:szCs w:val="11"/>
                <w:color w:val="auto"/>
              </w:rPr>
            </w:pPr>
          </w:p>
        </w:tc>
        <w:tc>
          <w:tcPr>
            <w:tcW w:w="434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1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4"/>
        </w:trPr>
        <w:tc>
          <w:tcPr>
            <w:tcW w:w="13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/s/ Arden Lee</w:t>
            </w:r>
          </w:p>
        </w:tc>
        <w:tc>
          <w:tcPr>
            <w:tcW w:w="180" w:type="dxa"/>
            <w:vAlign w:val="bottom"/>
          </w:tcPr>
          <w:p>
            <w:pPr>
              <w:spacing w:after="0"/>
              <w:rPr>
                <w:sz w:val="24"/>
                <w:szCs w:val="24"/>
                <w:color w:val="auto"/>
              </w:rPr>
            </w:pPr>
          </w:p>
        </w:tc>
        <w:tc>
          <w:tcPr>
            <w:tcW w:w="43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Chief Financial Officer (Principal</w:t>
            </w:r>
          </w:p>
        </w:tc>
        <w:tc>
          <w:tcPr>
            <w:tcW w:w="3040" w:type="dxa"/>
            <w:vAlign w:val="bottom"/>
            <w:gridSpan w:val="2"/>
          </w:tcPr>
          <w:p>
            <w:pPr>
              <w:jc w:val="center"/>
              <w:ind w:right="1320"/>
              <w:spacing w:after="0"/>
              <w:rPr>
                <w:sz w:val="20"/>
                <w:szCs w:val="20"/>
                <w:color w:val="auto"/>
              </w:rPr>
            </w:pPr>
            <w:r>
              <w:rPr>
                <w:rFonts w:ascii="Arial" w:cs="Arial" w:eastAsia="Arial" w:hAnsi="Arial"/>
                <w:sz w:val="18"/>
                <w:szCs w:val="18"/>
                <w:color w:val="auto"/>
                <w:w w:val="89"/>
              </w:rPr>
              <w:t>October 5, 2022</w:t>
            </w:r>
          </w:p>
        </w:tc>
        <w:tc>
          <w:tcPr>
            <w:tcW w:w="0" w:type="dxa"/>
            <w:vAlign w:val="bottom"/>
          </w:tcPr>
          <w:p>
            <w:pPr>
              <w:spacing w:after="0"/>
              <w:rPr>
                <w:sz w:val="1"/>
                <w:szCs w:val="1"/>
                <w:color w:val="auto"/>
              </w:rPr>
            </w:pPr>
          </w:p>
        </w:tc>
      </w:tr>
      <w:tr>
        <w:trPr>
          <w:trHeight w:val="109"/>
        </w:trPr>
        <w:tc>
          <w:tcPr>
            <w:tcW w:w="1300" w:type="dxa"/>
            <w:vAlign w:val="bottom"/>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180" w:type="dxa"/>
            <w:vAlign w:val="bottom"/>
            <w:vMerge w:val="restart"/>
          </w:tcPr>
          <w:p>
            <w:pPr>
              <w:spacing w:after="0"/>
              <w:rPr>
                <w:sz w:val="9"/>
                <w:szCs w:val="9"/>
                <w:color w:val="auto"/>
              </w:rPr>
            </w:pPr>
          </w:p>
        </w:tc>
        <w:tc>
          <w:tcPr>
            <w:tcW w:w="4340" w:type="dxa"/>
            <w:vAlign w:val="bottom"/>
            <w:gridSpan w:val="2"/>
            <w:vMerge w:val="restart"/>
          </w:tcPr>
          <w:p>
            <w:pPr>
              <w:ind w:left="940"/>
              <w:spacing w:after="0"/>
              <w:rPr>
                <w:sz w:val="20"/>
                <w:szCs w:val="20"/>
                <w:color w:val="auto"/>
              </w:rPr>
            </w:pPr>
            <w:r>
              <w:rPr>
                <w:rFonts w:ascii="Arial" w:cs="Arial" w:eastAsia="Arial" w:hAnsi="Arial"/>
                <w:sz w:val="18"/>
                <w:szCs w:val="18"/>
                <w:color w:val="auto"/>
              </w:rPr>
              <w:t>Financial Officer and Principal</w:t>
            </w:r>
          </w:p>
        </w:tc>
        <w:tc>
          <w:tcPr>
            <w:tcW w:w="1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00" w:type="dxa"/>
            <w:vAlign w:val="bottom"/>
          </w:tcPr>
          <w:p>
            <w:pPr>
              <w:spacing w:after="0"/>
              <w:rPr>
                <w:sz w:val="7"/>
                <w:szCs w:val="7"/>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3"/>
              </w:rPr>
              <w:t>Arden Lee</w:t>
            </w:r>
          </w:p>
        </w:tc>
        <w:tc>
          <w:tcPr>
            <w:tcW w:w="180" w:type="dxa"/>
            <w:vAlign w:val="bottom"/>
            <w:vMerge w:val="continue"/>
          </w:tcPr>
          <w:p>
            <w:pPr>
              <w:spacing w:after="0"/>
              <w:rPr>
                <w:sz w:val="7"/>
                <w:szCs w:val="7"/>
                <w:color w:val="auto"/>
              </w:rPr>
            </w:pPr>
          </w:p>
        </w:tc>
        <w:tc>
          <w:tcPr>
            <w:tcW w:w="4340" w:type="dxa"/>
            <w:vAlign w:val="bottom"/>
            <w:gridSpan w:val="2"/>
            <w:vMerge w:val="continue"/>
          </w:tcPr>
          <w:p>
            <w:pPr>
              <w:spacing w:after="0"/>
              <w:rPr>
                <w:sz w:val="7"/>
                <w:szCs w:val="7"/>
                <w:color w:val="auto"/>
              </w:rPr>
            </w:pPr>
          </w:p>
        </w:tc>
        <w:tc>
          <w:tcPr>
            <w:tcW w:w="17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1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43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Accounting Officer)</w:t>
            </w:r>
          </w:p>
        </w:tc>
        <w:tc>
          <w:tcPr>
            <w:tcW w:w="1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3460" w:type="dxa"/>
            <w:vAlign w:val="bottom"/>
            <w:gridSpan w:val="2"/>
          </w:tcPr>
          <w:p>
            <w:pPr>
              <w:jc w:val="center"/>
              <w:ind w:left="1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3040" w:type="dxa"/>
            <w:vAlign w:val="bottom"/>
            <w:gridSpan w:val="2"/>
          </w:tcPr>
          <w:p>
            <w:pPr>
              <w:jc w:val="center"/>
              <w:ind w:right="1320"/>
              <w:spacing w:after="0"/>
              <w:rPr>
                <w:sz w:val="20"/>
                <w:szCs w:val="20"/>
                <w:color w:val="auto"/>
              </w:rPr>
            </w:pPr>
            <w:r>
              <w:rPr>
                <w:rFonts w:ascii="Arial" w:cs="Arial" w:eastAsia="Arial" w:hAnsi="Arial"/>
                <w:sz w:val="18"/>
                <w:szCs w:val="18"/>
                <w:color w:val="auto"/>
                <w:w w:val="89"/>
              </w:rPr>
              <w:t>October 5, 2022</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Tony Aquila</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/s/ Anthony Bay</w:t>
            </w:r>
          </w:p>
        </w:tc>
        <w:tc>
          <w:tcPr>
            <w:tcW w:w="18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3040" w:type="dxa"/>
            <w:vAlign w:val="bottom"/>
            <w:gridSpan w:val="2"/>
          </w:tcPr>
          <w:p>
            <w:pPr>
              <w:jc w:val="center"/>
              <w:ind w:right="1320"/>
              <w:spacing w:after="0"/>
              <w:rPr>
                <w:sz w:val="20"/>
                <w:szCs w:val="20"/>
                <w:color w:val="auto"/>
              </w:rPr>
            </w:pPr>
            <w:r>
              <w:rPr>
                <w:rFonts w:ascii="Arial" w:cs="Arial" w:eastAsia="Arial" w:hAnsi="Arial"/>
                <w:sz w:val="18"/>
                <w:szCs w:val="18"/>
                <w:color w:val="auto"/>
                <w:w w:val="89"/>
              </w:rPr>
              <w:t>October 5, 2022</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5"/>
              </w:rPr>
              <w:t>Anthony Bay</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460" w:type="dxa"/>
            <w:vAlign w:val="bottom"/>
            <w:gridSpan w:val="2"/>
          </w:tcPr>
          <w:p>
            <w:pPr>
              <w:jc w:val="center"/>
              <w:ind w:left="1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3040" w:type="dxa"/>
            <w:vAlign w:val="bottom"/>
            <w:gridSpan w:val="2"/>
          </w:tcPr>
          <w:p>
            <w:pPr>
              <w:jc w:val="center"/>
              <w:ind w:right="1320"/>
              <w:spacing w:after="0"/>
              <w:rPr>
                <w:sz w:val="20"/>
                <w:szCs w:val="20"/>
                <w:color w:val="auto"/>
              </w:rPr>
            </w:pPr>
            <w:r>
              <w:rPr>
                <w:rFonts w:ascii="Arial" w:cs="Arial" w:eastAsia="Arial" w:hAnsi="Arial"/>
                <w:sz w:val="18"/>
                <w:szCs w:val="18"/>
                <w:color w:val="auto"/>
                <w:w w:val="89"/>
              </w:rPr>
              <w:t>October 5, 2022</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Douglas Francis</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460" w:type="dxa"/>
            <w:vAlign w:val="bottom"/>
            <w:gridSpan w:val="2"/>
          </w:tcPr>
          <w:p>
            <w:pPr>
              <w:jc w:val="center"/>
              <w:ind w:left="1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3040" w:type="dxa"/>
            <w:vAlign w:val="bottom"/>
            <w:gridSpan w:val="2"/>
          </w:tcPr>
          <w:p>
            <w:pPr>
              <w:jc w:val="center"/>
              <w:ind w:right="1320"/>
              <w:spacing w:after="0"/>
              <w:rPr>
                <w:sz w:val="20"/>
                <w:szCs w:val="20"/>
                <w:color w:val="auto"/>
              </w:rPr>
            </w:pPr>
            <w:r>
              <w:rPr>
                <w:rFonts w:ascii="Arial" w:cs="Arial" w:eastAsia="Arial" w:hAnsi="Arial"/>
                <w:sz w:val="18"/>
                <w:szCs w:val="18"/>
                <w:color w:val="auto"/>
                <w:w w:val="89"/>
              </w:rPr>
              <w:t>October 5, 2022</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Brenda Freeman</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460" w:type="dxa"/>
            <w:vAlign w:val="bottom"/>
            <w:gridSpan w:val="2"/>
          </w:tcPr>
          <w:p>
            <w:pPr>
              <w:jc w:val="center"/>
              <w:ind w:left="1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3040" w:type="dxa"/>
            <w:vAlign w:val="bottom"/>
            <w:gridSpan w:val="2"/>
          </w:tcPr>
          <w:p>
            <w:pPr>
              <w:jc w:val="center"/>
              <w:ind w:right="1320"/>
              <w:spacing w:after="0"/>
              <w:rPr>
                <w:sz w:val="20"/>
                <w:szCs w:val="20"/>
                <w:color w:val="auto"/>
              </w:rPr>
            </w:pPr>
            <w:r>
              <w:rPr>
                <w:rFonts w:ascii="Arial" w:cs="Arial" w:eastAsia="Arial" w:hAnsi="Arial"/>
                <w:sz w:val="18"/>
                <w:szCs w:val="18"/>
                <w:color w:val="auto"/>
                <w:w w:val="89"/>
              </w:rPr>
              <w:t>October 5, 2022</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Olga Gonzalez</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460" w:type="dxa"/>
            <w:vAlign w:val="bottom"/>
            <w:gridSpan w:val="2"/>
          </w:tcPr>
          <w:p>
            <w:pPr>
              <w:jc w:val="center"/>
              <w:ind w:left="1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3040" w:type="dxa"/>
            <w:vAlign w:val="bottom"/>
            <w:gridSpan w:val="2"/>
          </w:tcPr>
          <w:p>
            <w:pPr>
              <w:jc w:val="center"/>
              <w:ind w:right="1320"/>
              <w:spacing w:after="0"/>
              <w:rPr>
                <w:sz w:val="20"/>
                <w:szCs w:val="20"/>
                <w:color w:val="auto"/>
              </w:rPr>
            </w:pPr>
            <w:r>
              <w:rPr>
                <w:rFonts w:ascii="Arial" w:cs="Arial" w:eastAsia="Arial" w:hAnsi="Arial"/>
                <w:sz w:val="18"/>
                <w:szCs w:val="18"/>
                <w:color w:val="auto"/>
                <w:w w:val="89"/>
              </w:rPr>
              <w:t>October 5, 2022</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Scott Gordon</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40" w:type="dxa"/>
            <w:vAlign w:val="bottom"/>
            <w:gridSpan w:val="2"/>
          </w:tcPr>
          <w:p>
            <w:pPr>
              <w:ind w:left="1720"/>
              <w:spacing w:after="0"/>
              <w:rPr>
                <w:sz w:val="20"/>
                <w:szCs w:val="20"/>
                <w:color w:val="auto"/>
              </w:rPr>
            </w:pPr>
            <w:r>
              <w:rPr>
                <w:rFonts w:ascii="Arial" w:cs="Arial" w:eastAsia="Arial" w:hAnsi="Arial"/>
                <w:sz w:val="18"/>
                <w:szCs w:val="18"/>
                <w:color w:val="auto"/>
              </w:rPr>
              <w:t>II-5</w:t>
            </w:r>
          </w:p>
        </w:tc>
        <w:tc>
          <w:tcPr>
            <w:tcW w:w="1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784" w:gutter="0" w:footer="0" w:header="0"/>
        </w:sectPr>
      </w:pPr>
    </w:p>
    <w:bookmarkStart w:id="35" w:name="page36"/>
    <w:bookmarkEnd w:id="3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ectPr>
          <w:pgSz w:w="11900" w:h="16838" w:orient="portrait"/>
          <w:cols w:equalWidth="0" w:num="1">
            <w:col w:w="9019"/>
          </w:cols>
          <w:pgMar w:left="1440" w:top="265" w:right="1440" w:bottom="1440" w:gutter="0" w:footer="0" w:header="0"/>
        </w:sectPr>
      </w:pPr>
    </w:p>
    <w:p>
      <w:pPr>
        <w:spacing w:after="0" w:line="231"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56515</wp:posOffset>
            </wp:positionV>
            <wp:extent cx="13716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center"/>
        <w:ind w:right="2120"/>
        <w:spacing w:after="0"/>
        <w:rPr>
          <w:sz w:val="20"/>
          <w:szCs w:val="20"/>
          <w:color w:val="auto"/>
        </w:rPr>
      </w:pPr>
      <w:r>
        <w:rPr>
          <w:rFonts w:ascii="Arial" w:cs="Arial" w:eastAsia="Arial" w:hAnsi="Arial"/>
          <w:sz w:val="13"/>
          <w:szCs w:val="13"/>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56515</wp:posOffset>
            </wp:positionV>
            <wp:extent cx="26314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64135</wp:posOffset>
            </wp:positionV>
            <wp:extent cx="11061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3860" w:space="720"/>
            <w:col w:w="2400" w:space="720"/>
            <w:col w:w="1319"/>
          </w:cols>
          <w:pgMar w:left="1440" w:top="265" w:right="1440" w:bottom="1440" w:gutter="0" w:footer="0" w:header="0"/>
          <w:type w:val="continuous"/>
        </w:sect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2160" w:type="dxa"/>
            <w:vAlign w:val="bottom"/>
          </w:tcPr>
          <w:p>
            <w:pPr>
              <w:jc w:val="center"/>
              <w:spacing w:after="0"/>
              <w:rPr>
                <w:sz w:val="20"/>
                <w:szCs w:val="20"/>
                <w:color w:val="auto"/>
              </w:rPr>
            </w:pPr>
            <w:r>
              <w:rPr>
                <w:rFonts w:ascii="Arial" w:cs="Arial" w:eastAsia="Arial" w:hAnsi="Arial"/>
                <w:sz w:val="18"/>
                <w:szCs w:val="18"/>
                <w:color w:val="auto"/>
              </w:rPr>
              <w:t>*</w:t>
            </w:r>
          </w:p>
        </w:tc>
        <w:tc>
          <w:tcPr>
            <w:tcW w:w="3840" w:type="dxa"/>
            <w:vAlign w:val="bottom"/>
          </w:tcPr>
          <w:p>
            <w:pPr>
              <w:jc w:val="center"/>
              <w:ind w:left="590"/>
              <w:spacing w:after="0"/>
              <w:rPr>
                <w:sz w:val="20"/>
                <w:szCs w:val="20"/>
                <w:color w:val="auto"/>
              </w:rPr>
            </w:pPr>
            <w:r>
              <w:rPr>
                <w:rFonts w:ascii="Arial" w:cs="Arial" w:eastAsia="Arial" w:hAnsi="Arial"/>
                <w:sz w:val="18"/>
                <w:szCs w:val="18"/>
                <w:color w:val="auto"/>
                <w:w w:val="95"/>
              </w:rPr>
              <w:t>Director</w:t>
            </w:r>
          </w:p>
        </w:tc>
        <w:tc>
          <w:tcPr>
            <w:tcW w:w="2120" w:type="dxa"/>
            <w:vAlign w:val="bottom"/>
          </w:tcPr>
          <w:p>
            <w:pPr>
              <w:ind w:left="960"/>
              <w:spacing w:after="0"/>
              <w:rPr>
                <w:sz w:val="20"/>
                <w:szCs w:val="20"/>
                <w:color w:val="auto"/>
              </w:rPr>
            </w:pPr>
            <w:r>
              <w:rPr>
                <w:rFonts w:ascii="Arial" w:cs="Arial" w:eastAsia="Arial" w:hAnsi="Arial"/>
                <w:sz w:val="18"/>
                <w:szCs w:val="18"/>
                <w:color w:val="auto"/>
                <w:w w:val="88"/>
              </w:rPr>
              <w:t>October 5, 2022</w:t>
            </w:r>
          </w:p>
        </w:tc>
      </w:tr>
      <w:tr>
        <w:trPr>
          <w:trHeight w:val="67"/>
        </w:trPr>
        <w:tc>
          <w:tcPr>
            <w:tcW w:w="2160" w:type="dxa"/>
            <w:vAlign w:val="bottom"/>
            <w:tcBorders>
              <w:bottom w:val="single" w:sz="8" w:color="auto"/>
            </w:tcBorders>
          </w:tcPr>
          <w:p>
            <w:pPr>
              <w:spacing w:after="0"/>
              <w:rPr>
                <w:sz w:val="5"/>
                <w:szCs w:val="5"/>
                <w:color w:val="auto"/>
              </w:rPr>
            </w:pPr>
          </w:p>
        </w:tc>
        <w:tc>
          <w:tcPr>
            <w:tcW w:w="3840" w:type="dxa"/>
            <w:vAlign w:val="bottom"/>
          </w:tcPr>
          <w:p>
            <w:pPr>
              <w:spacing w:after="0"/>
              <w:rPr>
                <w:sz w:val="5"/>
                <w:szCs w:val="5"/>
                <w:color w:val="auto"/>
              </w:rPr>
            </w:pPr>
          </w:p>
        </w:tc>
        <w:tc>
          <w:tcPr>
            <w:tcW w:w="2120" w:type="dxa"/>
            <w:vAlign w:val="bottom"/>
          </w:tcPr>
          <w:p>
            <w:pPr>
              <w:spacing w:after="0"/>
              <w:rPr>
                <w:sz w:val="5"/>
                <w:szCs w:val="5"/>
                <w:color w:val="auto"/>
              </w:rPr>
            </w:pPr>
          </w:p>
        </w:tc>
      </w:tr>
      <w:tr>
        <w:trPr>
          <w:trHeight w:val="277"/>
        </w:trPr>
        <w:tc>
          <w:tcPr>
            <w:tcW w:w="2160" w:type="dxa"/>
            <w:vAlign w:val="bottom"/>
          </w:tcPr>
          <w:p>
            <w:pPr>
              <w:jc w:val="center"/>
              <w:spacing w:after="0"/>
              <w:rPr>
                <w:sz w:val="20"/>
                <w:szCs w:val="20"/>
                <w:color w:val="auto"/>
              </w:rPr>
            </w:pPr>
            <w:r>
              <w:rPr>
                <w:rFonts w:ascii="Arial" w:cs="Arial" w:eastAsia="Arial" w:hAnsi="Arial"/>
                <w:sz w:val="18"/>
                <w:szCs w:val="18"/>
                <w:color w:val="auto"/>
                <w:w w:val="92"/>
              </w:rPr>
              <w:t>Justin Hartfield</w:t>
            </w:r>
          </w:p>
        </w:tc>
        <w:tc>
          <w:tcPr>
            <w:tcW w:w="38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648"/>
        </w:trPr>
        <w:tc>
          <w:tcPr>
            <w:tcW w:w="2160" w:type="dxa"/>
            <w:vAlign w:val="bottom"/>
          </w:tcPr>
          <w:p>
            <w:pPr>
              <w:jc w:val="center"/>
              <w:spacing w:after="0"/>
              <w:rPr>
                <w:sz w:val="20"/>
                <w:szCs w:val="20"/>
                <w:color w:val="auto"/>
              </w:rPr>
            </w:pPr>
            <w:r>
              <w:rPr>
                <w:rFonts w:ascii="Arial" w:cs="Arial" w:eastAsia="Arial" w:hAnsi="Arial"/>
                <w:sz w:val="18"/>
                <w:szCs w:val="18"/>
                <w:color w:val="auto"/>
              </w:rPr>
              <w:t>*</w:t>
            </w:r>
          </w:p>
        </w:tc>
        <w:tc>
          <w:tcPr>
            <w:tcW w:w="3840" w:type="dxa"/>
            <w:vAlign w:val="bottom"/>
          </w:tcPr>
          <w:p>
            <w:pPr>
              <w:jc w:val="center"/>
              <w:ind w:left="590"/>
              <w:spacing w:after="0"/>
              <w:rPr>
                <w:sz w:val="20"/>
                <w:szCs w:val="20"/>
                <w:color w:val="auto"/>
              </w:rPr>
            </w:pPr>
            <w:r>
              <w:rPr>
                <w:rFonts w:ascii="Arial" w:cs="Arial" w:eastAsia="Arial" w:hAnsi="Arial"/>
                <w:sz w:val="18"/>
                <w:szCs w:val="18"/>
                <w:color w:val="auto"/>
                <w:w w:val="95"/>
              </w:rPr>
              <w:t>Director</w:t>
            </w:r>
          </w:p>
        </w:tc>
        <w:tc>
          <w:tcPr>
            <w:tcW w:w="2120" w:type="dxa"/>
            <w:vAlign w:val="bottom"/>
          </w:tcPr>
          <w:p>
            <w:pPr>
              <w:ind w:left="960"/>
              <w:spacing w:after="0"/>
              <w:rPr>
                <w:sz w:val="20"/>
                <w:szCs w:val="20"/>
                <w:color w:val="auto"/>
              </w:rPr>
            </w:pPr>
            <w:r>
              <w:rPr>
                <w:rFonts w:ascii="Arial" w:cs="Arial" w:eastAsia="Arial" w:hAnsi="Arial"/>
                <w:sz w:val="18"/>
                <w:szCs w:val="18"/>
                <w:color w:val="auto"/>
                <w:w w:val="88"/>
              </w:rPr>
              <w:t>October 5, 2022</w:t>
            </w:r>
          </w:p>
        </w:tc>
      </w:tr>
      <w:tr>
        <w:trPr>
          <w:trHeight w:val="67"/>
        </w:trPr>
        <w:tc>
          <w:tcPr>
            <w:tcW w:w="2160" w:type="dxa"/>
            <w:vAlign w:val="bottom"/>
            <w:tcBorders>
              <w:bottom w:val="single" w:sz="8" w:color="auto"/>
            </w:tcBorders>
          </w:tcPr>
          <w:p>
            <w:pPr>
              <w:spacing w:after="0"/>
              <w:rPr>
                <w:sz w:val="5"/>
                <w:szCs w:val="5"/>
                <w:color w:val="auto"/>
              </w:rPr>
            </w:pPr>
          </w:p>
        </w:tc>
        <w:tc>
          <w:tcPr>
            <w:tcW w:w="3840" w:type="dxa"/>
            <w:vAlign w:val="bottom"/>
          </w:tcPr>
          <w:p>
            <w:pPr>
              <w:spacing w:after="0"/>
              <w:rPr>
                <w:sz w:val="5"/>
                <w:szCs w:val="5"/>
                <w:color w:val="auto"/>
              </w:rPr>
            </w:pPr>
          </w:p>
        </w:tc>
        <w:tc>
          <w:tcPr>
            <w:tcW w:w="2120" w:type="dxa"/>
            <w:vAlign w:val="bottom"/>
          </w:tcPr>
          <w:p>
            <w:pPr>
              <w:spacing w:after="0"/>
              <w:rPr>
                <w:sz w:val="5"/>
                <w:szCs w:val="5"/>
                <w:color w:val="auto"/>
              </w:rPr>
            </w:pPr>
          </w:p>
        </w:tc>
      </w:tr>
      <w:tr>
        <w:trPr>
          <w:trHeight w:val="277"/>
        </w:trPr>
        <w:tc>
          <w:tcPr>
            <w:tcW w:w="2160" w:type="dxa"/>
            <w:vAlign w:val="bottom"/>
          </w:tcPr>
          <w:p>
            <w:pPr>
              <w:jc w:val="center"/>
              <w:spacing w:after="0"/>
              <w:rPr>
                <w:sz w:val="20"/>
                <w:szCs w:val="20"/>
                <w:color w:val="auto"/>
              </w:rPr>
            </w:pPr>
            <w:r>
              <w:rPr>
                <w:rFonts w:ascii="Arial" w:cs="Arial" w:eastAsia="Arial" w:hAnsi="Arial"/>
                <w:sz w:val="18"/>
                <w:szCs w:val="18"/>
                <w:color w:val="auto"/>
                <w:w w:val="88"/>
              </w:rPr>
              <w:t>Fiona Tan</w:t>
            </w:r>
          </w:p>
        </w:tc>
        <w:tc>
          <w:tcPr>
            <w:tcW w:w="38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648"/>
        </w:trPr>
        <w:tc>
          <w:tcPr>
            <w:tcW w:w="2160" w:type="dxa"/>
            <w:vAlign w:val="bottom"/>
          </w:tcPr>
          <w:p>
            <w:pPr>
              <w:jc w:val="center"/>
              <w:spacing w:after="0"/>
              <w:rPr>
                <w:sz w:val="20"/>
                <w:szCs w:val="20"/>
                <w:color w:val="auto"/>
              </w:rPr>
            </w:pPr>
            <w:r>
              <w:rPr>
                <w:rFonts w:ascii="Arial" w:cs="Arial" w:eastAsia="Arial" w:hAnsi="Arial"/>
                <w:sz w:val="18"/>
                <w:szCs w:val="18"/>
                <w:color w:val="auto"/>
                <w:w w:val="91"/>
              </w:rPr>
              <w:t>/s/ Arden Lee</w:t>
            </w:r>
          </w:p>
        </w:tc>
        <w:tc>
          <w:tcPr>
            <w:tcW w:w="3840" w:type="dxa"/>
            <w:vAlign w:val="bottom"/>
          </w:tcPr>
          <w:p>
            <w:pPr>
              <w:jc w:val="center"/>
              <w:ind w:left="570"/>
              <w:spacing w:after="0"/>
              <w:rPr>
                <w:sz w:val="20"/>
                <w:szCs w:val="20"/>
                <w:color w:val="auto"/>
              </w:rPr>
            </w:pPr>
            <w:r>
              <w:rPr>
                <w:rFonts w:ascii="Arial" w:cs="Arial" w:eastAsia="Arial" w:hAnsi="Arial"/>
                <w:sz w:val="18"/>
                <w:szCs w:val="18"/>
                <w:color w:val="auto"/>
                <w:w w:val="95"/>
              </w:rPr>
              <w:t>Attorney-in-Fact</w:t>
            </w:r>
          </w:p>
        </w:tc>
        <w:tc>
          <w:tcPr>
            <w:tcW w:w="2120" w:type="dxa"/>
            <w:vAlign w:val="bottom"/>
          </w:tcPr>
          <w:p>
            <w:pPr>
              <w:ind w:left="960"/>
              <w:spacing w:after="0"/>
              <w:rPr>
                <w:sz w:val="20"/>
                <w:szCs w:val="20"/>
                <w:color w:val="auto"/>
              </w:rPr>
            </w:pPr>
            <w:r>
              <w:rPr>
                <w:rFonts w:ascii="Arial" w:cs="Arial" w:eastAsia="Arial" w:hAnsi="Arial"/>
                <w:sz w:val="18"/>
                <w:szCs w:val="18"/>
                <w:color w:val="auto"/>
                <w:w w:val="88"/>
              </w:rPr>
              <w:t>October 5, 2022</w:t>
            </w:r>
          </w:p>
        </w:tc>
      </w:tr>
      <w:tr>
        <w:trPr>
          <w:trHeight w:val="67"/>
        </w:trPr>
        <w:tc>
          <w:tcPr>
            <w:tcW w:w="2160" w:type="dxa"/>
            <w:vAlign w:val="bottom"/>
            <w:tcBorders>
              <w:bottom w:val="single" w:sz="8" w:color="auto"/>
            </w:tcBorders>
          </w:tcPr>
          <w:p>
            <w:pPr>
              <w:spacing w:after="0"/>
              <w:rPr>
                <w:sz w:val="5"/>
                <w:szCs w:val="5"/>
                <w:color w:val="auto"/>
              </w:rPr>
            </w:pPr>
          </w:p>
        </w:tc>
        <w:tc>
          <w:tcPr>
            <w:tcW w:w="3840" w:type="dxa"/>
            <w:vAlign w:val="bottom"/>
          </w:tcPr>
          <w:p>
            <w:pPr>
              <w:spacing w:after="0"/>
              <w:rPr>
                <w:sz w:val="5"/>
                <w:szCs w:val="5"/>
                <w:color w:val="auto"/>
              </w:rPr>
            </w:pPr>
          </w:p>
        </w:tc>
        <w:tc>
          <w:tcPr>
            <w:tcW w:w="2120" w:type="dxa"/>
            <w:vAlign w:val="bottom"/>
          </w:tcPr>
          <w:p>
            <w:pPr>
              <w:spacing w:after="0"/>
              <w:rPr>
                <w:sz w:val="5"/>
                <w:szCs w:val="5"/>
                <w:color w:val="auto"/>
              </w:rPr>
            </w:pPr>
          </w:p>
        </w:tc>
      </w:tr>
      <w:tr>
        <w:trPr>
          <w:trHeight w:val="277"/>
        </w:trPr>
        <w:tc>
          <w:tcPr>
            <w:tcW w:w="2160" w:type="dxa"/>
            <w:vAlign w:val="bottom"/>
          </w:tcPr>
          <w:p>
            <w:pPr>
              <w:jc w:val="center"/>
              <w:spacing w:after="0"/>
              <w:rPr>
                <w:sz w:val="20"/>
                <w:szCs w:val="20"/>
                <w:color w:val="auto"/>
              </w:rPr>
            </w:pPr>
            <w:r>
              <w:rPr>
                <w:rFonts w:ascii="Arial" w:cs="Arial" w:eastAsia="Arial" w:hAnsi="Arial"/>
                <w:sz w:val="18"/>
                <w:szCs w:val="18"/>
                <w:color w:val="auto"/>
                <w:w w:val="93"/>
              </w:rPr>
              <w:t>Arden Lee</w:t>
            </w:r>
          </w:p>
        </w:tc>
        <w:tc>
          <w:tcPr>
            <w:tcW w:w="38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86"/>
        </w:trPr>
        <w:tc>
          <w:tcPr>
            <w:tcW w:w="2160" w:type="dxa"/>
            <w:vAlign w:val="bottom"/>
          </w:tcPr>
          <w:p>
            <w:pPr>
              <w:spacing w:after="0"/>
              <w:rPr>
                <w:sz w:val="24"/>
                <w:szCs w:val="24"/>
                <w:color w:val="auto"/>
              </w:rPr>
            </w:pPr>
          </w:p>
        </w:tc>
        <w:tc>
          <w:tcPr>
            <w:tcW w:w="3840" w:type="dxa"/>
            <w:vAlign w:val="bottom"/>
          </w:tcPr>
          <w:p>
            <w:pPr>
              <w:ind w:left="1900"/>
              <w:spacing w:after="0"/>
              <w:rPr>
                <w:sz w:val="20"/>
                <w:szCs w:val="20"/>
                <w:color w:val="auto"/>
              </w:rPr>
            </w:pPr>
            <w:r>
              <w:rPr>
                <w:rFonts w:ascii="Arial" w:cs="Arial" w:eastAsia="Arial" w:hAnsi="Arial"/>
                <w:sz w:val="18"/>
                <w:szCs w:val="18"/>
                <w:color w:val="auto"/>
              </w:rPr>
              <w:t>II-6</w:t>
            </w:r>
          </w:p>
        </w:tc>
        <w:tc>
          <w:tcPr>
            <w:tcW w:w="2120" w:type="dxa"/>
            <w:vAlign w:val="bottom"/>
          </w:tcPr>
          <w:p>
            <w:pPr>
              <w:spacing w:after="0"/>
              <w:rPr>
                <w:sz w:val="24"/>
                <w:szCs w:val="24"/>
                <w:color w:val="auto"/>
              </w:rPr>
            </w:pPr>
          </w:p>
        </w:tc>
      </w:tr>
    </w:tbl>
    <w:p>
      <w:pPr>
        <w:sectPr>
          <w:pgSz w:w="11900" w:h="16838" w:orient="portrait"/>
          <w:cols w:equalWidth="0" w:num="1">
            <w:col w:w="9019"/>
          </w:cols>
          <w:pgMar w:left="1440" w:top="265" w:right="1440" w:bottom="1440" w:gutter="0" w:footer="0" w:header="0"/>
          <w:type w:val="continuous"/>
        </w:sectPr>
      </w:pPr>
    </w:p>
    <w:bookmarkStart w:id="36" w:name="page37"/>
    <w:bookmarkEnd w:id="3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We consent to the incorporation by reference in this Post-Effective Amendment No. 3 to Registration Statement Form S-1 on Form S-3 of WM Technology, Inc. of our report dated February 25, 2022, relating to the consolidated financial statements of WM Technology, Inc., appearing in the Annual Report on Form 10-K of WM Technology, Inc. for the year ended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We also consent to the reference to our firm under the heading “Experts” in such Registration Statement.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Baker Tilly US,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Irvine, California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October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41"/>
    </w:lvl>
  </w:abstractNum>
  <w:abstractNum w:abstractNumId="1">
    <w:nsid w:val="66EF438D"/>
    <w:multiLevelType w:val="hybridMultilevel"/>
    <w:lvl w:ilvl="0">
      <w:lvlJc w:val="left"/>
      <w:lvlText w:val="%1"/>
      <w:numFmt w:val="decimal"/>
      <w:start w:val="4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lowerRoman"/>
      <w:start w:val="2"/>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2"/>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4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9">
    <w:nsid w:val="628C895D"/>
    <w:multiLevelType w:val="hybridMultilevel"/>
    <w:lvl w:ilvl="0">
      <w:lvlJc w:val="left"/>
      <w:lvlText w:val="(%1)"/>
      <w:numFmt w:val="decimal"/>
      <w:start w:val="2"/>
    </w:lvl>
    <w:lvl w:ilvl="1">
      <w:lvlJc w:val="left"/>
      <w:lvlText w:val="(%2)"/>
      <w:numFmt w:val="lowerRoman"/>
      <w:start w:val="1"/>
    </w:lvl>
  </w:abstractNum>
  <w:abstractNum w:abstractNumId="20">
    <w:nsid w:val="333AB105"/>
    <w:multiLevelType w:val="hybridMultilevel"/>
    <w:lvl w:ilvl="0">
      <w:lvlJc w:val="left"/>
      <w:lvlText w:val="%1"/>
      <w:numFmt w:val="lowerLetter"/>
      <w:start w:val="1"/>
    </w:lvl>
    <w:lvl w:ilvl="1">
      <w:lvlJc w:val="left"/>
      <w:lvlText w:val="(%2)"/>
      <w:numFmt w:val="decimal"/>
      <w:start w:val="6"/>
    </w:lvl>
  </w:abstractNum>
  <w:abstractNum w:abstractNumId="21">
    <w:nsid w:val="721DA317"/>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54" Type="http://schemas.openxmlformats.org/officeDocument/2006/relationships/hyperlink" Target="https://www.sec.gov/ix?doc=/Archives/edgar/data/1779474/000177947422000010/maps-20211231.htm" TargetMode="External"/><Relationship Id="rId55" Type="http://schemas.openxmlformats.org/officeDocument/2006/relationships/hyperlink" Target="https://www.sec.gov/Archives/edgar/data/1779474/000114036122016940/edge20003709x2_def14a.htm" TargetMode="External"/><Relationship Id="rId56" Type="http://schemas.openxmlformats.org/officeDocument/2006/relationships/hyperlink" Target="https://www.sec.gov/ix?doc=/Archives/edgar/data/1779474/000177947422000022/maps-20220331.htm" TargetMode="External"/><Relationship Id="rId57" Type="http://schemas.openxmlformats.org/officeDocument/2006/relationships/hyperlink" Target="https://www.sec.gov/ix?doc=/Archives/edgar/data/1779474/000177947422000058/maps-20220630.htm" TargetMode="External"/><Relationship Id="rId58" Type="http://schemas.openxmlformats.org/officeDocument/2006/relationships/hyperlink" Target="https://www.sec.gov/Archives/edgar/data/1779474/000177947422000056/wmtechnologyincformearning.htm" TargetMode="External"/><Relationship Id="rId59" Type="http://schemas.openxmlformats.org/officeDocument/2006/relationships/hyperlink" Target="https://www.sec.gov/Archives/edgar/data/1779474/000177947422000010/exhibit45descriptionofsecu.htm" TargetMode="External"/><Relationship Id="rId63" Type="http://schemas.openxmlformats.org/officeDocument/2006/relationships/hyperlink" Target="https://www.sec.gov/Archives/edgar/data/1779474/000095010320024045/dp142700_ex0201.htm" TargetMode="External"/><Relationship Id="rId64" Type="http://schemas.openxmlformats.org/officeDocument/2006/relationships/hyperlink" Target="https://www.sec.gov/Archives/edgar/data/1779474/000114036121021785/brhc10025756_ex3-1.htm" TargetMode="External"/><Relationship Id="rId65" Type="http://schemas.openxmlformats.org/officeDocument/2006/relationships/hyperlink" Target="https://www.sec.gov/Archives/edgar/data/1779474/000114036121021785/brhc10025756_ex3-2.htm" TargetMode="External"/><Relationship Id="rId66" Type="http://schemas.openxmlformats.org/officeDocument/2006/relationships/hyperlink" Target="https://www.sec.gov/Archives/edgar/data/1779474/000114036121021785/brhc10025756_ex4-1.htm" TargetMode="External"/><Relationship Id="rId67" Type="http://schemas.openxmlformats.org/officeDocument/2006/relationships/hyperlink" Target="https://www.sec.gov/Archives/edgar/data/1779474/000114036121040114/brhc10031383_ex5-1.htm" TargetMode="External"/><Relationship Id="rId68" Type="http://schemas.openxmlformats.org/officeDocument/2006/relationships/hyperlink" Target="https://www.sec.gov/Archives/edgar/data/1779474/000114036121023775/nt10026588x1_s1.htm#tP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2022-10-05T05:20:15Z</dcterms:created>
  <dcterms:modified xsi:type="dcterms:W3CDTF">2022-10-05T05:20:15Z</dcterms:modified>
</cp:coreProperties>
</file>