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72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 w:after="283"/>
        <w:jc w:val="center"/>
        <w:rPr/>
      </w:pPr>
      <w:r>
        <w:rPr/>
      </w:r>
    </w:p>
    <w:p>
      <w:pPr>
        <w:pStyle w:val="TextBody"/>
        <w:bidi w:val="0"/>
        <w:spacing w:lineRule="auto" w:line="288" w:before="8"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8" w:after="283"/>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before="7" w:after="283"/>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before="5" w:after="283"/>
        <w:jc w:val="center"/>
        <w:rPr/>
      </w:pPr>
      <w:r>
        <w:rPr/>
      </w:r>
    </w:p>
    <w:p>
      <w:pPr>
        <w:pStyle w:val="TextBody"/>
        <w:bidi w:val="0"/>
        <w:spacing w:lineRule="auto" w:line="288" w:before="10" w:after="283"/>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10" w:after="283"/>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1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 of Report (Date of earliest event reported): May 29, 2024</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44"/>
        </w:rPr>
      </w:pPr>
      <w:r>
        <w:rPr>
          <w:rFonts w:ascii="Times New Roman;sans-serif" w:hAnsi="Times New Roman;sans-serif"/>
          <w:b/>
          <w:color w:val="000000"/>
          <w:sz w:val="44"/>
        </w:rPr>
        <w:t>WM TECHNOLOGY, INC.</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042" w:type="dxa"/>
        <w:jc w:val="center"/>
        <w:tblInd w:w="0" w:type="dxa"/>
        <w:tblLayout w:type="fixed"/>
        <w:tblCellMar>
          <w:top w:w="28" w:type="dxa"/>
          <w:left w:w="28" w:type="dxa"/>
          <w:bottom w:w="28" w:type="dxa"/>
          <w:right w:w="28" w:type="dxa"/>
        </w:tblCellMar>
      </w:tblPr>
      <w:tblGrid>
        <w:gridCol w:w="1345"/>
        <w:gridCol w:w="1181"/>
        <w:gridCol w:w="1193"/>
        <w:gridCol w:w="762"/>
        <w:gridCol w:w="762"/>
        <w:gridCol w:w="770"/>
        <w:gridCol w:w="884"/>
        <w:gridCol w:w="884"/>
        <w:gridCol w:w="1261"/>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001-39021</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98-1605615</w:t>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before="0" w:after="0"/>
        <w:jc w:val="center"/>
        <w:rPr/>
      </w:pPr>
      <w:r>
        <w:rPr/>
      </w:r>
    </w:p>
    <w:tbl>
      <w:tblPr>
        <w:tblW w:w="4662" w:type="dxa"/>
        <w:jc w:val="left"/>
        <w:tblInd w:w="0" w:type="dxa"/>
        <w:tblLayout w:type="fixed"/>
        <w:tblCellMar>
          <w:top w:w="28" w:type="dxa"/>
          <w:left w:w="28" w:type="dxa"/>
          <w:bottom w:w="28" w:type="dxa"/>
          <w:right w:w="28" w:type="dxa"/>
        </w:tblCellMar>
      </w:tblPr>
      <w:tblGrid>
        <w:gridCol w:w="1194"/>
        <w:gridCol w:w="1051"/>
        <w:gridCol w:w="1055"/>
        <w:gridCol w:w="109"/>
        <w:gridCol w:w="109"/>
        <w:gridCol w:w="109"/>
        <w:gridCol w:w="303"/>
        <w:gridCol w:w="303"/>
        <w:gridCol w:w="429"/>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41 Discovery </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Irvine,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92618</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(844) 933-3627</w:t>
      </w:r>
    </w:p>
    <w:p>
      <w:pPr>
        <w:pStyle w:val="TextBody"/>
        <w:bidi w:val="0"/>
        <w:spacing w:lineRule="auto" w:line="288" w:before="1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10" w:after="283"/>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bidi w:val="0"/>
        <w:spacing w:lineRule="auto" w:line="288" w:before="1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p>
      <w:pPr>
        <w:pStyle w:val="TextBody"/>
        <w:bidi w:val="0"/>
        <w:spacing w:before="10" w:after="283"/>
        <w:jc w:val="left"/>
        <w:rPr/>
      </w:pPr>
      <w:r>
        <w:rPr/>
      </w:r>
    </w:p>
    <w:p>
      <w:pPr>
        <w:pStyle w:val="TextBody"/>
        <w:bidi w:val="0"/>
        <w:spacing w:lineRule="auto" w:line="29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obligations of the registrant under any of the following provisions:</w:t>
      </w:r>
    </w:p>
    <w:p>
      <w:pPr>
        <w:pStyle w:val="TextBody"/>
        <w:bidi w:val="0"/>
        <w:spacing w:before="1" w:after="283"/>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9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385"/>
        <w:gridCol w:w="1912"/>
        <w:gridCol w:w="1934"/>
        <w:gridCol w:w="436"/>
        <w:gridCol w:w="436"/>
        <w:gridCol w:w="438"/>
        <w:gridCol w:w="777"/>
        <w:gridCol w:w="777"/>
        <w:gridCol w:w="1110"/>
      </w:tblGrid>
      <w:tr>
        <w:trPr/>
        <w:tc>
          <w:tcPr>
            <w:tcW w:w="2385"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62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2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6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per share</w:t>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MAPS</w:t>
            </w:r>
          </w:p>
        </w:tc>
        <w:tc>
          <w:tcPr>
            <w:tcW w:w="2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r>
        <w:trPr/>
        <w:tc>
          <w:tcPr>
            <w:tcW w:w="62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Warrants, each whole warrant exercisable for one share of Class A Common Stock at an exercise price of $11.50 per share</w:t>
            </w:r>
          </w:p>
        </w:tc>
        <w:tc>
          <w:tcPr>
            <w:tcW w:w="1310"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MAPSW</w:t>
            </w:r>
          </w:p>
        </w:tc>
        <w:tc>
          <w:tcPr>
            <w:tcW w:w="2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bl>
    <w:p>
      <w:pPr>
        <w:pStyle w:val="TextBody"/>
        <w:bidi w:val="0"/>
        <w:spacing w:before="0" w:after="0"/>
        <w:jc w:val="left"/>
        <w:rPr/>
      </w:pPr>
      <w:r>
        <w:rPr/>
      </w:r>
    </w:p>
    <w:p>
      <w:pPr>
        <w:pStyle w:val="TextBody"/>
        <w:bidi w:val="0"/>
        <w:spacing w:lineRule="auto" w:line="290" w:before="34"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right"/>
        <w:rPr/>
      </w:pPr>
      <w:r>
        <w:rPr>
          <w:rFonts w:ascii="Times New Roman;sans-serif" w:hAnsi="Times New Roman;sans-serif"/>
          <w:b w:val="false"/>
          <w:color w:val="000000"/>
          <w:sz w:val="20"/>
        </w:rPr>
        <w:t xml:space="preserve">Emerging growth company </w:t>
      </w:r>
      <w:r>
        <w:rPr>
          <w:color w:val="000000"/>
        </w:rPr>
        <w:t>☐</w:t>
      </w:r>
    </w:p>
    <w:p>
      <w:pPr>
        <w:pStyle w:val="TextBody"/>
        <w:bidi w:val="0"/>
        <w:spacing w:before="0" w:after="0"/>
        <w:jc w:val="right"/>
        <w:rPr/>
      </w:pPr>
      <w:r>
        <w:rPr/>
      </w:r>
    </w:p>
    <w:p>
      <w:pPr>
        <w:pStyle w:val="TextBody"/>
        <w:bidi w:val="0"/>
        <w:spacing w:lineRule="auto" w:line="290" w:before="0" w:after="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12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3.01.    Notice of Delisting or Failure to Satisfy a Continued Listing Rule or Standard; Transfer of Listing</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reported, on April 2, 2024, WM Technology, Inc. (the “Company”) received a notice from the Listing Qualifications Department (the “Staff”) of the Nasdaq Stock Market (“Nasdaq”), which indicated that, as a result of the Company’s delay in filing its Annual Report on Form 10-K for the year ended December 31, 2023 (the “Annual Report”), the Company was not in compliance with Nasdaq Listing Rule 5250(c)(1) (the “Rule”), which requires Nasdaq-listed companies to timely file all required periodic financial reports with the U.S. Securities and Exchange Commission (the “SEC”). As also previously reported, on May 14, 2024, the Company received an additional notice from the Staff which indicated that, as a result of the Company’s delay in filing its Quarterly Report on Form 10-Q for the period ended March 31, 2024 (the “Quarterly Report”) and its continued delay in filing its Annual Report, the Company remained out of compliance with the Rule.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May 29, 2024, the Company received a letter from the Staff (the “Compliance Notice”) notifying the Company that, based on the May 24, 2024 filing of the Annual Report and Quarterly Report, the Staff has determined that the Company has regained compliance with the Rule and that the matter is now closed.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before="10" w:after="283"/>
        <w:jc w:val="left"/>
        <w:rPr/>
      </w:pPr>
      <w:r>
        <w:rPr/>
      </w:r>
    </w:p>
    <w:p>
      <w:pPr>
        <w:pStyle w:val="TextBody"/>
        <w:bidi w:val="0"/>
        <w:spacing w:lineRule="auto" w:line="29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630" w:type="dxa"/>
        <w:jc w:val="left"/>
        <w:tblInd w:w="0" w:type="dxa"/>
        <w:tblLayout w:type="fixed"/>
        <w:tblCellMar>
          <w:top w:w="28" w:type="dxa"/>
          <w:left w:w="28" w:type="dxa"/>
          <w:bottom w:w="28" w:type="dxa"/>
          <w:right w:w="28" w:type="dxa"/>
        </w:tblCellMar>
      </w:tblPr>
      <w:tblGrid>
        <w:gridCol w:w="342"/>
        <w:gridCol w:w="300"/>
        <w:gridCol w:w="300"/>
        <w:gridCol w:w="300"/>
        <w:gridCol w:w="300"/>
        <w:gridCol w:w="300"/>
        <w:gridCol w:w="383"/>
        <w:gridCol w:w="383"/>
        <w:gridCol w:w="383"/>
        <w:gridCol w:w="771"/>
        <w:gridCol w:w="771"/>
        <w:gridCol w:w="1097"/>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r>
      <w:tr>
        <w:trPr/>
        <w:tc>
          <w:tcPr>
            <w:tcW w:w="1842"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May 30, 2024</w:t>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WM TECHNOLOGY, INC.</w:t>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6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Susan Echard</w:t>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Susan Echard</w:t>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r>
      <w:tr>
        <w:trPr/>
        <w:tc>
          <w:tcPr>
            <w:tcW w:w="9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603</Words>
  <Characters>3211</Characters>
  <CharactersWithSpaces>3759</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