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517525</wp:posOffset>
            </wp:positionV>
            <wp:extent cx="1911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397510</wp:posOffset>
            </wp:positionV>
            <wp:extent cx="19113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August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7" w:lineRule="exact"/>
        <w:rPr>
          <w:sz w:val="24"/>
          <w:szCs w:val="24"/>
          <w:color w:val="auto"/>
        </w:rPr>
      </w:pPr>
    </w:p>
    <w:p>
      <w:pPr>
        <w:ind w:left="234"/>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30"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16"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ectPr>
          <w:pgSz w:w="11900" w:h="16838" w:orient="portrait"/>
          <w:cols w:equalWidth="0" w:num="1">
            <w:col w:w="11014"/>
          </w:cols>
          <w:pgMar w:left="346" w:top="1137" w:right="539" w:bottom="1054" w:gutter="0" w:footer="0" w:header="0"/>
        </w:sectPr>
      </w:pPr>
    </w:p>
    <w:p>
      <w:pPr>
        <w:spacing w:after="0" w:line="81" w:lineRule="exact"/>
        <w:rPr>
          <w:sz w:val="24"/>
          <w:szCs w:val="24"/>
          <w:color w:val="auto"/>
        </w:rPr>
      </w:pPr>
    </w:p>
    <w:p>
      <w:pPr>
        <w:ind w:left="59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1137" w:right="539" w:bottom="1054"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1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304165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37" w:right="539" w:bottom="1054"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2.02</w:t>
        <w:tab/>
        <w:t>Results of Operations and Financial Condition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8, 2024, WM Technology, Inc. (the "Company") announced its financial results for the second quarter ended June 30, 2024. The full text of the press release issued in connection with the announcement is furnished as Exhibit 99.1 to this Current Report on Form 8-K and is incorporated by reference.</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pacing w:after="0" w:line="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Resignation</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 2024, Fiona Tan notified WM Technology, Inc. (the “Company”) of her decision to resign as a member of the Company’s board of directors (the “Board”), the Nominating and Corporate Governance Committee of the Board and the Technology Committee of the Board, of which she was the Chairperson, effective September 30, 2024. Ms. Tan’s decision was not based on any disagreement with the Company or on any matter relating to the Company’s operations, policies or practices.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Technology Officer Separation Agreement</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previously reported in the Current Report on Form 8-K filed on July 23, 2024, on July 17, 2024, Duncan Grazier, the Chief Technology Officer of the Company, tendered his resignation from his role as Chief Technology Officer, effective July 31, 2024.</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7, 2024, Mr. Grazier and the Company entered into a Separation and Release Agreement (the “Separation Agreement”), providing for the terms of Mr. Grazier’s separation from employment with the Company. Under the Separation Agreement, Mr. Grazier will remain employed with the Company on an “at-will” basis with the title of Special Advisor, assisting the Company in the transition of the Chief Technology Officer role through October 31, 2024. In addition, under the Separation Agreement, the Company has agreed to provide Mr. Grazier with the following separation payments and benefits in lieu of any payments or benefits he may otherwise have been entitled to under the terms of his employment agreement: an amount equal to the equivalent of nine months base salary plus 75% of his 2024 target bonus, less any applicable taxes, deductions and withholdings; nine months of paid COBRA premiums (which cease in the event of new coverage with a subsequent employer); and vesting acceleration of 66,086 restricted stock units. The Separation Agreement contains a release of claims, subject to customary exceptions.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Separation Agreement does not purport to be complete and is qualified in its entirety by reference to the Separation Agreement, a copy of which will be filed with the Securities and Exchange Commission in the Company’s Quarterly Report on Form 10-Q for the quarter ended September 30, 2024.</w:t>
      </w:r>
    </w:p>
    <w:p>
      <w:pPr>
        <w:spacing w:after="0" w:line="1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240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38"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August 8, 2024</w:t>
      </w:r>
    </w:p>
    <w:p>
      <w:pPr>
        <w:spacing w:after="0" w:line="63"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8, 2024</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40" w:top="657"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88265</wp:posOffset>
            </wp:positionV>
            <wp:extent cx="2143125"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WM Technology, Inc. Reports Financial Results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Second Quarter 2024</w:t>
      </w:r>
    </w:p>
    <w:p>
      <w:pPr>
        <w:spacing w:after="0" w:line="230" w:lineRule="exact"/>
        <w:rPr>
          <w:sz w:val="20"/>
          <w:szCs w:val="20"/>
          <w:color w:val="auto"/>
        </w:rPr>
      </w:pPr>
    </w:p>
    <w:p>
      <w:pPr>
        <w:jc w:val="center"/>
        <w:ind w:left="340" w:right="40"/>
        <w:spacing w:after="0" w:line="287" w:lineRule="auto"/>
        <w:rPr>
          <w:sz w:val="20"/>
          <w:szCs w:val="20"/>
          <w:color w:val="auto"/>
        </w:rPr>
      </w:pPr>
      <w:r>
        <w:rPr>
          <w:rFonts w:ascii="Times New Roman" w:cs="Times New Roman" w:eastAsia="Times New Roman" w:hAnsi="Times New Roman"/>
          <w:sz w:val="22"/>
          <w:szCs w:val="22"/>
          <w:i w:val="1"/>
          <w:iCs w:val="1"/>
          <w:color w:val="auto"/>
        </w:rPr>
        <w:t>The Company Reported Net Revenues of $45.9 million, Net Income of $1.2 million, Adjusted EBITDA of $10.1 million, and Cash of $41.3 million</w:t>
      </w:r>
    </w:p>
    <w:p>
      <w:pPr>
        <w:spacing w:after="0" w:line="200" w:lineRule="exact"/>
        <w:rPr>
          <w:sz w:val="20"/>
          <w:szCs w:val="20"/>
          <w:color w:val="auto"/>
        </w:rPr>
      </w:pP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Irvine, Calif.--(BUSINESS WIRE)--August 8, 2024-- </w:t>
      </w:r>
      <w:r>
        <w:rPr>
          <w:rFonts w:ascii="Times New Roman" w:cs="Times New Roman" w:eastAsia="Times New Roman" w:hAnsi="Times New Roman"/>
          <w:sz w:val="18"/>
          <w:szCs w:val="18"/>
          <w:color w:val="auto"/>
        </w:rPr>
        <w:t>WM Technology, Inc. (“WM Technology” or the “Company”) (Nasdaq: MAPS),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and software infrastructure provider to the cannabis industry, today announced its financial results for the second quarter ended June 30, 2024.</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extremely pleased with our accomplishments this quarter, which reflect the hard work and dedication of our entire team,” said Doug Francis, Executive Chair of WM Technology. “Through our commitment to operational discipline, we have strengthened our financial position, enabling us to invest and build for the future. I am excited about the initiatives we have underway and believe our efforts will position us to capitalize on future opportunities as this industry continues to evolve.”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second quarter profitability and ending cash balance are a result of our continued focus to streamline operational processes and manage client collections,” said Susan Echard, Interim CFO of WM Technology. “I’ve had the opportunity to work closely with all teams across the organization, and I’m impressed by the strong foundation that’s been built and the potential that lies ahead. I look forward to supporting the team’s mission and helping drive the company forward in this dynamic industry.”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Financial Highlights</w:t>
      </w:r>
    </w:p>
    <w:p>
      <w:pPr>
        <w:spacing w:after="0" w:line="162" w:lineRule="exact"/>
        <w:rPr>
          <w:sz w:val="20"/>
          <w:szCs w:val="20"/>
          <w:color w:val="auto"/>
        </w:rPr>
      </w:pPr>
    </w:p>
    <w:p>
      <w:pPr>
        <w:jc w:val="both"/>
        <w:ind w:left="660" w:hanging="328"/>
        <w:spacing w:after="0" w:line="243"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Net revenues for the second quarter ended June 30, 2024 were $45.9 million as compared to $48.4 million in the second quarter of 2023, representing a decline of 5% compared to the prior year period due to our clients continuing to face constrained marketing budgets, the ongoing price deflation in and consolidation of our industry, and the impact on revenue related to the sunset of certain products in the fourth quarter of 2023.</w:t>
      </w:r>
    </w:p>
    <w:p>
      <w:pPr>
        <w:spacing w:after="0" w:line="70" w:lineRule="exact"/>
        <w:rPr>
          <w:rFonts w:ascii="Times New Roman" w:cs="Times New Roman" w:eastAsia="Times New Roman" w:hAnsi="Times New Roman"/>
          <w:sz w:val="22"/>
          <w:szCs w:val="22"/>
          <w:color w:val="auto"/>
        </w:rPr>
      </w:pPr>
    </w:p>
    <w:p>
      <w:pPr>
        <w:jc w:val="both"/>
        <w:ind w:left="1300" w:hanging="320"/>
        <w:spacing w:after="0" w:line="236" w:lineRule="auto"/>
        <w:tabs>
          <w:tab w:leader="none" w:pos="1296" w:val="left"/>
        </w:tabs>
        <w:numPr>
          <w:ilvl w:val="1"/>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5,045, was down from 5,609 from the prior year period, largely due to the removal of paying clients from our platform who have become delinquent, the impact on client count related to the sunset of the aforementioned products, as well as expected client churn due to continued industry challenges, such as price deflation and ongoing consolidation.</w:t>
      </w:r>
    </w:p>
    <w:p>
      <w:pPr>
        <w:spacing w:after="0" w:line="78" w:lineRule="exact"/>
        <w:rPr>
          <w:rFonts w:ascii="Arial" w:cs="Arial" w:eastAsia="Arial" w:hAnsi="Arial"/>
          <w:sz w:val="22"/>
          <w:szCs w:val="22"/>
          <w:color w:val="auto"/>
        </w:rPr>
      </w:pPr>
    </w:p>
    <w:p>
      <w:pPr>
        <w:ind w:left="1300" w:hanging="320"/>
        <w:spacing w:after="0" w:line="229" w:lineRule="auto"/>
        <w:tabs>
          <w:tab w:leader="none" w:pos="1296" w:val="left"/>
        </w:tabs>
        <w:numPr>
          <w:ilvl w:val="1"/>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Average monthly net revenues per paying client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increased to $3,033 from $2,878 in the prior year period, due to churn of lower paying clients, including the clients using the aforementioned sunset products, which typically had a lower average selling price.</w:t>
      </w:r>
    </w:p>
    <w:p>
      <w:pPr>
        <w:spacing w:after="0" w:line="36"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$1.2 million as compared to $2.0 million in the prior year period.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decreased to $10.1 million from $10.2 million from the prior year period.</w:t>
      </w:r>
    </w:p>
    <w:p>
      <w:pPr>
        <w:spacing w:after="0" w:line="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shares outstanding across Class A and Class V Common Stock were 152.4 million as of June 30, 2024.</w:t>
      </w:r>
    </w:p>
    <w:p>
      <w:pPr>
        <w:spacing w:after="0" w:line="4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increased to $41.3 million as of June 30, 2024, as compared to $34.4 million as of December 31,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GAAP to non-GAAP financial measures have been provided in the tables included in this release.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11" w:lineRule="exact"/>
        <w:rPr>
          <w:rFonts w:ascii="Times New Roman" w:cs="Times New Roman" w:eastAsia="Times New Roman" w:hAnsi="Times New Roman"/>
          <w:sz w:val="14"/>
          <w:szCs w:val="14"/>
          <w:color w:val="auto"/>
        </w:rPr>
      </w:pPr>
    </w:p>
    <w:p>
      <w:pPr>
        <w:ind w:left="340" w:hanging="332"/>
        <w:spacing w:after="0" w:line="283"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net revenues per paying client is defined as the average monthly net revenues for any particular period divided by the average monthly paying clients in the same respective period. Average monthly net revenues per paying client is calculated in the same manner as our previously-reported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35" w:right="339" w:bottom="1440" w:gutter="0" w:footer="0" w:header="0"/>
        </w:sectPr>
      </w:pPr>
    </w:p>
    <w:bookmarkStart w:id="4" w:name="page5"/>
    <w:bookmarkEnd w:id="4"/>
    <w:p>
      <w:pPr>
        <w:ind w:left="340" w:right="20"/>
        <w:spacing w:after="0" w:line="271" w:lineRule="auto"/>
        <w:rPr>
          <w:sz w:val="20"/>
          <w:szCs w:val="20"/>
          <w:color w:val="auto"/>
        </w:rPr>
      </w:pPr>
      <w:r>
        <w:rPr>
          <w:rFonts w:ascii="Times New Roman" w:cs="Times New Roman" w:eastAsia="Times New Roman" w:hAnsi="Times New Roman"/>
          <w:sz w:val="14"/>
          <w:szCs w:val="14"/>
          <w:color w:val="auto"/>
        </w:rPr>
        <w:t>“average monthly revenue per paying client,” and the description of the metric is being updated solely to clarify that it is calculated using net revenues. Average monthly net revenues per paying client has been retrospectively adjusted to reflect the restatement of previously reported net revenues.</w:t>
      </w:r>
    </w:p>
    <w:p>
      <w:pPr>
        <w:ind w:left="340" w:hanging="332"/>
        <w:spacing w:after="0" w:line="263"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their use and a reconciliation of EBITDA and Adjusted EBITDA to net income (loss), see “Reconciliation of Net Income (Loss) to EBITDA and Adjusted EBITDA” below.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Previously Reported 2023 Quarterly Net Revenues and Credit Losses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90"/>
              <w:spacing w:after="0" w:line="174" w:lineRule="exact"/>
              <w:rPr>
                <w:sz w:val="20"/>
                <w:szCs w:val="20"/>
                <w:color w:val="auto"/>
              </w:rPr>
            </w:pPr>
            <w:r>
              <w:rPr>
                <w:rFonts w:ascii="Times New Roman" w:cs="Times New Roman" w:eastAsia="Times New Roman" w:hAnsi="Times New Roman"/>
                <w:sz w:val="18"/>
                <w:szCs w:val="18"/>
                <w:b w:val="1"/>
                <w:bCs w:val="1"/>
                <w:color w:val="auto"/>
              </w:rPr>
              <w:t>Previously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60" w:type="dxa"/>
            <w:vAlign w:val="bottom"/>
          </w:tcPr>
          <w:p>
            <w:pPr>
              <w:spacing w:after="0"/>
              <w:rPr>
                <w:sz w:val="15"/>
                <w:szCs w:val="15"/>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80" w:type="dxa"/>
            <w:vAlign w:val="bottom"/>
          </w:tcPr>
          <w:p>
            <w:pPr>
              <w:spacing w:after="0"/>
              <w:rPr>
                <w:sz w:val="15"/>
                <w:szCs w:val="15"/>
                <w:color w:val="auto"/>
              </w:rPr>
            </w:pPr>
          </w:p>
        </w:tc>
        <w:tc>
          <w:tcPr>
            <w:tcW w:w="1140" w:type="dxa"/>
            <w:vAlign w:val="bottom"/>
          </w:tcPr>
          <w:p>
            <w:pPr>
              <w:jc w:val="right"/>
              <w:ind w:right="170"/>
              <w:spacing w:after="0" w:line="174" w:lineRule="exact"/>
              <w:rPr>
                <w:sz w:val="20"/>
                <w:szCs w:val="20"/>
                <w:color w:val="auto"/>
              </w:rPr>
            </w:pPr>
            <w:r>
              <w:rPr>
                <w:rFonts w:ascii="Times New Roman" w:cs="Times New Roman" w:eastAsia="Times New Roman" w:hAnsi="Times New Roman"/>
                <w:sz w:val="18"/>
                <w:szCs w:val="18"/>
                <w:b w:val="1"/>
                <w:bCs w:val="1"/>
                <w:color w:val="auto"/>
              </w:rPr>
              <w:t>Previously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40" w:type="dxa"/>
            <w:vAlign w:val="bottom"/>
          </w:tcPr>
          <w:p>
            <w:pPr>
              <w:spacing w:after="0"/>
              <w:rPr>
                <w:sz w:val="15"/>
                <w:szCs w:val="15"/>
                <w:color w:val="auto"/>
              </w:rPr>
            </w:pPr>
          </w:p>
        </w:tc>
        <w:tc>
          <w:tcPr>
            <w:tcW w:w="11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0" w:type="dxa"/>
            <w:vAlign w:val="bottom"/>
          </w:tcPr>
          <w:p>
            <w:pPr>
              <w:spacing w:after="0"/>
              <w:rPr>
                <w:sz w:val="1"/>
                <w:szCs w:val="1"/>
                <w:color w:val="auto"/>
              </w:rPr>
            </w:pPr>
          </w:p>
        </w:tc>
      </w:tr>
      <w:tr>
        <w:trPr>
          <w:trHeight w:val="238"/>
        </w:trPr>
        <w:tc>
          <w:tcPr>
            <w:tcW w:w="2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50,852</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94,839</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19,208</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37,688</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47,069</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95,204</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41"/>
        </w:trPr>
        <w:tc>
          <w:tcPr>
            <w:tcW w:w="57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r>
      <w:tr>
        <w:trPr>
          <w:trHeight w:val="225"/>
        </w:trPr>
        <w:tc>
          <w:tcPr>
            <w:tcW w:w="5780" w:type="dxa"/>
            <w:vAlign w:val="bottom"/>
          </w:tcPr>
          <w:p>
            <w:pPr>
              <w:spacing w:after="0"/>
              <w:rPr>
                <w:sz w:val="19"/>
                <w:szCs w:val="19"/>
                <w:color w:val="auto"/>
              </w:rPr>
            </w:pP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Previously Reported</w:t>
            </w:r>
          </w:p>
        </w:tc>
        <w:tc>
          <w:tcPr>
            <w:tcW w:w="140" w:type="dxa"/>
            <w:vAlign w:val="bottom"/>
          </w:tcPr>
          <w:p>
            <w:pPr>
              <w:spacing w:after="0"/>
              <w:rPr>
                <w:sz w:val="19"/>
                <w:szCs w:val="19"/>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60" w:type="dxa"/>
            <w:vAlign w:val="bottom"/>
          </w:tcPr>
          <w:p>
            <w:pPr>
              <w:spacing w:after="0"/>
              <w:rPr>
                <w:sz w:val="19"/>
                <w:szCs w:val="19"/>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155"/>
        </w:trPr>
        <w:tc>
          <w:tcPr>
            <w:tcW w:w="57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6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6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29"/>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57"/>
        </w:trPr>
        <w:tc>
          <w:tcPr>
            <w:tcW w:w="57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information available as of August 8, 2024, WM Technology is issuing guidance for the third quarter of 2024 as follows:</w:t>
      </w:r>
    </w:p>
    <w:p>
      <w:pPr>
        <w:spacing w:after="0" w:line="11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are estimated to be approximately $44 million.</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Non-GAAP Adjusted EBITDA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is estimated to be approximately $7 million.</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guidance provided above is only an estimate of what we believe is realizable as of the date of this release. We are not readily able to provide a reconciliation of projected Non-GAAP Adjusted EBITDA to projected net income (loss) without unreasonable effort. This guidance assumes that no business acquisitions, investments, restructurings, or legal settlements are concluded in the period. Our results are based on assumptions that we believe to be reasonable as of this date, but may be materially affected by many factors, as discussed below in “Forward-Looking Statements.” Actual results may vary from the guidance and the variations may be material. We undertake no intent or obligation to publicly update or revise any of these projections, whether as a result of new information, future events or otherwise, except as required by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Conference Call and Webcasts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host a conference call and webcast today, Thursday, August 8, 2024, at 2:00 p.m. Pacific Time (5:00 p.m. Eastern Time) at https://edge.media-server.com/mmc/p/uyee5au8. A webcast replay will also be archived at ir.weedmaps.com.</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used, and intends to continue to use, the investor relations portion of its website as a means of disclosing material non-public information and for complying with disclosure obligations under Regulation FD.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3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WM Technology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2008, WM Technology operates Weedmaps, a leading cannabis marketplace for consumers, as well as a broad set of eCommerce and compliance software solutions for cannabis businesses and brands in U.S. state-legal markets. WM Technology holds a strong belief in the power of cannabis and the importance of enabling safe, legal access to consumers worldwide.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past 15 years, the Weedmaps marketplace has become a premier destination for cannabis consumers to discover and browse cannabis-related products, access daily dispensary deals, order ahead for pick-up and delivery by participating retailers (where applicable) and learn about the plant. The Company also offers eCommerce-enablement tools designed to help cannabis retailers and brands reach consumers, create business efficiency, and manage industry-specific compliance needs.</w:t>
      </w:r>
    </w:p>
    <w:p>
      <w:pPr>
        <w:spacing w:after="0" w:line="7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is committed to advocating for full U.S. legalization, industry-wide social equity, and continued education about the plant through key partnerships and cannabis subject matter experts.</w:t>
      </w:r>
    </w:p>
    <w:p>
      <w:pPr>
        <w:spacing w:after="0" w:line="54" w:lineRule="exact"/>
        <w:rPr>
          <w:sz w:val="20"/>
          <w:szCs w:val="20"/>
          <w:color w:val="auto"/>
        </w:rPr>
      </w:pPr>
    </w:p>
    <w:p>
      <w:pPr>
        <w:ind w:right="860"/>
        <w:spacing w:after="0" w:line="375" w:lineRule="auto"/>
        <w:rPr>
          <w:sz w:val="20"/>
          <w:szCs w:val="20"/>
          <w:color w:val="auto"/>
        </w:rPr>
      </w:pPr>
      <w:r>
        <w:rPr>
          <w:rFonts w:ascii="Times New Roman" w:cs="Times New Roman" w:eastAsia="Times New Roman" w:hAnsi="Times New Roman"/>
          <w:sz w:val="18"/>
          <w:szCs w:val="18"/>
          <w:color w:val="auto"/>
        </w:rPr>
        <w:t xml:space="preserve">Headquartered in Irvine, California, WM Technology supports remote and hybrid work for eligible employees. Visit us at www.weedmaps.com. </w:t>
      </w:r>
      <w:r>
        <w:rPr>
          <w:rFonts w:ascii="Times New Roman" w:cs="Times New Roman" w:eastAsia="Times New Roman" w:hAnsi="Times New Roman"/>
          <w:sz w:val="18"/>
          <w:szCs w:val="18"/>
          <w:b w:val="1"/>
          <w:bCs w:val="1"/>
          <w:color w:val="auto"/>
        </w:rPr>
        <w:t>Forward-Looking Statements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includes “forward-looking statements” regarding the Company’s future business expectations which involve risks and uncertainties. Forward 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the Company’s financial and business performance, including key business metrics and any underlying assumptions thereunder; market opportunity and the Company’s ability to acquire new clients and retain existing clients; expectations and timing related to commercial product launches; success of the Company’s go-to-market strategy; the Company’s ability to scale its business and expand its offerings; the Company’s competitive advantages and growth strategies; the Company’s future capital requirements and sources and uses of cash; the Company’s ability to obtain funding for its future operations; the impact of the material weaknesses in the Company’s internal controls and ability to remediate these material weaknesses in the timing the Company anticipates, or at all; the outcome of any known and unknown litigation and regulatory proceedings; changes in domestic and foreign business, market, financial, political and legal conditions; the effect of macroeconomic conditions, including but not limited to inflation, uncertain credit and global financial markets, recent and potential future disruptions in access to bank deposits or lending commitments due to bank failures and geopolitical events, including the military conflicts between Russia and Ukraine and Israel and Hamas and occurrence of a catastrophic event, including but not limited to severe weather, war, or terrorist attack; future global, regional or local economic and market conditions affecting the cannabis industry; the development, effects and enforcement of and changes to laws and regulations, including with respect to the cannabis industry; the Company’s ability to successfully capitalize on new and existing cannabis markets, including its ability to successfully monetize its solutions in those markets; the Company’s ability to manage future growth; the Company’s ability to effectively anticipate and address changes in the end-user market in the cannabis industry; the Company’s ability to develop new products and solutions, bring them to market in a timely manner, and make enhancements to its platform; the Company’s ability to maintain and grow its two-sided marketplace, including its ability to acquire and retain paying clients; the effects of competition on the Company’s future business; the Company’s success in retaining or recruiting, or changes required in, officers, key employees or directors; cyber-attacks and security vulnerabilities; the possibility that the Company may be adversely affected by other economic, business or competitive and those factors discussed in the Company’s 2023 Annual Report on Form 10-K filed with the SEC on May 24, 2024 and subsequent Form 10-Qs or Form 8-Ks filed with the SEC.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35" w:right="339" w:bottom="1440" w:gutter="0" w:footer="0" w:header="0"/>
        </w:sectPr>
      </w:pPr>
    </w:p>
    <w:bookmarkStart w:id="6" w:name="page7"/>
    <w:bookmarkEnd w:id="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representing the Company’s assessments as of any date subsequent to the date of this press release. Accordingly, undue reliance should not be placed upon the forward-looking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including net income (loss), are prepared in accordance with principles generally accepted in the United States of America (“GAAP”).</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 legal settlements and other legal costs, reduction in force, asset impairment charges, change in TRA liability and other non-cash, unusual and/or infrequent costs in the case of Adjusted EBITDA. Below we have provided a reconciliation of net income (loss) (the most directly comparable GAAP financial measure) to EBITDA; and from EBITDA to Adjusted EBITDA.</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key measures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54" w:lineRule="exact"/>
        <w:rPr>
          <w:sz w:val="20"/>
          <w:szCs w:val="20"/>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(loss), our GAAP expenses, and our other GAAP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47" w:right="339" w:bottom="1440" w:gutter="0" w:footer="0" w:header="0"/>
        </w:sectPr>
      </w:pPr>
    </w:p>
    <w:bookmarkStart w:id="7" w:name="page8"/>
    <w:bookmarkEnd w:id="7"/>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11,158</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51,486</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167,963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167,021</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7"/>
        </w:trPr>
        <w:tc>
          <w:tcPr>
            <w:tcW w:w="7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21,182</w:t>
            </w:r>
          </w:p>
        </w:tc>
      </w:tr>
      <w:tr>
        <w:trPr>
          <w:trHeight w:val="230"/>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r>
      <w:tr>
        <w:trPr>
          <w:trHeight w:val="230"/>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33,715</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26,550</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63,870</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75"/>
        </w:trPr>
        <w:tc>
          <w:tcPr>
            <w:tcW w:w="72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 and</w:t>
            </w: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June 30, 2024 and December 31, 2023</w:t>
            </w:r>
          </w:p>
        </w:tc>
        <w:tc>
          <w:tcPr>
            <w:tcW w:w="28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2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 $0.0001 par value; 1,500,000,000 shares authorized; 96,948,250</w:t>
            </w: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4"/>
        </w:trPr>
        <w:tc>
          <w:tcPr>
            <w:tcW w:w="72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shares issued and outstanding at June 30, 2024 and 94,383,053 shares issued and outstanding</w:t>
            </w: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34"/>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 December 31, 2023</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75"/>
        </w:trPr>
        <w:tc>
          <w:tcPr>
            <w:tcW w:w="72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V Common Stock - $0.0001 par value; 500,000,000 shares authorized, 55,486,361 shares</w:t>
            </w: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at June 30, 2024 and December 31, 2023</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80,884</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(64,518)</w:t>
            </w: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w:t>
            </w: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86,771</w:t>
            </w:r>
          </w:p>
        </w:tc>
      </w:tr>
      <w:tr>
        <w:trPr>
          <w:trHeight w:val="223"/>
        </w:trPr>
        <w:tc>
          <w:tcPr>
            <w:tcW w:w="7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109,186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103,151</w:t>
            </w:r>
          </w:p>
        </w:tc>
      </w:tr>
      <w:tr>
        <w:trPr>
          <w:trHeight w:val="248"/>
        </w:trPr>
        <w:tc>
          <w:tcPr>
            <w:tcW w:w="72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167,963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0"/>
                <w:szCs w:val="20"/>
                <w:color w:val="auto"/>
              </w:rPr>
            </w:pPr>
          </w:p>
        </w:tc>
        <w:tc>
          <w:tcPr>
            <w:tcW w:w="252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90"/>
              <w:spacing w:after="0" w:line="243" w:lineRule="exact"/>
              <w:rPr>
                <w:sz w:val="20"/>
                <w:szCs w:val="20"/>
                <w:color w:val="auto"/>
              </w:rPr>
            </w:pPr>
            <w:r>
              <w:rPr>
                <w:rFonts w:ascii="Times New Roman" w:cs="Times New Roman" w:eastAsia="Times New Roman" w:hAnsi="Times New Roman"/>
                <w:sz w:val="18"/>
                <w:szCs w:val="18"/>
                <w:b w:val="1"/>
                <w:bCs w:val="1"/>
                <w:color w:val="auto"/>
                <w:w w:val="98"/>
              </w:rPr>
              <w:t>As Restated</w:t>
            </w:r>
            <w:r>
              <w:rPr>
                <w:rFonts w:ascii="Times New Roman" w:cs="Times New Roman" w:eastAsia="Times New Roman" w:hAnsi="Times New Roman"/>
                <w:sz w:val="23"/>
                <w:szCs w:val="23"/>
                <w:b w:val="1"/>
                <w:bCs w:val="1"/>
                <w:color w:val="auto"/>
                <w:w w:val="98"/>
                <w:vertAlign w:val="superscript"/>
              </w:rPr>
              <w:t>1</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94,839</w:t>
            </w: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 shown</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separately below)</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20,134</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37,688</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95,204</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95,342,596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92,851,349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95,023,380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92,589,011</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97,275,700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93,622,582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96,647,173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92,589,011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-4173855</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-4173855</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22" w:lineRule="exact"/>
        <w:rPr>
          <w:sz w:val="20"/>
          <w:szCs w:val="20"/>
          <w:color w:val="auto"/>
        </w:rPr>
      </w:pPr>
    </w:p>
    <w:p>
      <w:pPr>
        <w:jc w:val="both"/>
        <w:ind w:right="20" w:firstLine="8"/>
        <w:spacing w:after="0" w:line="228" w:lineRule="auto"/>
        <w:tabs>
          <w:tab w:leader="none" w:pos="132"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For the three and six months ended June 30, 2023, net revenues and general and administrative expenses have been retrospectively adjusted to reflect the restatement of previously reported revenue and credit losses. See Note 2, “Summary of Significant Accounting Policies,” of Form 10-Q for the period ended June 30, 2024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326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169"/>
        </w:trPr>
        <w:tc>
          <w:tcPr>
            <w:tcW w:w="79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51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1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lease assets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(benefit) for credit losses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0" w:type="dxa"/>
            <w:vAlign w:val="bottom"/>
          </w:tcPr>
          <w:p>
            <w:pPr>
              <w:spacing w:after="0"/>
              <w:rPr>
                <w:sz w:val="1"/>
                <w:szCs w:val="1"/>
                <w:color w:val="auto"/>
              </w:rPr>
            </w:pPr>
          </w:p>
        </w:tc>
      </w:tr>
      <w:tr>
        <w:trPr>
          <w:trHeight w:val="250"/>
        </w:trPr>
        <w:tc>
          <w:tcPr>
            <w:tcW w:w="79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0" w:type="dxa"/>
            <w:vAlign w:val="bottom"/>
          </w:tcPr>
          <w:p>
            <w:pPr>
              <w:spacing w:after="0"/>
              <w:rPr>
                <w:sz w:val="1"/>
                <w:szCs w:val="1"/>
                <w:color w:val="auto"/>
              </w:rPr>
            </w:pPr>
          </w:p>
        </w:tc>
      </w:tr>
      <w:tr>
        <w:trPr>
          <w:trHeight w:val="250"/>
        </w:trPr>
        <w:tc>
          <w:tcPr>
            <w:tcW w:w="79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of insurance premium financing</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repayment of related party note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receivable agreement payment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0" w:type="dxa"/>
            <w:vAlign w:val="bottom"/>
          </w:tcPr>
          <w:p>
            <w:pPr>
              <w:spacing w:after="0"/>
              <w:rPr>
                <w:sz w:val="1"/>
                <w:szCs w:val="1"/>
                <w:color w:val="auto"/>
              </w:rPr>
            </w:pPr>
          </w:p>
        </w:tc>
      </w:tr>
      <w:tr>
        <w:trPr>
          <w:trHeight w:val="250"/>
        </w:trPr>
        <w:tc>
          <w:tcPr>
            <w:tcW w:w="79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-4619625</wp:posOffset>
            </wp:positionV>
            <wp:extent cx="596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 beginning of period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 end of period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(3,980)</w:t>
            </w:r>
          </w:p>
        </w:tc>
      </w:tr>
      <w:tr>
        <w:trPr>
          <w:trHeight w:val="234"/>
        </w:trPr>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34,350</w:t>
            </w: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28,583</w:t>
            </w:r>
          </w:p>
        </w:tc>
      </w:tr>
      <w:tr>
        <w:trPr>
          <w:trHeight w:val="223"/>
        </w:trPr>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41,292</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24,603</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-333375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85" w:lineRule="exact"/>
        <w:rPr>
          <w:sz w:val="20"/>
          <w:szCs w:val="20"/>
          <w:color w:val="auto"/>
        </w:rPr>
      </w:pPr>
    </w:p>
    <w:p>
      <w:pPr>
        <w:sectPr>
          <w:pgSz w:w="11900" w:h="16838" w:orient="portrait"/>
          <w:cols w:equalWidth="0" w:num="2">
            <w:col w:w="7260" w:space="720"/>
            <w:col w:w="3260"/>
          </w:cols>
          <w:pgMar w:left="320" w:top="1440" w:right="339" w:bottom="1440" w:gutter="0" w:footer="0" w:header="0"/>
          <w:type w:val="continuous"/>
        </w:sectPr>
      </w:pPr>
    </w:p>
    <w:p>
      <w:pPr>
        <w:jc w:val="both"/>
        <w:ind w:firstLine="8"/>
        <w:spacing w:after="0" w:line="237" w:lineRule="auto"/>
        <w:tabs>
          <w:tab w:leader="none" w:pos="146"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six months ended June 30, 2023, provision (benefit) for credit losses and change in accounts receivable have been retrospectively adjusted to reflect the restatement of previously reported revenue and credit losses. See Note 2, “Summary of Significant Accounting Policies,” of Form 10-Q for the period ended June 30, 2024 filed with the SEC.</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EBITDA AND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420" w:type="dxa"/>
            <w:vAlign w:val="bottom"/>
          </w:tcPr>
          <w:p>
            <w:pPr>
              <w:spacing w:after="0"/>
              <w:rPr>
                <w:sz w:val="23"/>
                <w:szCs w:val="23"/>
                <w:color w:val="auto"/>
              </w:rPr>
            </w:pPr>
          </w:p>
        </w:tc>
        <w:tc>
          <w:tcPr>
            <w:tcW w:w="346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60" w:type="dxa"/>
            <w:vAlign w:val="bottom"/>
          </w:tcPr>
          <w:p>
            <w:pPr>
              <w:spacing w:after="0"/>
              <w:rPr>
                <w:sz w:val="23"/>
                <w:szCs w:val="23"/>
                <w:color w:val="auto"/>
              </w:rPr>
            </w:pPr>
          </w:p>
        </w:tc>
        <w:tc>
          <w:tcPr>
            <w:tcW w:w="28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4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29"/>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r>
      <w:tr>
        <w:trPr>
          <w:trHeight w:val="229"/>
        </w:trPr>
        <w:tc>
          <w:tcPr>
            <w:tcW w:w="4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r>
      <w:tr>
        <w:trPr>
          <w:trHeight w:val="229"/>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w:t>
            </w:r>
          </w:p>
        </w:tc>
      </w:tr>
      <w:tr>
        <w:trPr>
          <w:trHeight w:val="229"/>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related bonus (recovery) expense</w:t>
            </w: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r>
      <w:tr>
        <w:trPr>
          <w:trHeight w:val="229"/>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229"/>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 in force (recovery) expense</w:t>
            </w:r>
          </w:p>
        </w:tc>
        <w:tc>
          <w:tcPr>
            <w:tcW w:w="10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17,357</w:t>
            </w:r>
          </w:p>
        </w:tc>
      </w:tr>
      <w:tr>
        <w:trPr>
          <w:trHeight w:val="21"/>
        </w:trPr>
        <w:tc>
          <w:tcPr>
            <w:tcW w:w="4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3051F2"/>
        </w:rPr>
        <w:t>investors@weedmaps.com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Contract: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3051F2"/>
        </w:rPr>
        <w:t>press@weedmaps.com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2024-08-08T15:55:05Z</dcterms:created>
  <dcterms:modified xsi:type="dcterms:W3CDTF">2024-08-08T15:55:05Z</dcterms:modified>
</cp:coreProperties>
</file>