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23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251460</wp:posOffset>
            </wp:positionV>
            <wp:extent cx="171450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110,898,382 Shares of Class A Common Stock</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105,014,011 Shares of Class A Common Stock</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7,000,000 Warrants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4"/>
          <w:szCs w:val="24"/>
          <w:color w:val="auto"/>
        </w:rPr>
      </w:pPr>
    </w:p>
    <w:p>
      <w:pPr>
        <w:jc w:val="both"/>
        <w:ind w:left="40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4"/>
          <w:szCs w:val="24"/>
          <w:color w:val="auto"/>
        </w:rPr>
      </w:pPr>
    </w:p>
    <w:p>
      <w:pPr>
        <w:jc w:val="both"/>
        <w:ind w:left="400" w:right="419" w:firstLine="360"/>
        <w:spacing w:after="0" w:line="270"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69" w:lineRule="exact"/>
        <w:rPr>
          <w:sz w:val="24"/>
          <w:szCs w:val="24"/>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August 28, 2025 the closing price of our Class A Common Stock was $1.21 and the closing price for our Public Warrants was $0.03.</w:t>
      </w:r>
    </w:p>
    <w:p>
      <w:pPr>
        <w:spacing w:after="0" w:line="68"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68"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August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147320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gridSpan w:val="7"/>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6040" w:type="dxa"/>
            <w:vAlign w:val="bottom"/>
            <w:gridSpan w:val="7"/>
          </w:tcPr>
          <w:p>
            <w:pPr>
              <w:spacing w:after="0"/>
              <w:rPr>
                <w:sz w:val="16"/>
                <w:szCs w:val="16"/>
                <w:color w:val="auto"/>
              </w:rPr>
            </w:pP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620" w:type="dxa"/>
            <w:vAlign w:val="bottom"/>
            <w:gridSpan w:val="5"/>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gridSpan w:val="2"/>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0"/>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32</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18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940" w:type="dxa"/>
            <w:vAlign w:val="bottom"/>
            <w:gridSpan w:val="3"/>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165735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6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Market LLC;</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and hemp industries;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721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57219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solutions software offering. The Weedmaps marketplace is a premier destination for cannabis consumers to discover and browse information regarding cannabis and cannabis products with 5,241 average monthly paying clients during the three months ended June 30, 2025 on the supply-side of our marketplace. These paying clients include retailers, brands and other client types (such as doctors). Further, these clients, who can choose to purchase multiple listings solutions for each business, had purchased approximately 8,600 listing pages as of June 30, 2025.</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259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82594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1320"/>
        <w:spacing w:after="0"/>
        <w:tabs>
          <w:tab w:leader="none" w:pos="6040" w:val="left"/>
          <w:tab w:leader="none" w:pos="6560" w:val="left"/>
          <w:tab w:leader="none" w:pos="7640" w:val="left"/>
          <w:tab w:leader="none" w:pos="8100" w:val="left"/>
          <w:tab w:leader="none" w:pos="8680" w:val="left"/>
          <w:tab w:leader="none" w:pos="930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WM</w:t>
        <w:tab/>
        <w:t>Technology,</w:t>
        <w:tab/>
        <w:t>Inc.</w:t>
        <w:tab/>
        <w:t>(f/k/a</w:t>
        <w:tab/>
        <w:t>Silver</w:t>
      </w:r>
      <w:r>
        <w:rPr>
          <w:sz w:val="20"/>
          <w:szCs w:val="20"/>
          <w:color w:val="auto"/>
        </w:rPr>
        <w:tab/>
      </w:r>
      <w:r>
        <w:rPr>
          <w:rFonts w:ascii="Times New Roman" w:cs="Times New Roman" w:eastAsia="Times New Roman" w:hAnsi="Times New Roman"/>
          <w:sz w:val="17"/>
          <w:szCs w:val="17"/>
          <w:color w:val="auto"/>
        </w:rPr>
        <w:t>Spike</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Acquisition Corp.).</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11020"/>
          </w:cols>
          <w:pgMar w:left="440" w:top="263" w:right="439" w:bottom="1440" w:gutter="0" w:footer="0" w:header="0"/>
        </w:sectPr>
      </w:pP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0" w:right="16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63"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firstLine="2"/>
        <w:spacing w:after="0" w:line="252" w:lineRule="auto"/>
        <w:tabs>
          <w:tab w:leader="none" w:pos="2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107,897,133 shares (as of August 19, 2025).</w:t>
      </w:r>
    </w:p>
    <w:p>
      <w:pPr>
        <w:spacing w:after="0" w:line="200" w:lineRule="exact"/>
        <w:rPr>
          <w:sz w:val="20"/>
          <w:szCs w:val="20"/>
          <w:color w:val="auto"/>
        </w:rPr>
      </w:pPr>
    </w:p>
    <w:p>
      <w:pPr>
        <w:spacing w:after="0" w:line="349"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190,520,380 shares (based on total shares outstanding as of August 19, 2025).</w:t>
      </w:r>
    </w:p>
    <w:p>
      <w:pPr>
        <w:spacing w:after="0" w:line="90" w:lineRule="exact"/>
        <w:rPr>
          <w:sz w:val="20"/>
          <w:szCs w:val="20"/>
          <w:color w:val="auto"/>
        </w:rPr>
      </w:pPr>
    </w:p>
    <w:p>
      <w:pPr>
        <w:sectPr>
          <w:pgSz w:w="11900" w:h="16838" w:orient="portrait"/>
          <w:cols w:equalWidth="0" w:num="2">
            <w:col w:w="5680" w:space="380"/>
            <w:col w:w="496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Exercise Price of Warrants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$11.50  per  share,  subject  to  adjustment  as</w:t>
            </w:r>
          </w:p>
        </w:tc>
        <w:tc>
          <w:tcPr>
            <w:tcW w:w="1040" w:type="dxa"/>
            <w:vAlign w:val="bottom"/>
          </w:tcPr>
          <w:p>
            <w:pPr>
              <w:spacing w:after="0"/>
              <w:rPr>
                <w:sz w:val="19"/>
                <w:szCs w:val="19"/>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described herein.</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  will  receive  up  to  an  aggregate  of</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approximately $224.3 million from the exercise of</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Warrants, assuming the exercise in full of all</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Warrants for cash. We expect to use the net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exercise of the Warrants for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corporate  purposes.  See  the  section</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entitled “Use of Proceeds.”</w:t>
            </w:r>
          </w:p>
        </w:tc>
        <w:tc>
          <w:tcPr>
            <w:tcW w:w="1040" w:type="dxa"/>
            <w:vAlign w:val="bottom"/>
          </w:tcPr>
          <w:p>
            <w:pPr>
              <w:spacing w:after="0"/>
              <w:rPr>
                <w:sz w:val="20"/>
                <w:szCs w:val="20"/>
                <w:color w:val="auto"/>
              </w:rPr>
            </w:pPr>
          </w:p>
        </w:tc>
      </w:tr>
      <w:tr>
        <w:trPr>
          <w:trHeight w:val="351"/>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080" w:type="dxa"/>
            <w:vAlign w:val="bottom"/>
          </w:tcPr>
          <w:p>
            <w:pPr>
              <w:spacing w:after="0"/>
              <w:rPr>
                <w:sz w:val="19"/>
                <w:szCs w:val="19"/>
                <w:color w:val="auto"/>
              </w:rPr>
            </w:pPr>
          </w:p>
        </w:tc>
        <w:tc>
          <w:tcPr>
            <w:tcW w:w="47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(i) 105,014,011 shares of Class A Common</w:t>
            </w:r>
          </w:p>
        </w:tc>
        <w:tc>
          <w:tcPr>
            <w:tcW w:w="104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consisting of (i) 38,750,000 issued and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shares of Class A Common Stock,</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 59,264,011 shares of Class A Common Stock</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issuable  upon  exchange  of  such  Selling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Securityholder’s Paired Interests or Class P Units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(iii) 7,000,000 shares of Class A Common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issuable  upon  exercise  of  the  Private</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Placement Warrants.</w:t>
            </w:r>
          </w:p>
        </w:tc>
        <w:tc>
          <w:tcPr>
            <w:tcW w:w="1040" w:type="dxa"/>
            <w:vAlign w:val="bottom"/>
          </w:tcPr>
          <w:p>
            <w:pPr>
              <w:spacing w:after="0"/>
              <w:rPr>
                <w:sz w:val="20"/>
                <w:szCs w:val="20"/>
                <w:color w:val="auto"/>
              </w:rPr>
            </w:pPr>
          </w:p>
        </w:tc>
      </w:tr>
      <w:tr>
        <w:trPr>
          <w:trHeight w:val="365"/>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Warrants Offered by the Selling Securityholders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7,000,000 Private Placement Warrants.</w:t>
            </w:r>
          </w:p>
        </w:tc>
        <w:tc>
          <w:tcPr>
            <w:tcW w:w="1040" w:type="dxa"/>
            <w:vAlign w:val="bottom"/>
          </w:tcPr>
          <w:p>
            <w:pPr>
              <w:spacing w:after="0"/>
              <w:rPr>
                <w:sz w:val="24"/>
                <w:szCs w:val="24"/>
                <w:color w:val="auto"/>
              </w:rPr>
            </w:pPr>
          </w:p>
        </w:tc>
      </w:tr>
      <w:tr>
        <w:trPr>
          <w:trHeight w:val="346"/>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Warrants  are  redeemable  in  certain</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circumstances.   See   the   section   entitled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“Description  of  our  Securities—Warrants”  for</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discussion.</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Class A Common Stock and Public Warrants</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are currently traded on Nasdaq under the symbols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“MAPS” and “MAPSW,” respectively.</w:t>
            </w:r>
          </w:p>
        </w:tc>
        <w:tc>
          <w:tcPr>
            <w:tcW w:w="1040" w:type="dxa"/>
            <w:vAlign w:val="bottom"/>
          </w:tcPr>
          <w:p>
            <w:pPr>
              <w:spacing w:after="0"/>
              <w:rPr>
                <w:sz w:val="20"/>
                <w:szCs w:val="20"/>
                <w:color w:val="auto"/>
              </w:rPr>
            </w:pPr>
          </w:p>
        </w:tc>
      </w:tr>
      <w:tr>
        <w:trPr>
          <w:trHeight w:val="226"/>
        </w:trPr>
        <w:tc>
          <w:tcPr>
            <w:tcW w:w="1080" w:type="dxa"/>
            <w:vAlign w:val="bottom"/>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474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5</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7" w:name="page8"/>
    <w:bookmarkEnd w:id="7"/>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2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100" w:type="dxa"/>
            <w:vAlign w:val="bottom"/>
            <w:tcBorders>
              <w:top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See the section entitled “Risk Factors,”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similar  headings  in  any  amendments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supplements to this prospectus and the documents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incorporated herein by reference, for a discussion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of factors you should consider before investing in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our securities.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610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1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2"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00" w:type="dxa"/>
            <w:vAlign w:val="bottom"/>
          </w:tcPr>
          <w:p>
            <w:pPr>
              <w:spacing w:after="0"/>
              <w:rPr>
                <w:sz w:val="13"/>
                <w:szCs w:val="13"/>
                <w:color w:val="auto"/>
              </w:rPr>
            </w:pP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100" w:type="dxa"/>
            <w:vAlign w:val="bottom"/>
          </w:tcPr>
          <w:p>
            <w:pPr>
              <w:spacing w:after="0"/>
              <w:rPr>
                <w:sz w:val="7"/>
                <w:szCs w:val="7"/>
                <w:color w:val="auto"/>
              </w:rPr>
            </w:pPr>
          </w:p>
        </w:tc>
        <w:tc>
          <w:tcPr>
            <w:tcW w:w="134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Class A of</w:t>
            </w: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 A</w:t>
            </w:r>
          </w:p>
        </w:tc>
        <w:tc>
          <w:tcPr>
            <w:tcW w:w="100" w:type="dxa"/>
            <w:vAlign w:val="bottom"/>
          </w:tcPr>
          <w:p>
            <w:pPr>
              <w:spacing w:after="0"/>
              <w:rPr>
                <w:sz w:val="7"/>
                <w:szCs w:val="7"/>
                <w:color w:val="auto"/>
              </w:rPr>
            </w:pPr>
          </w:p>
        </w:tc>
        <w:tc>
          <w:tcPr>
            <w:tcW w:w="134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Warrants</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are</w:t>
            </w:r>
          </w:p>
        </w:tc>
        <w:tc>
          <w:tcPr>
            <w:tcW w:w="100" w:type="dxa"/>
            <w:vAlign w:val="bottom"/>
          </w:tcPr>
          <w:p>
            <w:pPr>
              <w:spacing w:after="0"/>
              <w:rPr>
                <w:sz w:val="7"/>
                <w:szCs w:val="7"/>
                <w:color w:val="auto"/>
              </w:rPr>
            </w:pPr>
          </w:p>
        </w:tc>
        <w:tc>
          <w:tcPr>
            <w:tcW w:w="800" w:type="dxa"/>
            <w:vAlign w:val="bottom"/>
            <w:gridSpan w:val="3"/>
            <w:vMerge w:val="restart"/>
          </w:tcPr>
          <w:p>
            <w:pPr>
              <w:jc w:val="center"/>
              <w:ind w:left="418"/>
              <w:spacing w:after="0" w:line="149" w:lineRule="exact"/>
              <w:rPr>
                <w:sz w:val="20"/>
                <w:szCs w:val="20"/>
                <w:color w:val="auto"/>
              </w:rPr>
            </w:pPr>
            <w:r>
              <w:rPr>
                <w:rFonts w:ascii="Times New Roman" w:cs="Times New Roman" w:eastAsia="Times New Roman" w:hAnsi="Times New Roman"/>
                <w:sz w:val="14"/>
                <w:szCs w:val="14"/>
                <w:b w:val="1"/>
                <w:bCs w:val="1"/>
                <w:color w:val="auto"/>
                <w:w w:val="92"/>
              </w:rPr>
              <w:t>are</w:t>
            </w: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00" w:type="dxa"/>
            <w:vAlign w:val="bottom"/>
          </w:tcPr>
          <w:p>
            <w:pPr>
              <w:spacing w:after="0"/>
              <w:rPr>
                <w:sz w:val="7"/>
                <w:szCs w:val="7"/>
                <w:color w:val="auto"/>
              </w:rPr>
            </w:pPr>
          </w:p>
        </w:tc>
        <w:tc>
          <w:tcPr>
            <w:tcW w:w="800" w:type="dxa"/>
            <w:vAlign w:val="bottom"/>
            <w:gridSpan w:val="3"/>
            <w:vMerge w:val="restart"/>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120" w:type="dxa"/>
            <w:vAlign w:val="bottom"/>
          </w:tcPr>
          <w:p>
            <w:pPr>
              <w:spacing w:after="0"/>
              <w:rPr>
                <w:sz w:val="9"/>
                <w:szCs w:val="9"/>
                <w:color w:val="auto"/>
              </w:rPr>
            </w:pPr>
          </w:p>
        </w:tc>
        <w:tc>
          <w:tcPr>
            <w:tcW w:w="8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12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Beals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Brian Camire</w:t>
            </w:r>
            <w:r>
              <w:rPr>
                <w:rFonts w:ascii="Times New Roman" w:cs="Times New Roman" w:eastAsia="Times New Roman" w:hAnsi="Times New Roman"/>
                <w:sz w:val="28"/>
                <w:szCs w:val="28"/>
                <w:color w:val="auto"/>
                <w:vertAlign w:val="superscript"/>
              </w:rPr>
              <w:t>(1)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Dean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Juanjo Feijoo-Osorio</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Arden Lee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1,239,543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1,239,543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Steven Jung</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1,314,411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1,314,411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16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27,700,849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27,700,849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Justin Hartfield</w:t>
            </w:r>
            <w:r>
              <w:rPr>
                <w:rFonts w:ascii="Times New Roman" w:cs="Times New Roman" w:eastAsia="Times New Roman" w:hAnsi="Times New Roman"/>
                <w:sz w:val="28"/>
                <w:szCs w:val="28"/>
                <w:color w:val="auto"/>
                <w:vertAlign w:val="superscript"/>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29,328,310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29,328,310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Entities affiliated with Silver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2160" w:type="dxa"/>
            <w:vAlign w:val="bottom"/>
            <w:tcBorders>
              <w:bottom w:val="single" w:sz="8" w:color="CCEEFF"/>
            </w:tcBorders>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Spike Sponsor, LLC</w:t>
            </w:r>
            <w:r>
              <w:rPr>
                <w:rFonts w:ascii="Times New Roman" w:cs="Times New Roman" w:eastAsia="Times New Roman" w:hAnsi="Times New Roman"/>
                <w:sz w:val="28"/>
                <w:szCs w:val="28"/>
                <w:color w:val="auto"/>
                <w:vertAlign w:val="superscript"/>
              </w:rPr>
              <w:t>(4)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7,515,752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7,515,752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80" w:type="dxa"/>
            <w:vAlign w:val="bottom"/>
          </w:tcPr>
          <w:p>
            <w:pPr>
              <w:spacing w:after="0"/>
              <w:rPr>
                <w:sz w:val="16"/>
                <w:szCs w:val="16"/>
                <w:color w:val="auto"/>
              </w:rPr>
            </w:pP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8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are</w:t>
            </w:r>
          </w:p>
        </w:tc>
        <w:tc>
          <w:tcPr>
            <w:tcW w:w="8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Warrants are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0" w:type="dxa"/>
            <w:vAlign w:val="bottom"/>
          </w:tcPr>
          <w:p>
            <w:pPr>
              <w:spacing w:after="0"/>
              <w:rPr>
                <w:sz w:val="12"/>
                <w:szCs w:val="12"/>
                <w:color w:val="auto"/>
              </w:rPr>
            </w:pPr>
          </w:p>
        </w:tc>
        <w:tc>
          <w:tcPr>
            <w:tcW w:w="122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Sold</w:t>
            </w:r>
          </w:p>
        </w:tc>
        <w:tc>
          <w:tcPr>
            <w:tcW w:w="80" w:type="dxa"/>
            <w:vAlign w:val="bottom"/>
          </w:tcPr>
          <w:p>
            <w:pPr>
              <w:spacing w:after="0"/>
              <w:rPr>
                <w:sz w:val="12"/>
                <w:szCs w:val="12"/>
                <w:color w:val="auto"/>
              </w:rPr>
            </w:pPr>
          </w:p>
        </w:tc>
        <w:tc>
          <w:tcPr>
            <w:tcW w:w="840" w:type="dxa"/>
            <w:vAlign w:val="bottom"/>
            <w:tcBorders>
              <w:bottom w:val="single" w:sz="8" w:color="auto"/>
            </w:tcBorders>
            <w:gridSpan w:val="3"/>
          </w:tcPr>
          <w:p>
            <w:pPr>
              <w:jc w:val="center"/>
              <w:ind w:left="452"/>
              <w:spacing w:after="0" w:line="129" w:lineRule="exact"/>
              <w:rPr>
                <w:sz w:val="20"/>
                <w:szCs w:val="20"/>
                <w:color w:val="auto"/>
              </w:rPr>
            </w:pPr>
            <w:r>
              <w:rPr>
                <w:rFonts w:ascii="Times New Roman" w:cs="Times New Roman" w:eastAsia="Times New Roman" w:hAnsi="Times New Roman"/>
                <w:sz w:val="14"/>
                <w:szCs w:val="14"/>
                <w:b w:val="1"/>
                <w:bCs w:val="1"/>
                <w:color w:val="auto"/>
                <w:w w:val="98"/>
              </w:rPr>
              <w:t>Sold</w:t>
            </w:r>
          </w:p>
        </w:tc>
        <w:tc>
          <w:tcPr>
            <w:tcW w:w="560" w:type="dxa"/>
            <w:vAlign w:val="bottom"/>
            <w:tcBorders>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240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2012 Grassie Family Delaware</w:t>
            </w: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Dynasty Trust</w:t>
            </w:r>
            <w:r>
              <w:rPr>
                <w:rFonts w:ascii="Times New Roman" w:cs="Times New Roman" w:eastAsia="Times New Roman" w:hAnsi="Times New Roman"/>
                <w:sz w:val="28"/>
                <w:szCs w:val="28"/>
                <w:color w:val="auto"/>
                <w:vertAlign w:val="superscript"/>
              </w:rPr>
              <w:t>(5)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2019 Alternative Public</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Investments, LLC</w:t>
            </w:r>
            <w:r>
              <w:rPr>
                <w:rFonts w:ascii="Times New Roman" w:cs="Times New Roman" w:eastAsia="Times New Roman" w:hAnsi="Times New Roman"/>
                <w:sz w:val="28"/>
                <w:szCs w:val="28"/>
                <w:color w:val="auto"/>
                <w:vertAlign w:val="superscript"/>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231,123</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231,123</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5"/>
                <w:szCs w:val="25"/>
                <w:color w:val="auto"/>
                <w:vertAlign w:val="superscript"/>
              </w:rPr>
              <w:t>(7)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5"/>
                <w:szCs w:val="25"/>
                <w:color w:val="auto"/>
                <w:vertAlign w:val="superscript"/>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5"/>
                <w:szCs w:val="25"/>
                <w:color w:val="auto"/>
                <w:vertAlign w:val="superscript"/>
              </w:rPr>
              <w:t>(9)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AHPPCB Legacy Trust dated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February 1, 2014</w:t>
            </w:r>
            <w:r>
              <w:rPr>
                <w:rFonts w:ascii="Times New Roman" w:cs="Times New Roman" w:eastAsia="Times New Roman" w:hAnsi="Times New Roman"/>
                <w:sz w:val="28"/>
                <w:szCs w:val="28"/>
                <w:color w:val="auto"/>
                <w:vertAlign w:val="superscript"/>
              </w:rPr>
              <w:t>(10)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Alasdair I.C. Grassie 2012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 Bisat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5"/>
                <w:szCs w:val="25"/>
                <w:color w:val="auto"/>
                <w:vertAlign w:val="superscript"/>
              </w:rPr>
              <w:t>(12)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91,666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Entities affiliated with Anthony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Aquila</w:t>
            </w:r>
            <w:r>
              <w:rPr>
                <w:rFonts w:ascii="Times New Roman" w:cs="Times New Roman" w:eastAsia="Times New Roman" w:hAnsi="Times New Roman"/>
                <w:sz w:val="28"/>
                <w:szCs w:val="28"/>
                <w:color w:val="auto"/>
                <w:vertAlign w:val="superscript"/>
              </w:rPr>
              <w:t>(13)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Asia Pacific On-Line Limited</w:t>
            </w:r>
            <w:r>
              <w:rPr>
                <w:rFonts w:ascii="Times New Roman" w:cs="Times New Roman" w:eastAsia="Times New Roman" w:hAnsi="Times New Roman"/>
                <w:sz w:val="25"/>
                <w:szCs w:val="25"/>
                <w:color w:val="auto"/>
                <w:vertAlign w:val="superscript"/>
              </w:rPr>
              <w:t>(14)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w w:val="99"/>
              </w:rPr>
              <w:t>Entities affiliated with Monashee</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Management,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3"/>
                <w:szCs w:val="13"/>
                <w:color w:val="auto"/>
              </w:rPr>
              <w:t>(15)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Bernardino Colonna</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Cavenham Private Equity and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Directs</w:t>
            </w:r>
            <w:r>
              <w:rPr>
                <w:rFonts w:ascii="Times New Roman" w:cs="Times New Roman" w:eastAsia="Times New Roman" w:hAnsi="Times New Roman"/>
                <w:sz w:val="28"/>
                <w:szCs w:val="28"/>
                <w:color w:val="auto"/>
                <w:vertAlign w:val="superscript"/>
              </w:rPr>
              <w:t>(16)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Citadel Multi-Strategy Equities</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Master Fund Ltd.</w:t>
            </w:r>
            <w:r>
              <w:rPr>
                <w:rFonts w:ascii="Times New Roman" w:cs="Times New Roman" w:eastAsia="Times New Roman" w:hAnsi="Times New Roman"/>
                <w:sz w:val="28"/>
                <w:szCs w:val="28"/>
                <w:color w:val="auto"/>
                <w:vertAlign w:val="superscript"/>
              </w:rPr>
              <w:t>(17)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Behdad Eghbali</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 E. Feliciano</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5"/>
                <w:szCs w:val="25"/>
                <w:color w:val="auto"/>
                <w:vertAlign w:val="superscript"/>
              </w:rPr>
              <w:t>(18)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Craig Schlanger Trust UAD</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15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8/31/1979</w:t>
            </w:r>
            <w:r>
              <w:rPr>
                <w:rFonts w:ascii="Times New Roman" w:cs="Times New Roman" w:eastAsia="Times New Roman" w:hAnsi="Times New Roman"/>
                <w:sz w:val="28"/>
                <w:szCs w:val="28"/>
                <w:color w:val="auto"/>
                <w:vertAlign w:val="superscript"/>
              </w:rPr>
              <w:t>(19)</w:t>
            </w:r>
          </w:p>
        </w:tc>
        <w:tc>
          <w:tcPr>
            <w:tcW w:w="8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5"/>
                <w:szCs w:val="25"/>
                <w:color w:val="auto"/>
                <w:vertAlign w:val="superscript"/>
              </w:rPr>
              <w:t>(20)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Darren Lazarus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5"/>
                <w:szCs w:val="25"/>
                <w:color w:val="auto"/>
                <w:vertAlign w:val="superscript"/>
              </w:rPr>
              <w:t>(21)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Mayer de Rothschild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Morrill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Todd Posen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Debra Shemesh-Joester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Kaplan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Aroesty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5"/>
                <w:szCs w:val="25"/>
                <w:color w:val="auto"/>
                <w:vertAlign w:val="superscript"/>
              </w:rPr>
              <w:t>(22)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Euan C.A. Grassie 2012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5"/>
                <w:szCs w:val="25"/>
                <w:color w:val="auto"/>
                <w:vertAlign w:val="superscript"/>
              </w:rPr>
              <w:t>(24)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Final Word Investments LLC</w:t>
            </w:r>
            <w:r>
              <w:rPr>
                <w:rFonts w:ascii="Times New Roman" w:cs="Times New Roman" w:eastAsia="Times New Roman" w:hAnsi="Times New Roman"/>
                <w:sz w:val="25"/>
                <w:szCs w:val="25"/>
                <w:color w:val="auto"/>
                <w:vertAlign w:val="superscript"/>
              </w:rPr>
              <w:t>(25)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Granite Point Master Fund,</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3"/>
                <w:szCs w:val="13"/>
                <w:color w:val="auto"/>
              </w:rPr>
              <w:t>(26)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Gregor C.A. Grassie 2012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GS+A Global Special Situations</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2400" w:type="dxa"/>
            <w:vAlign w:val="bottom"/>
            <w:tcBorders>
              <w:bottom w:val="single" w:sz="8" w:color="CCEEFF"/>
            </w:tcBorders>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Fund</w:t>
            </w:r>
            <w:r>
              <w:rPr>
                <w:rFonts w:ascii="Times New Roman" w:cs="Times New Roman" w:eastAsia="Times New Roman" w:hAnsi="Times New Roman"/>
                <w:sz w:val="28"/>
                <w:szCs w:val="28"/>
                <w:color w:val="auto"/>
                <w:vertAlign w:val="superscript"/>
              </w:rPr>
              <w:t>(28)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80" w:type="dxa"/>
            <w:vAlign w:val="bottom"/>
          </w:tcPr>
          <w:p>
            <w:pPr>
              <w:spacing w:after="0"/>
              <w:rPr>
                <w:sz w:val="16"/>
                <w:szCs w:val="16"/>
                <w:color w:val="auto"/>
              </w:rPr>
            </w:pPr>
          </w:p>
        </w:tc>
        <w:tc>
          <w:tcPr>
            <w:tcW w:w="13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8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are</w:t>
            </w:r>
          </w:p>
        </w:tc>
        <w:tc>
          <w:tcPr>
            <w:tcW w:w="8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Warrants are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Being</w:t>
            </w:r>
          </w:p>
        </w:tc>
        <w:tc>
          <w:tcPr>
            <w:tcW w:w="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Being</w:t>
            </w:r>
          </w:p>
        </w:tc>
        <w:tc>
          <w:tcPr>
            <w:tcW w:w="80" w:type="dxa"/>
            <w:vAlign w:val="bottom"/>
          </w:tcPr>
          <w:p>
            <w:pPr>
              <w:spacing w:after="0"/>
              <w:rPr>
                <w:sz w:val="12"/>
                <w:szCs w:val="12"/>
                <w:color w:val="auto"/>
              </w:rPr>
            </w:pPr>
          </w:p>
        </w:tc>
        <w:tc>
          <w:tcPr>
            <w:tcW w:w="820" w:type="dxa"/>
            <w:vAlign w:val="bottom"/>
            <w:tcBorders>
              <w:bottom w:val="single" w:sz="8" w:color="auto"/>
            </w:tcBorders>
            <w:gridSpan w:val="3"/>
          </w:tcPr>
          <w:p>
            <w:pPr>
              <w:jc w:val="center"/>
              <w:ind w:left="453"/>
              <w:spacing w:after="0" w:line="129" w:lineRule="exact"/>
              <w:rPr>
                <w:sz w:val="20"/>
                <w:szCs w:val="20"/>
                <w:color w:val="auto"/>
              </w:rPr>
            </w:pPr>
            <w:r>
              <w:rPr>
                <w:rFonts w:ascii="Times New Roman" w:cs="Times New Roman" w:eastAsia="Times New Roman" w:hAnsi="Times New Roman"/>
                <w:sz w:val="14"/>
                <w:szCs w:val="14"/>
                <w:b w:val="1"/>
                <w:bCs w:val="1"/>
                <w:color w:val="auto"/>
              </w:rPr>
              <w:t>Sold</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gridSpan w:val="3"/>
          </w:tcPr>
          <w:p>
            <w:pPr>
              <w:jc w:val="center"/>
              <w:ind w:left="452"/>
              <w:spacing w:after="0" w:line="129" w:lineRule="exact"/>
              <w:rPr>
                <w:sz w:val="20"/>
                <w:szCs w:val="20"/>
                <w:color w:val="auto"/>
              </w:rPr>
            </w:pPr>
            <w:r>
              <w:rPr>
                <w:rFonts w:ascii="Times New Roman" w:cs="Times New Roman" w:eastAsia="Times New Roman" w:hAnsi="Times New Roman"/>
                <w:sz w:val="14"/>
                <w:szCs w:val="14"/>
                <w:b w:val="1"/>
                <w:bCs w:val="1"/>
                <w:color w:val="auto"/>
                <w:w w:val="98"/>
              </w:rPr>
              <w:t>Sold</w:t>
            </w:r>
          </w:p>
        </w:tc>
        <w:tc>
          <w:tcPr>
            <w:tcW w:w="540" w:type="dxa"/>
            <w:vAlign w:val="bottom"/>
            <w:tcBorders>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23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Harbert Stoneview Master</w:t>
            </w: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Fund, Ltd.</w:t>
            </w:r>
            <w:r>
              <w:rPr>
                <w:rFonts w:ascii="Times New Roman" w:cs="Times New Roman" w:eastAsia="Times New Roman" w:hAnsi="Times New Roman"/>
                <w:sz w:val="28"/>
                <w:szCs w:val="28"/>
                <w:color w:val="auto"/>
                <w:vertAlign w:val="superscript"/>
              </w:rPr>
              <w:t>(29)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5"/>
                <w:szCs w:val="25"/>
                <w:color w:val="auto"/>
                <w:vertAlign w:val="superscript"/>
              </w:rPr>
              <w:t>(30)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Hoplite Capital Series LLC -</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Kerdos</w:t>
            </w:r>
            <w:r>
              <w:rPr>
                <w:rFonts w:ascii="Times New Roman" w:cs="Times New Roman" w:eastAsia="Times New Roman" w:hAnsi="Times New Roman"/>
                <w:sz w:val="28"/>
                <w:szCs w:val="28"/>
                <w:color w:val="auto"/>
                <w:vertAlign w:val="superscript"/>
              </w:rPr>
              <w:t>(31)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5"/>
                <w:szCs w:val="25"/>
                <w:color w:val="auto"/>
                <w:vertAlign w:val="superscript"/>
              </w:rPr>
              <w:t>(32)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5"/>
                <w:szCs w:val="25"/>
                <w:color w:val="auto"/>
                <w:vertAlign w:val="superscript"/>
              </w:rPr>
              <w:t>(33)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5"/>
                <w:szCs w:val="25"/>
                <w:color w:val="auto"/>
                <w:vertAlign w:val="superscript"/>
              </w:rPr>
              <w:t>(34)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Jagid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Jagid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Jagid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Samuelson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91,250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91,250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Kaitlin Carey</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Katz 2014 Limited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Partnership</w:t>
            </w:r>
            <w:r>
              <w:rPr>
                <w:rFonts w:ascii="Times New Roman" w:cs="Times New Roman" w:eastAsia="Times New Roman" w:hAnsi="Times New Roman"/>
                <w:sz w:val="28"/>
                <w:szCs w:val="28"/>
                <w:color w:val="auto"/>
                <w:vertAlign w:val="superscript"/>
              </w:rPr>
              <w:t>(35)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F. Overlander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Lachlan S.H. Grassie 2012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5"/>
                <w:szCs w:val="25"/>
                <w:color w:val="auto"/>
                <w:vertAlign w:val="superscript"/>
              </w:rPr>
              <w:t>(37)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Russian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Laurence Schreiber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Entities affiliated with Luxor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Capital</w:t>
            </w:r>
            <w:r>
              <w:rPr>
                <w:rFonts w:ascii="Times New Roman" w:cs="Times New Roman" w:eastAsia="Times New Roman" w:hAnsi="Times New Roman"/>
                <w:sz w:val="28"/>
                <w:szCs w:val="28"/>
                <w:color w:val="auto"/>
                <w:vertAlign w:val="superscript"/>
              </w:rPr>
              <w:t>(38)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5,147,524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2,447,524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369,756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Entities affiliated with</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Manatuck Hill</w:t>
            </w:r>
            <w:r>
              <w:rPr>
                <w:rFonts w:ascii="Times New Roman" w:cs="Times New Roman" w:eastAsia="Times New Roman" w:hAnsi="Times New Roman"/>
                <w:sz w:val="28"/>
                <w:szCs w:val="28"/>
                <w:color w:val="auto"/>
                <w:vertAlign w:val="superscript"/>
              </w:rPr>
              <w:t>(39)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Sontrop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Tomasino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Measure 8 Full Spectrum,</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3"/>
                <w:szCs w:val="13"/>
                <w:color w:val="auto"/>
              </w:rPr>
              <w:t>(40)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Ninepoint Alternative Health</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Fund</w:t>
            </w:r>
            <w:r>
              <w:rPr>
                <w:rFonts w:ascii="Times New Roman" w:cs="Times New Roman" w:eastAsia="Times New Roman" w:hAnsi="Times New Roman"/>
                <w:sz w:val="28"/>
                <w:szCs w:val="28"/>
                <w:color w:val="auto"/>
                <w:vertAlign w:val="superscript"/>
              </w:rPr>
              <w:t>(41)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Paul A. Halpern Trust date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July 24, 2000</w:t>
            </w:r>
            <w:r>
              <w:rPr>
                <w:rFonts w:ascii="Times New Roman" w:cs="Times New Roman" w:eastAsia="Times New Roman" w:hAnsi="Times New Roman"/>
                <w:sz w:val="28"/>
                <w:szCs w:val="28"/>
                <w:color w:val="auto"/>
                <w:vertAlign w:val="superscript"/>
              </w:rPr>
              <w:t>(42)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5"/>
                <w:szCs w:val="25"/>
                <w:color w:val="auto"/>
                <w:vertAlign w:val="superscript"/>
              </w:rPr>
              <w:t>(43)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5"/>
                <w:szCs w:val="25"/>
                <w:color w:val="auto"/>
                <w:vertAlign w:val="superscript"/>
              </w:rPr>
              <w:t>(44)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w w:val="99"/>
              </w:rPr>
              <w:t>Entities affiliated with the Polar</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Funds</w:t>
            </w:r>
            <w:r>
              <w:rPr>
                <w:rFonts w:ascii="Times New Roman" w:cs="Times New Roman" w:eastAsia="Times New Roman" w:hAnsi="Times New Roman"/>
                <w:sz w:val="28"/>
                <w:szCs w:val="28"/>
                <w:color w:val="auto"/>
                <w:vertAlign w:val="superscript"/>
              </w:rPr>
              <w:t>(45)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Ponya Asset Management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3"/>
                <w:szCs w:val="13"/>
                <w:color w:val="auto"/>
              </w:rPr>
              <w:t>(46)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 E. Newton III Revocable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UAD 10/11/12 as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amended 7/23/19</w:t>
            </w:r>
            <w:r>
              <w:rPr>
                <w:rFonts w:ascii="Times New Roman" w:cs="Times New Roman" w:eastAsia="Times New Roman" w:hAnsi="Times New Roman"/>
                <w:sz w:val="28"/>
                <w:szCs w:val="28"/>
                <w:color w:val="auto"/>
                <w:vertAlign w:val="superscript"/>
              </w:rPr>
              <w:t>(47)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Goldman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Prager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Robinson Family Trust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154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2016</w:t>
            </w:r>
            <w:r>
              <w:rPr>
                <w:rFonts w:ascii="Times New Roman" w:cs="Times New Roman" w:eastAsia="Times New Roman" w:hAnsi="Times New Roman"/>
                <w:sz w:val="28"/>
                <w:szCs w:val="28"/>
                <w:color w:val="auto"/>
                <w:vertAlign w:val="superscript"/>
              </w:rPr>
              <w:t>(48)</w:t>
            </w:r>
          </w:p>
        </w:tc>
        <w:tc>
          <w:tcPr>
            <w:tcW w:w="7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Rock J. Eiden &amp; Sandra K.</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Eiden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5"/>
                <w:szCs w:val="25"/>
                <w:color w:val="auto"/>
                <w:vertAlign w:val="superscript"/>
              </w:rPr>
              <w:t>(49)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Roystone Capital Master Fund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Ltd.</w:t>
            </w:r>
            <w:r>
              <w:rPr>
                <w:rFonts w:ascii="Times New Roman" w:cs="Times New Roman" w:eastAsia="Times New Roman" w:hAnsi="Times New Roman"/>
                <w:sz w:val="13"/>
                <w:szCs w:val="13"/>
                <w:color w:val="auto"/>
              </w:rPr>
              <w:t>(50)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Samantha Lewis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3" w:name="page14"/>
    <w:bookmarkEnd w:id="1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4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40" w:type="dxa"/>
            <w:vAlign w:val="bottom"/>
          </w:tcPr>
          <w:p>
            <w:pPr>
              <w:spacing w:after="0"/>
              <w:rPr>
                <w:sz w:val="7"/>
                <w:szCs w:val="7"/>
                <w:color w:val="auto"/>
              </w:rPr>
            </w:pPr>
          </w:p>
        </w:tc>
        <w:tc>
          <w:tcPr>
            <w:tcW w:w="166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4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2"/>
                <w:szCs w:val="12"/>
                <w:color w:val="auto"/>
              </w:rPr>
            </w:pP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40" w:type="dxa"/>
            <w:vAlign w:val="bottom"/>
          </w:tcPr>
          <w:p>
            <w:pPr>
              <w:spacing w:after="0"/>
              <w:rPr>
                <w:sz w:val="7"/>
                <w:szCs w:val="7"/>
                <w:color w:val="auto"/>
              </w:rPr>
            </w:pPr>
          </w:p>
        </w:tc>
        <w:tc>
          <w:tcPr>
            <w:tcW w:w="76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40" w:type="dxa"/>
            <w:vAlign w:val="bottom"/>
          </w:tcPr>
          <w:p>
            <w:pPr>
              <w:spacing w:after="0"/>
              <w:rPr>
                <w:sz w:val="7"/>
                <w:szCs w:val="7"/>
                <w:color w:val="auto"/>
              </w:rPr>
            </w:pPr>
          </w:p>
        </w:tc>
        <w:tc>
          <w:tcPr>
            <w:tcW w:w="70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4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40" w:type="dxa"/>
            <w:vAlign w:val="bottom"/>
          </w:tcPr>
          <w:p>
            <w:pPr>
              <w:spacing w:after="0"/>
              <w:rPr>
                <w:sz w:val="7"/>
                <w:szCs w:val="7"/>
                <w:color w:val="auto"/>
              </w:rPr>
            </w:pPr>
          </w:p>
        </w:tc>
        <w:tc>
          <w:tcPr>
            <w:tcW w:w="1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1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40" w:type="dxa"/>
            <w:vAlign w:val="bottom"/>
          </w:tcPr>
          <w:p>
            <w:pPr>
              <w:spacing w:after="0"/>
              <w:rPr>
                <w:sz w:val="9"/>
                <w:szCs w:val="9"/>
                <w:color w:val="auto"/>
              </w:rPr>
            </w:pPr>
          </w:p>
        </w:tc>
        <w:tc>
          <w:tcPr>
            <w:tcW w:w="76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tcPr>
          <w:p>
            <w:pPr>
              <w:spacing w:after="0"/>
              <w:rPr>
                <w:sz w:val="9"/>
                <w:szCs w:val="9"/>
                <w:color w:val="auto"/>
              </w:rPr>
            </w:pPr>
          </w:p>
        </w:tc>
        <w:tc>
          <w:tcPr>
            <w:tcW w:w="7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4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6"/>
                <w:szCs w:val="16"/>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J. Taylor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Pura Vida Investments,</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3,200,000</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50,000 3,200,000</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50,000</w:t>
            </w:r>
          </w:p>
        </w:tc>
        <w:tc>
          <w:tcPr>
            <w:tcW w:w="7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Seawolf Capital LLC</w:t>
            </w:r>
            <w:r>
              <w:rPr>
                <w:rFonts w:ascii="Times New Roman" w:cs="Times New Roman" w:eastAsia="Times New Roman" w:hAnsi="Times New Roman"/>
                <w:sz w:val="28"/>
                <w:szCs w:val="28"/>
                <w:color w:val="auto"/>
                <w:vertAlign w:val="superscript"/>
              </w:rPr>
              <w:t>(52)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Senvest Management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(53)</w:t>
            </w:r>
          </w:p>
        </w:tc>
        <w:tc>
          <w:tcPr>
            <w:tcW w:w="24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5,584,975 3,468,682 4,000,000</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1,584,975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9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3,468,682</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SOJE Fund LP</w:t>
            </w:r>
            <w:r>
              <w:rPr>
                <w:rFonts w:ascii="Times New Roman" w:cs="Times New Roman" w:eastAsia="Times New Roman" w:hAnsi="Times New Roman"/>
                <w:sz w:val="28"/>
                <w:szCs w:val="28"/>
                <w:color w:val="auto"/>
                <w:vertAlign w:val="superscript"/>
              </w:rPr>
              <w:t>(54)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SRC WM LP</w:t>
            </w:r>
            <w:r>
              <w:rPr>
                <w:rFonts w:ascii="Times New Roman" w:cs="Times New Roman" w:eastAsia="Times New Roman" w:hAnsi="Times New Roman"/>
                <w:sz w:val="28"/>
                <w:szCs w:val="28"/>
                <w:color w:val="auto"/>
                <w:vertAlign w:val="superscript"/>
              </w:rPr>
              <w:t>(55)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Stephen J. Antinelli</w:t>
            </w:r>
            <w:r>
              <w:rPr>
                <w:rFonts w:ascii="Times New Roman" w:cs="Times New Roman" w:eastAsia="Times New Roman" w:hAnsi="Times New Roman"/>
                <w:sz w:val="28"/>
                <w:szCs w:val="28"/>
                <w:color w:val="auto"/>
                <w:vertAlign w:val="superscript"/>
              </w:rPr>
              <w:t>(56)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Spodek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19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Sunshine Charitable</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Foundation</w:t>
            </w:r>
            <w:r>
              <w:rPr>
                <w:rFonts w:ascii="Times New Roman" w:cs="Times New Roman" w:eastAsia="Times New Roman" w:hAnsi="Times New Roman"/>
                <w:sz w:val="29"/>
                <w:szCs w:val="29"/>
                <w:color w:val="auto"/>
                <w:vertAlign w:val="superscript"/>
              </w:rPr>
              <w:t>(57)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Nappan Cocke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19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Tauro Investments,</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(58)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TCCS I, LP</w:t>
            </w:r>
            <w:r>
              <w:rPr>
                <w:rFonts w:ascii="Times New Roman" w:cs="Times New Roman" w:eastAsia="Times New Roman" w:hAnsi="Times New Roman"/>
                <w:sz w:val="28"/>
                <w:szCs w:val="28"/>
                <w:color w:val="auto"/>
                <w:vertAlign w:val="superscript"/>
              </w:rPr>
              <w:t>(59)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Teak Fund, LP</w:t>
            </w:r>
            <w:r>
              <w:rPr>
                <w:rFonts w:ascii="Times New Roman" w:cs="Times New Roman" w:eastAsia="Times New Roman" w:hAnsi="Times New Roman"/>
                <w:sz w:val="28"/>
                <w:szCs w:val="28"/>
                <w:color w:val="auto"/>
                <w:vertAlign w:val="superscript"/>
              </w:rPr>
              <w:t>(60)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Teton Fund, LP</w:t>
            </w:r>
            <w:r>
              <w:rPr>
                <w:rFonts w:ascii="Times New Roman" w:cs="Times New Roman" w:eastAsia="Times New Roman" w:hAnsi="Times New Roman"/>
                <w:sz w:val="28"/>
                <w:szCs w:val="28"/>
                <w:color w:val="auto"/>
                <w:vertAlign w:val="superscript"/>
              </w:rPr>
              <w:t>(61)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19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Vorfeld Family</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(62)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Marino</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Gregory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19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TLP Investment Partners</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(63)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tcPr>
          <w:p>
            <w:pPr>
              <w:spacing w:after="0"/>
              <w:rPr>
                <w:sz w:val="22"/>
                <w:szCs w:val="22"/>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TUP Investments, L.P.</w:t>
            </w:r>
            <w:r>
              <w:rPr>
                <w:rFonts w:ascii="Times New Roman" w:cs="Times New Roman" w:eastAsia="Times New Roman" w:hAnsi="Times New Roman"/>
                <w:sz w:val="28"/>
                <w:szCs w:val="28"/>
                <w:color w:val="auto"/>
                <w:vertAlign w:val="superscript"/>
              </w:rPr>
              <w:t>(64)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Vobren Limited</w:t>
            </w:r>
            <w:r>
              <w:rPr>
                <w:rFonts w:ascii="Times New Roman" w:cs="Times New Roman" w:eastAsia="Times New Roman" w:hAnsi="Times New Roman"/>
                <w:sz w:val="28"/>
                <w:szCs w:val="28"/>
                <w:color w:val="auto"/>
                <w:vertAlign w:val="superscript"/>
              </w:rPr>
              <w:t>(65)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James Pade III.</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Camire serves as the General Counsel and Secretary of the Company.</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serves as the Chief Executive Officer of the Company and a member of the Company’s board of directors. 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is a co-founder of the Company and served as a member of the Company’s board of directors until August 2023. 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Julien Brenier or (4) Rupert Martin.</w:t>
      </w:r>
    </w:p>
    <w:p>
      <w:pPr>
        <w:spacing w:after="0" w:line="2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31" w:lineRule="auto"/>
        <w:rPr>
          <w:sz w:val="20"/>
          <w:szCs w:val="20"/>
          <w:color w:val="auto"/>
        </w:rPr>
      </w:pPr>
      <w:r>
        <w:rPr>
          <w:rFonts w:ascii="Times New Roman" w:cs="Times New Roman" w:eastAsia="Times New Roman" w:hAnsi="Times New Roman"/>
          <w:sz w:val="14"/>
          <w:szCs w:val="14"/>
          <w:color w:val="auto"/>
        </w:rPr>
        <w:t>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5"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19"/>
        <w:spacing w:after="0" w:line="241" w:lineRule="auto"/>
        <w:rPr>
          <w:sz w:val="20"/>
          <w:szCs w:val="20"/>
          <w:color w:val="auto"/>
        </w:rPr>
      </w:pPr>
      <w:r>
        <w:rPr>
          <w:rFonts w:ascii="Times New Roman" w:cs="Times New Roman" w:eastAsia="Times New Roman" w:hAnsi="Times New Roman"/>
          <w:sz w:val="14"/>
          <w:szCs w:val="14"/>
          <w:color w:val="auto"/>
        </w:rPr>
        <w:t>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sz w:val="20"/>
          <w:szCs w:val="20"/>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0" w:lineRule="auto"/>
        <w:tabs>
          <w:tab w:leader="none" w:pos="5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August 19, 2025, there were (1) 107,897,133 shares of Class A Common Stock,</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49,319,542 shares of Class V Common Stock and no shares of preferred stock outstanding.</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12,499,973 Public Warrants outstanding.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number of directors in each class as nearly equal in size as is practicable. The directors in each class will serve for a three-year term, one class being elected each year by our stockholders.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exercise, disposition or lapse of our securities.</w:t>
      </w:r>
    </w:p>
    <w:p>
      <w:pPr>
        <w:spacing w:after="0" w:line="7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exercise, disposition or lapse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exercise, disposition or lapse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exercise, disposition or lapse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0"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Baker Tilly US, LLP (formerly,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our Annual Report on Form 10-K for the year ended December 31, 2024, filed with the SEC on </w:t>
        </w:r>
        <w:r>
          <w:rPr>
            <w:rFonts w:ascii="Times New Roman" w:cs="Times New Roman" w:eastAsia="Times New Roman" w:hAnsi="Times New Roman"/>
            <w:sz w:val="18"/>
            <w:szCs w:val="18"/>
            <w:u w:val="single" w:color="auto"/>
            <w:color w:val="0000EE"/>
          </w:rPr>
          <w:t>March 13,</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2024, filed on </w:t>
      </w:r>
      <w:hyperlink r:id="rId43">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our Quarterly Reports on Form 10-Q for the quarter ended March 31, 2025, filed with the SEC on </w:t>
        </w:r>
        <w:r>
          <w:rPr>
            <w:rFonts w:ascii="Times New Roman" w:cs="Times New Roman" w:eastAsia="Times New Roman" w:hAnsi="Times New Roman"/>
            <w:sz w:val="18"/>
            <w:szCs w:val="18"/>
            <w:u w:val="single" w:color="auto"/>
            <w:color w:val="0000EE"/>
          </w:rPr>
          <w:t>May 8,</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 for the quarter ended June 30, 2025, filed with the SEC on</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August 7, 2025</w:t>
        </w:r>
      </w:hyperlink>
      <w:hyperlink r:id="rId44">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6">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June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8">
        <w:r>
          <w:rPr>
            <w:rFonts w:ascii="Times New Roman" w:cs="Times New Roman" w:eastAsia="Times New Roman" w:hAnsi="Times New Roman"/>
            <w:sz w:val="18"/>
            <w:szCs w:val="18"/>
            <w:u w:val="single" w:color="auto"/>
            <w:color w:val="0000EE"/>
          </w:rPr>
          <w:t>August 19, 2025</w:t>
        </w:r>
      </w:hyperlink>
      <w:r>
        <w:rPr>
          <w:rFonts w:ascii="Times New Roman" w:cs="Times New Roman" w:eastAsia="Times New Roman" w:hAnsi="Times New Roman"/>
          <w:sz w:val="18"/>
          <w:szCs w:val="18"/>
          <w:color w:val="auto"/>
        </w:rPr>
        <w:t xml:space="preserve"> to the extent for the information in such reports is filed and not furnished;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w:t>
      </w:r>
      <w:hyperlink r:id="rId49">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2024 filed with the SEC on March 13, 2025,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16"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20" w:hanging="221"/>
        <w:spacing w:after="0"/>
        <w:tabs>
          <w:tab w:leader="none" w:pos="4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780" w:right="3659" w:hanging="171"/>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 Tel: (844) 933-3627</w:t>
      </w:r>
    </w:p>
    <w:p>
      <w:pPr>
        <w:spacing w:after="0" w:line="18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2940685</wp:posOffset>
            </wp:positionV>
            <wp:extent cx="3429000" cy="1019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2"/>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25"/>
    </w:lvl>
  </w:abstractNum>
  <w:abstractNum w:abstractNumId="6">
    <w:nsid w:val="109CF92E"/>
    <w:multiLevelType w:val="hybridMultilevel"/>
    <w:lvl w:ilvl="0">
      <w:lvlJc w:val="left"/>
      <w:lvlText w:val="(%1)"/>
      <w:numFmt w:val="decimal"/>
      <w:start w:val="46"/>
    </w:lvl>
  </w:abstractNum>
  <w:abstractNum w:abstractNumId="7">
    <w:nsid w:val="DED7263"/>
    <w:multiLevelType w:val="hybridMultilevel"/>
    <w:lvl w:ilvl="0">
      <w:lvlJc w:val="left"/>
      <w:lvlText w:val="(%1)"/>
      <w:numFmt w:val="lowerRoman"/>
      <w:start w:val="10"/>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jpeg"/><Relationship Id="rId54" Type="http://schemas.openxmlformats.org/officeDocument/2006/relationships/image" Target="media/image39.png"/><Relationship Id="rId55" Type="http://schemas.openxmlformats.org/officeDocument/2006/relationships/image" Target="media/image40.png"/><Relationship Id="rId42" Type="http://schemas.openxmlformats.org/officeDocument/2006/relationships/hyperlink" Target="https://www.sec.gov/ix?doc=/Archives/edgar/data/1779474/000177947425000007/maps-20241231.htm" TargetMode="External"/><Relationship Id="rId43" Type="http://schemas.openxmlformats.org/officeDocument/2006/relationships/hyperlink" Target="https://www.sec.gov/ix?doc=/Archives/edgar/data/1779474/000114036125016331/ny20043216x1_def14a.htm" TargetMode="External"/><Relationship Id="rId44" Type="http://schemas.openxmlformats.org/officeDocument/2006/relationships/hyperlink" Target="https://www.sec.gov/ix?doc=/Archives/edgar/data/1779474/000177947425000018/maps-20250331.htm" TargetMode="External"/><Relationship Id="rId45" Type="http://schemas.openxmlformats.org/officeDocument/2006/relationships/hyperlink" Target="https://www.sec.gov/ix?doc=/Archives/edgar/data/1779474/000177947425000035/maps-20250630.htm" TargetMode="External"/><Relationship Id="rId46" Type="http://schemas.openxmlformats.org/officeDocument/2006/relationships/hyperlink" Target="https://www.sec.gov/ix?doc=/Archives/edgar/data/1779474/000177947425000020/maps-20250603.htm" TargetMode="External"/><Relationship Id="rId47" Type="http://schemas.openxmlformats.org/officeDocument/2006/relationships/hyperlink" Target="https://www.sec.gov/ix?doc=/Archives/edgar/data/1779474/000177947425000030/maps-20250624.htm" TargetMode="External"/><Relationship Id="rId48" Type="http://schemas.openxmlformats.org/officeDocument/2006/relationships/hyperlink" Target="https://www.sec.gov/ix?doc=/Archives/edgar/data/1779474/000177947425000038/maps-20250813.htm" TargetMode="External"/><Relationship Id="rId49" Type="http://schemas.openxmlformats.org/officeDocument/2006/relationships/hyperlink" Target="https://www.sec.gov/Archives/edgar/data/1779474/000177947422000010/exhibit45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2025-08-29T15:47:37Z</dcterms:created>
  <dcterms:modified xsi:type="dcterms:W3CDTF">2025-08-29T15:47:37Z</dcterms:modified>
</cp:coreProperties>
</file>