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Camire Brian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480" w:type="dxa"/>
            <w:vAlign w:val="bottom"/>
            <w:gridSpan w:val="3"/>
          </w:tcPr>
          <w:p>
            <w:pPr>
              <w:ind w:left="80"/>
              <w:spacing w:after="0"/>
              <w:rPr>
                <w:sz w:val="20"/>
                <w:szCs w:val="20"/>
                <w:color w:val="auto"/>
              </w:rPr>
            </w:pPr>
            <w:r>
              <w:rPr>
                <w:rFonts w:ascii="Arial" w:cs="Arial" w:eastAsia="Arial" w:hAnsi="Arial"/>
                <w:sz w:val="17"/>
                <w:szCs w:val="17"/>
                <w:color w:val="0000FF"/>
              </w:rPr>
              <w:t>08/16/2023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General Counsel</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08/16/2023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9,807</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1.1006</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143,957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15" w:lineRule="exact"/>
        <w:rPr>
          <w:rFonts w:ascii="Arial" w:cs="Arial" w:eastAsia="Arial" w:hAnsi="Arial"/>
          <w:sz w:val="13"/>
          <w:szCs w:val="13"/>
          <w:color w:val="008000"/>
        </w:rPr>
      </w:pPr>
    </w:p>
    <w:p>
      <w:pPr>
        <w:ind w:left="40" w:right="1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$1.10 to $1.101. The Reporting Person will provide upon request to the SEC, the Issuer or security holder of the Issuer, full information regarding the number of shares sold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Brian Camire, by /s/ Ron A.</w:t>
      </w:r>
      <w:r>
        <w:rPr>
          <w:sz w:val="20"/>
          <w:szCs w:val="20"/>
          <w:color w:val="auto"/>
        </w:rPr>
        <w:tab/>
      </w:r>
      <w:r>
        <w:rPr>
          <w:rFonts w:ascii="Arial" w:cs="Arial" w:eastAsia="Arial" w:hAnsi="Arial"/>
          <w:sz w:val="23"/>
          <w:szCs w:val="23"/>
          <w:color w:val="0000FF"/>
          <w:vertAlign w:val="subscript"/>
        </w:rPr>
        <w:t>08/18/2023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11430</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2023-08-18T15:48:52Z</dcterms:created>
  <dcterms:modified xsi:type="dcterms:W3CDTF">2023-08-18T15:48:52Z</dcterms:modified>
</cp:coreProperties>
</file>