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Silver Spike Acquisition Corp.</w:t>
      </w:r>
    </w:p>
    <w:p>
      <w:pPr>
        <w:spacing w:after="0" w:line="5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$0.0001 per share</w:t>
      </w:r>
    </w:p>
    <w:p>
      <w:pPr>
        <w:spacing w:after="0" w:line="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G8136L106</w:t>
      </w:r>
    </w:p>
    <w:p>
      <w:pPr>
        <w:spacing w:after="0" w:line="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304800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60" w:right="80" w:hanging="452"/>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(Continued on the Following Pages)</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1 of 7 Pages)</w:t>
      </w:r>
    </w:p>
    <w:p>
      <w:pPr>
        <w:sectPr>
          <w:pgSz w:w="11900" w:h="16838" w:orient="portrait"/>
          <w:cols w:equalWidth="0" w:num="1">
            <w:col w:w="11060"/>
          </w:cols>
          <w:pgMar w:left="320" w:top="335"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2 of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G8136L106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0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1"/>
        </w:trPr>
        <w:tc>
          <w:tcPr>
            <w:tcW w:w="500" w:type="dxa"/>
            <w:vAlign w:val="bottom"/>
            <w:tcBorders>
              <w:left w:val="single" w:sz="8" w:color="auto"/>
              <w:right w:val="single" w:sz="8" w:color="auto"/>
            </w:tcBorders>
          </w:tcPr>
          <w:p>
            <w:pPr>
              <w:spacing w:after="0"/>
              <w:rPr>
                <w:sz w:val="24"/>
                <w:szCs w:val="24"/>
                <w:color w:val="auto"/>
              </w:rPr>
            </w:pP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LINDEN CAPITAL L.P.</w:t>
            </w:r>
          </w:p>
        </w:tc>
        <w:tc>
          <w:tcPr>
            <w:tcW w:w="0" w:type="dxa"/>
            <w:vAlign w:val="bottom"/>
          </w:tcPr>
          <w:p>
            <w:pPr>
              <w:spacing w:after="0"/>
              <w:rPr>
                <w:sz w:val="1"/>
                <w:szCs w:val="1"/>
                <w:color w:val="auto"/>
              </w:rPr>
            </w:pPr>
          </w:p>
        </w:tc>
      </w:tr>
      <w:tr>
        <w:trPr>
          <w:trHeight w:val="256"/>
        </w:trPr>
        <w:tc>
          <w:tcPr>
            <w:tcW w:w="500" w:type="dxa"/>
            <w:vAlign w:val="bottom"/>
            <w:tcBorders>
              <w:left w:val="single" w:sz="8" w:color="auto"/>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gridSpan w:val="2"/>
          </w:tcPr>
          <w:p>
            <w:pPr>
              <w:spacing w:after="0"/>
              <w:rPr>
                <w:sz w:val="22"/>
                <w:szCs w:val="22"/>
                <w:color w:val="auto"/>
              </w:rPr>
            </w:pPr>
          </w:p>
        </w:tc>
        <w:tc>
          <w:tcPr>
            <w:tcW w:w="340" w:type="dxa"/>
            <w:vAlign w:val="bottom"/>
            <w:tcBorders>
              <w:bottom w:val="single" w:sz="8" w:color="auto"/>
            </w:tcBorders>
            <w:gridSpan w:val="2"/>
          </w:tcPr>
          <w:p>
            <w:pPr>
              <w:spacing w:after="0"/>
              <w:rPr>
                <w:sz w:val="22"/>
                <w:szCs w:val="22"/>
                <w:color w:val="auto"/>
              </w:rPr>
            </w:pPr>
          </w:p>
        </w:tc>
        <w:tc>
          <w:tcPr>
            <w:tcW w:w="93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right w:val="single" w:sz="8" w:color="auto"/>
            </w:tcBorders>
          </w:tcPr>
          <w:p>
            <w:pPr>
              <w:jc w:val="right"/>
              <w:ind w:right="10"/>
              <w:spacing w:after="0" w:line="163" w:lineRule="exact"/>
              <w:rPr>
                <w:sz w:val="20"/>
                <w:szCs w:val="20"/>
                <w:color w:val="auto"/>
              </w:rPr>
            </w:pPr>
            <w:r>
              <w:rPr>
                <w:rFonts w:ascii="Times New Roman" w:cs="Times New Roman" w:eastAsia="Times New Roman" w:hAnsi="Times New Roman"/>
                <w:sz w:val="18"/>
                <w:szCs w:val="18"/>
                <w:color w:val="auto"/>
              </w:rPr>
              <w:t>2.</w:t>
            </w:r>
          </w:p>
        </w:tc>
        <w:tc>
          <w:tcPr>
            <w:tcW w:w="10760" w:type="dxa"/>
            <w:vAlign w:val="bottom"/>
            <w:tcBorders>
              <w:right w:val="single" w:sz="8" w:color="auto"/>
            </w:tcBorders>
            <w:gridSpan w:val="5"/>
          </w:tcPr>
          <w:p>
            <w:pPr>
              <w:ind w:left="16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5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Bermuda</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688,089</w:t>
            </w: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938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Borders>
              <w:left w:val="single" w:sz="8" w:color="auto"/>
            </w:tcBorders>
          </w:tcPr>
          <w:p>
            <w:pPr>
              <w:spacing w:after="0"/>
              <w:rPr>
                <w:sz w:val="19"/>
                <w:szCs w:val="19"/>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688,089</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688,089</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3 of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G8136L106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0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59"/>
        </w:trPr>
        <w:tc>
          <w:tcPr>
            <w:tcW w:w="500" w:type="dxa"/>
            <w:vAlign w:val="bottom"/>
            <w:tcBorders>
              <w:left w:val="single" w:sz="8" w:color="auto"/>
              <w:right w:val="single" w:sz="8" w:color="auto"/>
            </w:tcBorders>
          </w:tcPr>
          <w:p>
            <w:pPr>
              <w:spacing w:after="0"/>
              <w:rPr>
                <w:sz w:val="24"/>
                <w:szCs w:val="24"/>
                <w:color w:val="auto"/>
              </w:rPr>
            </w:pP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LINDEN GP LLC</w:t>
            </w:r>
          </w:p>
        </w:tc>
        <w:tc>
          <w:tcPr>
            <w:tcW w:w="0" w:type="dxa"/>
            <w:vAlign w:val="bottom"/>
          </w:tcPr>
          <w:p>
            <w:pPr>
              <w:spacing w:after="0"/>
              <w:rPr>
                <w:sz w:val="1"/>
                <w:szCs w:val="1"/>
                <w:color w:val="auto"/>
              </w:rPr>
            </w:pPr>
          </w:p>
        </w:tc>
      </w:tr>
      <w:tr>
        <w:trPr>
          <w:trHeight w:val="256"/>
        </w:trPr>
        <w:tc>
          <w:tcPr>
            <w:tcW w:w="500" w:type="dxa"/>
            <w:vAlign w:val="bottom"/>
            <w:tcBorders>
              <w:left w:val="single" w:sz="8" w:color="auto"/>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gridSpan w:val="2"/>
          </w:tcPr>
          <w:p>
            <w:pPr>
              <w:spacing w:after="0"/>
              <w:rPr>
                <w:sz w:val="22"/>
                <w:szCs w:val="22"/>
                <w:color w:val="auto"/>
              </w:rPr>
            </w:pPr>
          </w:p>
        </w:tc>
        <w:tc>
          <w:tcPr>
            <w:tcW w:w="340" w:type="dxa"/>
            <w:vAlign w:val="bottom"/>
            <w:tcBorders>
              <w:bottom w:val="single" w:sz="8" w:color="auto"/>
            </w:tcBorders>
            <w:gridSpan w:val="2"/>
          </w:tcPr>
          <w:p>
            <w:pPr>
              <w:spacing w:after="0"/>
              <w:rPr>
                <w:sz w:val="22"/>
                <w:szCs w:val="22"/>
                <w:color w:val="auto"/>
              </w:rPr>
            </w:pPr>
          </w:p>
        </w:tc>
        <w:tc>
          <w:tcPr>
            <w:tcW w:w="93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right w:val="single" w:sz="8" w:color="auto"/>
            </w:tcBorders>
          </w:tcPr>
          <w:p>
            <w:pPr>
              <w:jc w:val="right"/>
              <w:ind w:right="10"/>
              <w:spacing w:after="0" w:line="163" w:lineRule="exact"/>
              <w:rPr>
                <w:sz w:val="20"/>
                <w:szCs w:val="20"/>
                <w:color w:val="auto"/>
              </w:rPr>
            </w:pPr>
            <w:r>
              <w:rPr>
                <w:rFonts w:ascii="Times New Roman" w:cs="Times New Roman" w:eastAsia="Times New Roman" w:hAnsi="Times New Roman"/>
                <w:sz w:val="18"/>
                <w:szCs w:val="18"/>
                <w:color w:val="auto"/>
              </w:rPr>
              <w:t>2.</w:t>
            </w:r>
          </w:p>
        </w:tc>
        <w:tc>
          <w:tcPr>
            <w:tcW w:w="10760" w:type="dxa"/>
            <w:vAlign w:val="bottom"/>
            <w:tcBorders>
              <w:right w:val="single" w:sz="8" w:color="auto"/>
            </w:tcBorders>
            <w:gridSpan w:val="5"/>
          </w:tcPr>
          <w:p>
            <w:pPr>
              <w:ind w:left="16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5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688,089</w:t>
            </w: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938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Borders>
              <w:left w:val="single" w:sz="8" w:color="auto"/>
            </w:tcBorders>
          </w:tcPr>
          <w:p>
            <w:pPr>
              <w:spacing w:after="0"/>
              <w:rPr>
                <w:sz w:val="19"/>
                <w:szCs w:val="19"/>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688,089</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688,089</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HC</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4 of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G8136L106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0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59"/>
        </w:trPr>
        <w:tc>
          <w:tcPr>
            <w:tcW w:w="500" w:type="dxa"/>
            <w:vAlign w:val="bottom"/>
            <w:tcBorders>
              <w:left w:val="single" w:sz="8" w:color="auto"/>
              <w:right w:val="single" w:sz="8" w:color="auto"/>
            </w:tcBorders>
          </w:tcPr>
          <w:p>
            <w:pPr>
              <w:spacing w:after="0"/>
              <w:rPr>
                <w:sz w:val="24"/>
                <w:szCs w:val="24"/>
                <w:color w:val="auto"/>
              </w:rPr>
            </w:pP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LINDEN ADVISORS LP</w:t>
            </w:r>
          </w:p>
        </w:tc>
        <w:tc>
          <w:tcPr>
            <w:tcW w:w="0" w:type="dxa"/>
            <w:vAlign w:val="bottom"/>
          </w:tcPr>
          <w:p>
            <w:pPr>
              <w:spacing w:after="0"/>
              <w:rPr>
                <w:sz w:val="1"/>
                <w:szCs w:val="1"/>
                <w:color w:val="auto"/>
              </w:rPr>
            </w:pPr>
          </w:p>
        </w:tc>
      </w:tr>
      <w:tr>
        <w:trPr>
          <w:trHeight w:val="256"/>
        </w:trPr>
        <w:tc>
          <w:tcPr>
            <w:tcW w:w="500" w:type="dxa"/>
            <w:vAlign w:val="bottom"/>
            <w:tcBorders>
              <w:left w:val="single" w:sz="8" w:color="auto"/>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gridSpan w:val="2"/>
          </w:tcPr>
          <w:p>
            <w:pPr>
              <w:spacing w:after="0"/>
              <w:rPr>
                <w:sz w:val="22"/>
                <w:szCs w:val="22"/>
                <w:color w:val="auto"/>
              </w:rPr>
            </w:pPr>
          </w:p>
        </w:tc>
        <w:tc>
          <w:tcPr>
            <w:tcW w:w="340" w:type="dxa"/>
            <w:vAlign w:val="bottom"/>
            <w:tcBorders>
              <w:bottom w:val="single" w:sz="8" w:color="auto"/>
            </w:tcBorders>
            <w:gridSpan w:val="2"/>
          </w:tcPr>
          <w:p>
            <w:pPr>
              <w:spacing w:after="0"/>
              <w:rPr>
                <w:sz w:val="22"/>
                <w:szCs w:val="22"/>
                <w:color w:val="auto"/>
              </w:rPr>
            </w:pPr>
          </w:p>
        </w:tc>
        <w:tc>
          <w:tcPr>
            <w:tcW w:w="93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right w:val="single" w:sz="8" w:color="auto"/>
            </w:tcBorders>
          </w:tcPr>
          <w:p>
            <w:pPr>
              <w:jc w:val="right"/>
              <w:ind w:right="10"/>
              <w:spacing w:after="0" w:line="163" w:lineRule="exact"/>
              <w:rPr>
                <w:sz w:val="20"/>
                <w:szCs w:val="20"/>
                <w:color w:val="auto"/>
              </w:rPr>
            </w:pPr>
            <w:r>
              <w:rPr>
                <w:rFonts w:ascii="Times New Roman" w:cs="Times New Roman" w:eastAsia="Times New Roman" w:hAnsi="Times New Roman"/>
                <w:sz w:val="18"/>
                <w:szCs w:val="18"/>
                <w:color w:val="auto"/>
              </w:rPr>
              <w:t>2.</w:t>
            </w:r>
          </w:p>
        </w:tc>
        <w:tc>
          <w:tcPr>
            <w:tcW w:w="10760" w:type="dxa"/>
            <w:vAlign w:val="bottom"/>
            <w:tcBorders>
              <w:right w:val="single" w:sz="8" w:color="auto"/>
            </w:tcBorders>
            <w:gridSpan w:val="5"/>
          </w:tcPr>
          <w:p>
            <w:pPr>
              <w:ind w:left="16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5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750,760</w:t>
            </w: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938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Borders>
              <w:left w:val="single" w:sz="8" w:color="auto"/>
            </w:tcBorders>
          </w:tcPr>
          <w:p>
            <w:pPr>
              <w:spacing w:after="0"/>
              <w:rPr>
                <w:sz w:val="19"/>
                <w:szCs w:val="19"/>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750,760</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750,760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IA, PN</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0"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5 of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G8136L106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0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59"/>
        </w:trPr>
        <w:tc>
          <w:tcPr>
            <w:tcW w:w="500" w:type="dxa"/>
            <w:vAlign w:val="bottom"/>
            <w:tcBorders>
              <w:left w:val="single" w:sz="8" w:color="auto"/>
              <w:right w:val="single" w:sz="8" w:color="auto"/>
            </w:tcBorders>
          </w:tcPr>
          <w:p>
            <w:pPr>
              <w:spacing w:after="0"/>
              <w:rPr>
                <w:sz w:val="24"/>
                <w:szCs w:val="24"/>
                <w:color w:val="auto"/>
              </w:rPr>
            </w:pP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SIU MIN WONG</w:t>
            </w:r>
          </w:p>
        </w:tc>
        <w:tc>
          <w:tcPr>
            <w:tcW w:w="0" w:type="dxa"/>
            <w:vAlign w:val="bottom"/>
          </w:tcPr>
          <w:p>
            <w:pPr>
              <w:spacing w:after="0"/>
              <w:rPr>
                <w:sz w:val="1"/>
                <w:szCs w:val="1"/>
                <w:color w:val="auto"/>
              </w:rPr>
            </w:pPr>
          </w:p>
        </w:tc>
      </w:tr>
      <w:tr>
        <w:trPr>
          <w:trHeight w:val="256"/>
        </w:trPr>
        <w:tc>
          <w:tcPr>
            <w:tcW w:w="500" w:type="dxa"/>
            <w:vAlign w:val="bottom"/>
            <w:tcBorders>
              <w:left w:val="single" w:sz="8" w:color="auto"/>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gridSpan w:val="2"/>
          </w:tcPr>
          <w:p>
            <w:pPr>
              <w:spacing w:after="0"/>
              <w:rPr>
                <w:sz w:val="22"/>
                <w:szCs w:val="22"/>
                <w:color w:val="auto"/>
              </w:rPr>
            </w:pPr>
          </w:p>
        </w:tc>
        <w:tc>
          <w:tcPr>
            <w:tcW w:w="340" w:type="dxa"/>
            <w:vAlign w:val="bottom"/>
            <w:tcBorders>
              <w:bottom w:val="single" w:sz="8" w:color="auto"/>
            </w:tcBorders>
            <w:gridSpan w:val="2"/>
          </w:tcPr>
          <w:p>
            <w:pPr>
              <w:spacing w:after="0"/>
              <w:rPr>
                <w:sz w:val="22"/>
                <w:szCs w:val="22"/>
                <w:color w:val="auto"/>
              </w:rPr>
            </w:pPr>
          </w:p>
        </w:tc>
        <w:tc>
          <w:tcPr>
            <w:tcW w:w="93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right w:val="single" w:sz="8" w:color="auto"/>
            </w:tcBorders>
          </w:tcPr>
          <w:p>
            <w:pPr>
              <w:jc w:val="right"/>
              <w:ind w:right="10"/>
              <w:spacing w:after="0" w:line="163" w:lineRule="exact"/>
              <w:rPr>
                <w:sz w:val="20"/>
                <w:szCs w:val="20"/>
                <w:color w:val="auto"/>
              </w:rPr>
            </w:pPr>
            <w:r>
              <w:rPr>
                <w:rFonts w:ascii="Times New Roman" w:cs="Times New Roman" w:eastAsia="Times New Roman" w:hAnsi="Times New Roman"/>
                <w:sz w:val="18"/>
                <w:szCs w:val="18"/>
                <w:color w:val="auto"/>
              </w:rPr>
              <w:t>2.</w:t>
            </w:r>
          </w:p>
        </w:tc>
        <w:tc>
          <w:tcPr>
            <w:tcW w:w="10760" w:type="dxa"/>
            <w:vAlign w:val="bottom"/>
            <w:tcBorders>
              <w:right w:val="single" w:sz="8" w:color="auto"/>
            </w:tcBorders>
            <w:gridSpan w:val="5"/>
          </w:tcPr>
          <w:p>
            <w:pPr>
              <w:ind w:left="16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5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China (Hong Kong) and USA</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750,760</w:t>
            </w: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938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Borders>
              <w:left w:val="single" w:sz="8" w:color="auto"/>
            </w:tcBorders>
          </w:tcPr>
          <w:p>
            <w:pPr>
              <w:spacing w:after="0"/>
              <w:rPr>
                <w:sz w:val="19"/>
                <w:szCs w:val="19"/>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750,760</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750,760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 HC</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0"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6 of 7</w:t>
      </w:r>
    </w:p>
    <w:p>
      <w:pPr>
        <w:spacing w:after="0" w:line="252"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This Amendment No. 1 (“Amendment No. 1”) is filed pursuant to Rule 13d-2(b) promulgated under the Securities Exchange Act of 1934, as amended, with respect to the Class A Ordinary Shares, par value $0.0001 per share (the “Shares”), of Silver Spike Acquisition Corp. (the “Issuer”) beneficially owned by the Reporting Persons specified herein as of December 31, 2020, and amends and supplements the Schedule 13G filed March 10, 2020 (collectively, the “Schedule 13G”). Except as set forth herein, the Schedule 13G is unmodified.</w:t>
      </w:r>
    </w:p>
    <w:p>
      <w:pPr>
        <w:spacing w:after="0" w:line="180" w:lineRule="exact"/>
        <w:rPr>
          <w:sz w:val="20"/>
          <w:szCs w:val="20"/>
          <w:color w:val="auto"/>
        </w:rPr>
      </w:pPr>
    </w:p>
    <w:p>
      <w:pPr>
        <w:jc w:val="both"/>
        <w:ind w:right="340" w:firstLine="449"/>
        <w:spacing w:after="0" w:line="266" w:lineRule="auto"/>
        <w:rPr>
          <w:sz w:val="20"/>
          <w:szCs w:val="20"/>
          <w:color w:val="auto"/>
        </w:rPr>
      </w:pPr>
      <w:r>
        <w:rPr>
          <w:rFonts w:ascii="Times New Roman" w:cs="Times New Roman" w:eastAsia="Times New Roman" w:hAnsi="Times New Roman"/>
          <w:sz w:val="18"/>
          <w:szCs w:val="18"/>
          <w:color w:val="auto"/>
        </w:rPr>
        <w:t>The names of the persons filing this statement on Amendment No. 1 are: Linden Capital L.P., a Bermuda limited partnership (“Linden Capital”), Linden Advisors LP, a Delaware limited partnership (“Linden Advisors”), Linden GP LLC, a Delaware limited liability company (“Linden GP”), and Mr. Siu Min (Joe) Wong (“Mr. Wong,” and collectively, the “Reporting Persons”).</w:t>
      </w:r>
    </w:p>
    <w:p>
      <w:pPr>
        <w:spacing w:after="0" w:line="32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the Reporting Persons have ceased to be the beneficial owner of more than five percent of the outstanding Shares.</w:t>
      </w:r>
    </w:p>
    <w:p>
      <w:pPr>
        <w:spacing w:after="0" w:line="37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460"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200"/>
          </w:cols>
          <w:pgMar w:left="320" w:top="27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7 of 7</w:t>
      </w:r>
    </w:p>
    <w:p>
      <w:pPr>
        <w:spacing w:after="0" w:line="1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14,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LINDEN CAPITAL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Linden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26035</wp:posOffset>
            </wp:positionV>
            <wp:extent cx="2648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Saul Ahn,</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LINDEN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26485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Saul Ahn,</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LINDEN ADVISORS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26485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Saul Ahn,</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SIU MIN WONG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2648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Saul Ahn, Attorney-in-Fact for Siu Min</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8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60" w:right="120" w:hanging="452"/>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authorized under Siu Min Wong’s Power of Attorney, dated June 10, 2019, incorporated herein by reference to Exhibit B of the statement on Schedule 13G filed by Linden Capital L.P. on June 19, 2019 in respect of its holdings in Haymaker Acquisition Corp II.</w:t>
      </w:r>
    </w:p>
    <w:sectPr>
      <w:pgSz w:w="11900" w:h="16838" w:orient="portrait"/>
      <w:cols w:equalWidth="0" w:num="1">
        <w:col w:w="11100"/>
      </w:cols>
      <w:pgMar w:left="32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2021-01-14T13:04:16Z</dcterms:created>
  <dcterms:modified xsi:type="dcterms:W3CDTF">2021-01-14T13:04:16Z</dcterms:modified>
</cp:coreProperties>
</file>