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1" w:lineRule="exact"/>
        <w:rPr>
          <w:sz w:val="24"/>
          <w:szCs w:val="24"/>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RULES 13d-1(b), (c), AND (d) AND AMENDMENTS THERETO FILED PURSUANT TO RULE 13d-2</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u w:val="single" w:color="auto"/>
          <w:color w:val="auto"/>
        </w:rPr>
        <w:t>WM Technology,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Class A Common Stock</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92971A109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June 30,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2180" w:type="dxa"/>
            <w:vAlign w:val="bottom"/>
            <w:tcBorders>
              <w:top w:val="single" w:sz="8" w:color="auto"/>
              <w:left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92971A109</w:t>
            </w:r>
          </w:p>
        </w:tc>
        <w:tc>
          <w:tcPr>
            <w:tcW w:w="100" w:type="dxa"/>
            <w:vAlign w:val="bottom"/>
            <w:tcBorders>
              <w:top w:val="single" w:sz="8" w:color="auto"/>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8520" w:type="dxa"/>
            <w:vAlign w:val="bottom"/>
          </w:tcPr>
          <w:p>
            <w:pPr>
              <w:ind w:left="7200"/>
              <w:spacing w:after="0"/>
              <w:rPr>
                <w:sz w:val="20"/>
                <w:szCs w:val="20"/>
                <w:color w:val="auto"/>
              </w:rPr>
            </w:pPr>
            <w:r>
              <w:rPr>
                <w:rFonts w:ascii="Times New Roman" w:cs="Times New Roman" w:eastAsia="Times New Roman" w:hAnsi="Times New Roman"/>
                <w:sz w:val="18"/>
                <w:szCs w:val="18"/>
                <w:color w:val="auto"/>
                <w:w w:val="99"/>
              </w:rPr>
              <w:t>Page 2 of 5 Pages</w:t>
            </w:r>
          </w:p>
        </w:tc>
        <w:tc>
          <w:tcPr>
            <w:tcW w:w="0" w:type="dxa"/>
            <w:vAlign w:val="bottom"/>
          </w:tcPr>
          <w:p>
            <w:pPr>
              <w:spacing w:after="0"/>
              <w:rPr>
                <w:sz w:val="1"/>
                <w:szCs w:val="1"/>
                <w:color w:val="auto"/>
              </w:rPr>
            </w:pPr>
          </w:p>
        </w:tc>
      </w:tr>
      <w:tr>
        <w:trPr>
          <w:trHeight w:val="27"/>
        </w:trPr>
        <w:tc>
          <w:tcPr>
            <w:tcW w:w="58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gridSpan w:val="2"/>
          </w:tcPr>
          <w:p>
            <w:pPr>
              <w:spacing w:after="0"/>
              <w:rPr>
                <w:sz w:val="2"/>
                <w:szCs w:val="2"/>
                <w:color w:val="auto"/>
              </w:rPr>
            </w:pPr>
          </w:p>
        </w:tc>
        <w:tc>
          <w:tcPr>
            <w:tcW w:w="4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18"/>
                <w:szCs w:val="18"/>
                <w:color w:val="auto"/>
              </w:rPr>
            </w:pP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5"/>
                <w:szCs w:val="25"/>
                <w:b w:val="1"/>
                <w:bCs w:val="1"/>
                <w:color w:val="auto"/>
              </w:rPr>
              <w:t>1</w:t>
            </w:r>
          </w:p>
        </w:tc>
        <w:tc>
          <w:tcPr>
            <w:tcW w:w="24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3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James J. Pallotta</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0" w:type="dxa"/>
            <w:vAlign w:val="bottom"/>
            <w:tcBorders>
              <w:left w:val="single" w:sz="8" w:color="auto"/>
            </w:tcBorders>
          </w:tcPr>
          <w:p>
            <w:pPr>
              <w:jc w:val="right"/>
              <w:spacing w:after="0" w:line="204" w:lineRule="exact"/>
              <w:rPr>
                <w:sz w:val="20"/>
                <w:szCs w:val="20"/>
                <w:color w:val="auto"/>
              </w:rPr>
            </w:pPr>
            <w:r>
              <w:rPr>
                <w:rFonts w:ascii="Times New Roman" w:cs="Times New Roman" w:eastAsia="Times New Roman" w:hAnsi="Times New Roman"/>
                <w:sz w:val="23"/>
                <w:szCs w:val="23"/>
                <w:b w:val="1"/>
                <w:bCs w:val="1"/>
                <w:color w:val="auto"/>
              </w:rPr>
              <w:t>2</w:t>
            </w:r>
          </w:p>
        </w:tc>
        <w:tc>
          <w:tcPr>
            <w:tcW w:w="24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5"/>
          </w:tcPr>
          <w:p>
            <w:pPr>
              <w:ind w:left="60"/>
              <w:spacing w:after="0" w:line="205"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67"/>
        </w:trPr>
        <w:tc>
          <w:tcPr>
            <w:tcW w:w="580" w:type="dxa"/>
            <w:vAlign w:val="bottom"/>
            <w:tcBorders>
              <w:lef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520" w:type="dxa"/>
            <w:vAlign w:val="bottom"/>
            <w:tcBorders>
              <w:right w:val="single" w:sz="8" w:color="auto"/>
            </w:tcBorders>
          </w:tcPr>
          <w:p>
            <w:pPr>
              <w:ind w:left="3140"/>
              <w:spacing w:after="0" w:line="16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580" w:type="dxa"/>
            <w:vAlign w:val="bottom"/>
            <w:tcBorders>
              <w:left w:val="single" w:sz="8" w:color="auto"/>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520" w:type="dxa"/>
            <w:vAlign w:val="bottom"/>
            <w:tcBorders>
              <w:bottom w:val="single" w:sz="8" w:color="auto"/>
              <w:right w:val="single" w:sz="8" w:color="auto"/>
            </w:tcBorders>
          </w:tcPr>
          <w:p>
            <w:pPr>
              <w:ind w:left="3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5"/>
                <w:szCs w:val="25"/>
                <w:b w:val="1"/>
                <w:bCs w:val="1"/>
                <w:color w:val="auto"/>
              </w:rPr>
              <w:t>3</w:t>
            </w:r>
          </w:p>
        </w:tc>
        <w:tc>
          <w:tcPr>
            <w:tcW w:w="2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left w:val="single" w:sz="8" w:color="auto"/>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8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5"/>
                <w:szCs w:val="25"/>
                <w:b w:val="1"/>
                <w:bCs w:val="1"/>
                <w:color w:val="auto"/>
              </w:rPr>
              <w:t>4</w:t>
            </w:r>
          </w:p>
        </w:tc>
        <w:tc>
          <w:tcPr>
            <w:tcW w:w="24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3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25"/>
                <w:szCs w:val="25"/>
                <w:b w:val="1"/>
                <w:bCs w:val="1"/>
                <w:color w:val="auto"/>
              </w:rPr>
              <w:t>5</w:t>
            </w:r>
          </w:p>
        </w:tc>
        <w:tc>
          <w:tcPr>
            <w:tcW w:w="8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14"/>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2,382,439 shares</w:t>
            </w:r>
          </w:p>
        </w:tc>
        <w:tc>
          <w:tcPr>
            <w:tcW w:w="0" w:type="dxa"/>
            <w:vAlign w:val="bottom"/>
          </w:tcPr>
          <w:p>
            <w:pPr>
              <w:spacing w:after="0"/>
              <w:rPr>
                <w:sz w:val="1"/>
                <w:szCs w:val="1"/>
                <w:color w:val="auto"/>
              </w:rPr>
            </w:pPr>
          </w:p>
        </w:tc>
      </w:tr>
      <w:tr>
        <w:trPr>
          <w:trHeight w:val="198"/>
        </w:trPr>
        <w:tc>
          <w:tcPr>
            <w:tcW w:w="58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49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17"/>
                <w:szCs w:val="17"/>
                <w:color w:val="auto"/>
              </w:rPr>
            </w:pPr>
          </w:p>
        </w:tc>
        <w:tc>
          <w:tcPr>
            <w:tcW w:w="540" w:type="dxa"/>
            <w:vAlign w:val="bottom"/>
            <w:tcBorders>
              <w:right w:val="single" w:sz="8" w:color="auto"/>
            </w:tcBorders>
            <w:gridSpan w:val="2"/>
          </w:tcPr>
          <w:p>
            <w:pPr>
              <w:jc w:val="right"/>
              <w:ind w:right="340"/>
              <w:spacing w:after="0" w:line="198" w:lineRule="exact"/>
              <w:rPr>
                <w:sz w:val="20"/>
                <w:szCs w:val="20"/>
                <w:color w:val="auto"/>
              </w:rPr>
            </w:pPr>
            <w:r>
              <w:rPr>
                <w:rFonts w:ascii="Times New Roman" w:cs="Times New Roman" w:eastAsia="Times New Roman" w:hAnsi="Times New Roman"/>
                <w:sz w:val="22"/>
                <w:szCs w:val="22"/>
                <w:b w:val="1"/>
                <w:bCs w:val="1"/>
                <w:color w:val="auto"/>
              </w:rPr>
              <w:t>6</w:t>
            </w:r>
          </w:p>
        </w:tc>
        <w:tc>
          <w:tcPr>
            <w:tcW w:w="852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32"/>
        </w:trPr>
        <w:tc>
          <w:tcPr>
            <w:tcW w:w="580" w:type="dxa"/>
            <w:vAlign w:val="bottom"/>
            <w:tcBorders>
              <w:left w:val="single" w:sz="8" w:color="auto"/>
            </w:tcBorders>
          </w:tcPr>
          <w:p>
            <w:pPr>
              <w:spacing w:after="0"/>
              <w:rPr>
                <w:sz w:val="2"/>
                <w:szCs w:val="2"/>
                <w:color w:val="auto"/>
              </w:rPr>
            </w:pPr>
          </w:p>
        </w:tc>
        <w:tc>
          <w:tcPr>
            <w:tcW w:w="136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EACH</w:t>
            </w: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80" w:type="dxa"/>
            <w:vAlign w:val="bottom"/>
            <w:tcBorders>
              <w:left w:val="single" w:sz="8" w:color="auto"/>
            </w:tcBorders>
          </w:tcPr>
          <w:p>
            <w:pPr>
              <w:spacing w:after="0"/>
              <w:rPr>
                <w:sz w:val="14"/>
                <w:szCs w:val="14"/>
                <w:color w:val="auto"/>
              </w:rPr>
            </w:pPr>
          </w:p>
        </w:tc>
        <w:tc>
          <w:tcPr>
            <w:tcW w:w="1360" w:type="dxa"/>
            <w:vAlign w:val="bottom"/>
            <w:tcBorders>
              <w:right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right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25"/>
                <w:szCs w:val="25"/>
                <w:b w:val="1"/>
                <w:bCs w:val="1"/>
                <w:color w:val="auto"/>
              </w:rPr>
              <w:t>7</w:t>
            </w:r>
          </w:p>
        </w:tc>
        <w:tc>
          <w:tcPr>
            <w:tcW w:w="8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4"/>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Pr>
          <w:p>
            <w:pPr>
              <w:spacing w:after="0"/>
              <w:rPr>
                <w:sz w:val="14"/>
                <w:szCs w:val="14"/>
                <w:color w:val="auto"/>
              </w:rPr>
            </w:pPr>
          </w:p>
        </w:tc>
        <w:tc>
          <w:tcPr>
            <w:tcW w:w="540" w:type="dxa"/>
            <w:vAlign w:val="bottom"/>
            <w:tcBorders>
              <w:right w:val="single" w:sz="8" w:color="auto"/>
            </w:tcBorders>
            <w:gridSpan w:val="2"/>
            <w:vMerge w:val="continue"/>
          </w:tcPr>
          <w:p>
            <w:pPr>
              <w:spacing w:after="0"/>
              <w:rPr>
                <w:sz w:val="14"/>
                <w:szCs w:val="14"/>
                <w:color w:val="auto"/>
              </w:rPr>
            </w:pPr>
          </w:p>
        </w:tc>
        <w:tc>
          <w:tcPr>
            <w:tcW w:w="85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940" w:type="dxa"/>
            <w:vAlign w:val="bottom"/>
            <w:tcBorders>
              <w:left w:val="single" w:sz="8" w:color="auto"/>
              <w:right w:val="single" w:sz="8" w:color="auto"/>
            </w:tcBorders>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2,382,439 shares</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tcBorders>
          </w:tcPr>
          <w:p>
            <w:pPr>
              <w:spacing w:after="0"/>
              <w:rPr>
                <w:sz w:val="3"/>
                <w:szCs w:val="3"/>
                <w:color w:val="auto"/>
              </w:rPr>
            </w:pPr>
          </w:p>
        </w:tc>
        <w:tc>
          <w:tcPr>
            <w:tcW w:w="136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7"/>
              </w:rPr>
              <w:t>WITH</w:t>
            </w: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80" w:type="dxa"/>
            <w:vAlign w:val="bottom"/>
            <w:tcBorders>
              <w:left w:val="single" w:sz="8" w:color="auto"/>
            </w:tcBorders>
          </w:tcPr>
          <w:p>
            <w:pPr>
              <w:spacing w:after="0"/>
              <w:rPr>
                <w:sz w:val="14"/>
                <w:szCs w:val="14"/>
                <w:color w:val="auto"/>
              </w:rPr>
            </w:pPr>
          </w:p>
        </w:tc>
        <w:tc>
          <w:tcPr>
            <w:tcW w:w="1360" w:type="dxa"/>
            <w:vAlign w:val="bottom"/>
            <w:tcBorders>
              <w:right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right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25"/>
                <w:szCs w:val="25"/>
                <w:b w:val="1"/>
                <w:bCs w:val="1"/>
                <w:color w:val="auto"/>
              </w:rPr>
              <w:t>8</w:t>
            </w:r>
          </w:p>
        </w:tc>
        <w:tc>
          <w:tcPr>
            <w:tcW w:w="8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9"/>
        </w:trPr>
        <w:tc>
          <w:tcPr>
            <w:tcW w:w="580" w:type="dxa"/>
            <w:vAlign w:val="bottom"/>
            <w:tcBorders>
              <w:lef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right w:val="single" w:sz="8" w:color="auto"/>
            </w:tcBorders>
            <w:gridSpan w:val="2"/>
            <w:vMerge w:val="continue"/>
          </w:tcPr>
          <w:p>
            <w:pPr>
              <w:spacing w:after="0"/>
              <w:rPr>
                <w:sz w:val="13"/>
                <w:szCs w:val="13"/>
                <w:color w:val="auto"/>
              </w:rPr>
            </w:pPr>
          </w:p>
        </w:tc>
        <w:tc>
          <w:tcPr>
            <w:tcW w:w="85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center"/>
              <w:ind w:left="149"/>
              <w:spacing w:after="0"/>
              <w:rPr>
                <w:sz w:val="20"/>
                <w:szCs w:val="20"/>
                <w:color w:val="auto"/>
              </w:rPr>
            </w:pPr>
            <w:r>
              <w:rPr>
                <w:rFonts w:ascii="Times New Roman" w:cs="Times New Roman" w:eastAsia="Times New Roman" w:hAnsi="Times New Roman"/>
                <w:sz w:val="25"/>
                <w:szCs w:val="25"/>
                <w:b w:val="1"/>
                <w:bCs w:val="1"/>
                <w:color w:val="auto"/>
                <w:w w:val="95"/>
              </w:rPr>
              <w:t>9</w:t>
            </w:r>
          </w:p>
        </w:tc>
        <w:tc>
          <w:tcPr>
            <w:tcW w:w="240" w:type="dxa"/>
            <w:vAlign w:val="bottom"/>
            <w:tcBorders>
              <w:right w:val="single" w:sz="8" w:color="auto"/>
            </w:tcBorders>
          </w:tcPr>
          <w:p>
            <w:pPr>
              <w:spacing w:after="0"/>
              <w:rPr>
                <w:sz w:val="24"/>
                <w:szCs w:val="24"/>
                <w:color w:val="auto"/>
              </w:rPr>
            </w:pPr>
          </w:p>
        </w:tc>
        <w:tc>
          <w:tcPr>
            <w:tcW w:w="19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3"/>
              </w:rPr>
              <w:t>AGGREGATE AMOUNT</w:t>
            </w:r>
          </w:p>
        </w:tc>
        <w:tc>
          <w:tcPr>
            <w:tcW w:w="8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0" w:type="dxa"/>
            <w:vAlign w:val="bottom"/>
          </w:tcPr>
          <w:p>
            <w:pPr>
              <w:spacing w:after="0"/>
              <w:rPr>
                <w:sz w:val="1"/>
                <w:szCs w:val="1"/>
                <w:color w:val="auto"/>
              </w:rPr>
            </w:pPr>
          </w:p>
        </w:tc>
      </w:tr>
      <w:tr>
        <w:trPr>
          <w:trHeight w:val="3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2,382,439 shares</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center"/>
              <w:ind w:left="129"/>
              <w:spacing w:after="0"/>
              <w:rPr>
                <w:sz w:val="20"/>
                <w:szCs w:val="20"/>
                <w:color w:val="auto"/>
              </w:rPr>
            </w:pPr>
            <w:r>
              <w:rPr>
                <w:rFonts w:ascii="Times New Roman" w:cs="Times New Roman" w:eastAsia="Times New Roman" w:hAnsi="Times New Roman"/>
                <w:sz w:val="25"/>
                <w:szCs w:val="25"/>
                <w:b w:val="1"/>
                <w:bCs w:val="1"/>
                <w:color w:val="auto"/>
              </w:rPr>
              <w:t>10</w:t>
            </w:r>
          </w:p>
        </w:tc>
        <w:tc>
          <w:tcPr>
            <w:tcW w:w="24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5"/>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9"/>
        </w:trPr>
        <w:tc>
          <w:tcPr>
            <w:tcW w:w="580" w:type="dxa"/>
            <w:vAlign w:val="bottom"/>
            <w:tcBorders>
              <w:left w:val="single" w:sz="8" w:color="auto"/>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1042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center"/>
              <w:ind w:left="149"/>
              <w:spacing w:after="0"/>
              <w:rPr>
                <w:sz w:val="20"/>
                <w:szCs w:val="20"/>
                <w:color w:val="auto"/>
              </w:rPr>
            </w:pPr>
            <w:r>
              <w:rPr>
                <w:rFonts w:ascii="Times New Roman" w:cs="Times New Roman" w:eastAsia="Times New Roman" w:hAnsi="Times New Roman"/>
                <w:sz w:val="25"/>
                <w:szCs w:val="25"/>
                <w:b w:val="1"/>
                <w:bCs w:val="1"/>
                <w:color w:val="auto"/>
                <w:w w:val="95"/>
              </w:rPr>
              <w:t>11</w:t>
            </w:r>
          </w:p>
        </w:tc>
        <w:tc>
          <w:tcPr>
            <w:tcW w:w="24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35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2.51%</w:t>
            </w:r>
            <w:r>
              <w:rPr>
                <w:rFonts w:ascii="Times New Roman" w:cs="Times New Roman" w:eastAsia="Times New Roman" w:hAnsi="Times New Roman"/>
                <w:sz w:val="29"/>
                <w:szCs w:val="29"/>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center"/>
              <w:ind w:left="129"/>
              <w:spacing w:after="0"/>
              <w:rPr>
                <w:sz w:val="20"/>
                <w:szCs w:val="20"/>
                <w:color w:val="auto"/>
              </w:rPr>
            </w:pPr>
            <w:r>
              <w:rPr>
                <w:rFonts w:ascii="Times New Roman" w:cs="Times New Roman" w:eastAsia="Times New Roman" w:hAnsi="Times New Roman"/>
                <w:sz w:val="25"/>
                <w:szCs w:val="25"/>
                <w:b w:val="1"/>
                <w:bCs w:val="1"/>
                <w:color w:val="auto"/>
              </w:rPr>
              <w:t>12</w:t>
            </w:r>
          </w:p>
        </w:tc>
        <w:tc>
          <w:tcPr>
            <w:tcW w:w="24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3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3" w:lineRule="exact"/>
        <w:rPr>
          <w:sz w:val="20"/>
          <w:szCs w:val="20"/>
          <w:color w:val="auto"/>
        </w:rPr>
      </w:pPr>
    </w:p>
    <w:p>
      <w:pPr>
        <w:ind w:firstLine="8"/>
        <w:spacing w:after="0" w:line="195" w:lineRule="auto"/>
        <w:tabs>
          <w:tab w:leader="none" w:pos="124"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95,051,735 shares of the Issuer's Class A Common Stock outstanding as of May 13, 2024, as reported in the Issuer's Quarterly Report on Form 10 - Q filed with the Securities and Exchange Commission on May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92971A109</w:t>
            </w:r>
          </w:p>
        </w:tc>
        <w:tc>
          <w:tcPr>
            <w:tcW w:w="8920" w:type="dxa"/>
            <w:vAlign w:val="bottom"/>
          </w:tcPr>
          <w:p>
            <w:pPr>
              <w:ind w:left="7640"/>
              <w:spacing w:after="0"/>
              <w:rPr>
                <w:sz w:val="20"/>
                <w:szCs w:val="20"/>
                <w:color w:val="auto"/>
              </w:rPr>
            </w:pPr>
            <w:r>
              <w:rPr>
                <w:rFonts w:ascii="Times New Roman" w:cs="Times New Roman" w:eastAsia="Times New Roman" w:hAnsi="Times New Roman"/>
                <w:sz w:val="18"/>
                <w:szCs w:val="18"/>
                <w:color w:val="auto"/>
                <w:w w:val="98"/>
              </w:rPr>
              <w:t>Page 3 of 5 Pages</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Pr>
          <w:p>
            <w:pPr>
              <w:spacing w:after="0"/>
              <w:rPr>
                <w:sz w:val="2"/>
                <w:szCs w:val="2"/>
                <w:color w:val="auto"/>
              </w:rPr>
            </w:pPr>
          </w:p>
        </w:tc>
      </w:tr>
    </w:tbl>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 (a).</w:t>
      </w:r>
      <w:r>
        <w:rPr>
          <w:sz w:val="20"/>
          <w:szCs w:val="20"/>
          <w:color w:val="auto"/>
        </w:rPr>
        <w:tab/>
      </w:r>
      <w:r>
        <w:rPr>
          <w:rFonts w:ascii="Times New Roman" w:cs="Times New Roman" w:eastAsia="Times New Roman" w:hAnsi="Times New Roman"/>
          <w:sz w:val="17"/>
          <w:szCs w:val="17"/>
          <w:b w:val="1"/>
          <w:bCs w:val="1"/>
          <w:color w:val="auto"/>
        </w:rPr>
        <w:t xml:space="preserve">Name of Issuer: </w:t>
      </w:r>
      <w:r>
        <w:rPr>
          <w:rFonts w:ascii="Times New Roman" w:cs="Times New Roman" w:eastAsia="Times New Roman" w:hAnsi="Times New Roman"/>
          <w:sz w:val="17"/>
          <w:szCs w:val="17"/>
          <w:color w:val="auto"/>
        </w:rPr>
        <w:t>WM Technology, Inc.</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 (b).</w:t>
      </w:r>
      <w:r>
        <w:rPr>
          <w:sz w:val="20"/>
          <w:szCs w:val="20"/>
          <w:color w:val="auto"/>
        </w:rPr>
        <w:tab/>
      </w:r>
      <w:r>
        <w:rPr>
          <w:rFonts w:ascii="Times New Roman" w:cs="Times New Roman" w:eastAsia="Times New Roman" w:hAnsi="Times New Roman"/>
          <w:sz w:val="17"/>
          <w:szCs w:val="17"/>
          <w:b w:val="1"/>
          <w:bCs w:val="1"/>
          <w:color w:val="auto"/>
        </w:rPr>
        <w:t xml:space="preserve">Address of Issuer’s Principal Executive Offices: </w:t>
      </w:r>
      <w:r>
        <w:rPr>
          <w:rFonts w:ascii="Times New Roman" w:cs="Times New Roman" w:eastAsia="Times New Roman" w:hAnsi="Times New Roman"/>
          <w:sz w:val="17"/>
          <w:szCs w:val="17"/>
          <w:color w:val="auto"/>
        </w:rPr>
        <w:t>41 Discovery, Irvine, California 92618</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 (a).</w:t>
      </w:r>
      <w:r>
        <w:rPr>
          <w:sz w:val="20"/>
          <w:szCs w:val="20"/>
          <w:color w:val="auto"/>
        </w:rPr>
        <w:tab/>
      </w:r>
      <w:r>
        <w:rPr>
          <w:rFonts w:ascii="Times New Roman" w:cs="Times New Roman" w:eastAsia="Times New Roman" w:hAnsi="Times New Roman"/>
          <w:sz w:val="18"/>
          <w:szCs w:val="18"/>
          <w:b w:val="1"/>
          <w:bCs w:val="1"/>
          <w:color w:val="auto"/>
        </w:rPr>
        <w:t xml:space="preserve">Name of Person Filing: </w:t>
      </w:r>
      <w:r>
        <w:rPr>
          <w:rFonts w:ascii="Times New Roman" w:cs="Times New Roman" w:eastAsia="Times New Roman" w:hAnsi="Times New Roman"/>
          <w:sz w:val="18"/>
          <w:szCs w:val="18"/>
          <w:color w:val="auto"/>
        </w:rPr>
        <w:t>James J. Pallotta</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35"/>
          <w:szCs w:val="35"/>
          <w:b w:val="1"/>
          <w:bCs w:val="1"/>
          <w:color w:val="auto"/>
          <w:vertAlign w:val="superscript"/>
        </w:rPr>
        <w:t>Item 2 (b).</w:t>
      </w:r>
      <w:r>
        <w:rPr>
          <w:sz w:val="20"/>
          <w:szCs w:val="20"/>
          <w:color w:val="auto"/>
        </w:rPr>
        <w:tab/>
      </w:r>
      <w:r>
        <w:rPr>
          <w:rFonts w:ascii="Times New Roman" w:cs="Times New Roman" w:eastAsia="Times New Roman" w:hAnsi="Times New Roman"/>
          <w:sz w:val="17"/>
          <w:szCs w:val="17"/>
          <w:b w:val="1"/>
          <w:bCs w:val="1"/>
          <w:color w:val="auto"/>
        </w:rPr>
        <w:t xml:space="preserve">Address of Principal Business Office or, if none, Residence: </w:t>
      </w:r>
      <w:r>
        <w:rPr>
          <w:rFonts w:ascii="Times New Roman" w:cs="Times New Roman" w:eastAsia="Times New Roman" w:hAnsi="Times New Roman"/>
          <w:sz w:val="17"/>
          <w:szCs w:val="17"/>
          <w:color w:val="auto"/>
        </w:rPr>
        <w:t>2340 Collins Avenue,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Floor, Miami Beach, Florida 33139</w:t>
      </w:r>
    </w:p>
    <w:p>
      <w:pPr>
        <w:spacing w:after="0" w:line="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 (c).</w:t>
      </w:r>
      <w:r>
        <w:rPr>
          <w:sz w:val="20"/>
          <w:szCs w:val="20"/>
          <w:color w:val="auto"/>
        </w:rPr>
        <w:tab/>
      </w:r>
      <w:r>
        <w:rPr>
          <w:rFonts w:ascii="Times New Roman" w:cs="Times New Roman" w:eastAsia="Times New Roman" w:hAnsi="Times New Roman"/>
          <w:sz w:val="18"/>
          <w:szCs w:val="18"/>
          <w:b w:val="1"/>
          <w:bCs w:val="1"/>
          <w:color w:val="auto"/>
        </w:rPr>
        <w:t xml:space="preserve">Citizenship: </w:t>
      </w:r>
      <w:r>
        <w:rPr>
          <w:rFonts w:ascii="Times New Roman" w:cs="Times New Roman" w:eastAsia="Times New Roman" w:hAnsi="Times New Roman"/>
          <w:sz w:val="18"/>
          <w:szCs w:val="18"/>
          <w:color w:val="auto"/>
        </w:rPr>
        <w:t>Florida</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 (d).</w:t>
      </w:r>
      <w:r>
        <w:rPr>
          <w:sz w:val="20"/>
          <w:szCs w:val="20"/>
          <w:color w:val="auto"/>
        </w:rPr>
        <w:tab/>
      </w:r>
      <w:r>
        <w:rPr>
          <w:rFonts w:ascii="Times New Roman" w:cs="Times New Roman" w:eastAsia="Times New Roman" w:hAnsi="Times New Roman"/>
          <w:sz w:val="17"/>
          <w:szCs w:val="17"/>
          <w:b w:val="1"/>
          <w:bCs w:val="1"/>
          <w:color w:val="auto"/>
        </w:rPr>
        <w:t xml:space="preserve">Title of Class of Securities: </w:t>
      </w:r>
      <w:r>
        <w:rPr>
          <w:rFonts w:ascii="Times New Roman" w:cs="Times New Roman" w:eastAsia="Times New Roman" w:hAnsi="Times New Roman"/>
          <w:sz w:val="17"/>
          <w:szCs w:val="17"/>
          <w:color w:val="auto"/>
        </w:rPr>
        <w:t>Class A Common Stock</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 (e).</w:t>
      </w:r>
      <w:r>
        <w:rPr>
          <w:sz w:val="20"/>
          <w:szCs w:val="20"/>
          <w:color w:val="auto"/>
        </w:rPr>
        <w:tab/>
      </w: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92971A109</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188" w:lineRule="exact"/>
        <w:rPr>
          <w:sz w:val="20"/>
          <w:szCs w:val="20"/>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700" w:hanging="896"/>
        <w:spacing w:after="0" w:line="245" w:lineRule="exact"/>
        <w:tabs>
          <w:tab w:leader="none" w:pos="1376"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7"/>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92971A109</w:t>
            </w:r>
          </w:p>
        </w:tc>
        <w:tc>
          <w:tcPr>
            <w:tcW w:w="8920" w:type="dxa"/>
            <w:vAlign w:val="bottom"/>
          </w:tcPr>
          <w:p>
            <w:pPr>
              <w:ind w:left="7640"/>
              <w:spacing w:after="0"/>
              <w:rPr>
                <w:sz w:val="20"/>
                <w:szCs w:val="20"/>
                <w:color w:val="auto"/>
              </w:rPr>
            </w:pPr>
            <w:r>
              <w:rPr>
                <w:rFonts w:ascii="Times New Roman" w:cs="Times New Roman" w:eastAsia="Times New Roman" w:hAnsi="Times New Roman"/>
                <w:sz w:val="18"/>
                <w:szCs w:val="18"/>
                <w:color w:val="auto"/>
                <w:w w:val="98"/>
              </w:rPr>
              <w:t>Page 4 of 5 Pages</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Pr>
          <w:p>
            <w:pPr>
              <w:spacing w:after="0"/>
              <w:rPr>
                <w:sz w:val="2"/>
                <w:szCs w:val="2"/>
                <w:color w:val="auto"/>
              </w:rPr>
            </w:pPr>
          </w:p>
        </w:tc>
      </w:tr>
      <w:tr>
        <w:trPr>
          <w:trHeight w:val="42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 Ownership</w:t>
            </w:r>
          </w:p>
        </w:tc>
        <w:tc>
          <w:tcPr>
            <w:tcW w:w="8920" w:type="dxa"/>
            <w:vAlign w:val="bottom"/>
          </w:tcPr>
          <w:p>
            <w:pPr>
              <w:spacing w:after="0"/>
              <w:rPr>
                <w:sz w:val="24"/>
                <w:szCs w:val="24"/>
                <w:color w:val="auto"/>
              </w:rPr>
            </w:pPr>
          </w:p>
        </w:tc>
      </w:tr>
    </w:tbl>
    <w:p>
      <w:pPr>
        <w:spacing w:after="0" w:line="19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Amount beneficially owned</w:t>
      </w:r>
      <w:r>
        <w:rPr>
          <w:rFonts w:ascii="Times New Roman" w:cs="Times New Roman" w:eastAsia="Times New Roman" w:hAnsi="Times New Roman"/>
          <w:sz w:val="18"/>
          <w:szCs w:val="18"/>
          <w:color w:val="auto"/>
        </w:rPr>
        <w:t>: See Row 9 of the cover page.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Percent of class</w:t>
      </w:r>
      <w:r>
        <w:rPr>
          <w:rFonts w:ascii="Times New Roman" w:cs="Times New Roman" w:eastAsia="Times New Roman" w:hAnsi="Times New Roman"/>
          <w:sz w:val="18"/>
          <w:szCs w:val="18"/>
          <w:color w:val="auto"/>
        </w:rPr>
        <w:t>: See Row 11 of the cover page.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shares as to which such person has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Row 5 of the cover page.</w:t>
      </w:r>
    </w:p>
    <w:p>
      <w:pPr>
        <w:spacing w:after="0" w:line="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Row 6 of the cover page.</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Row 7 of the cover page.</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Row 8 of the cover page.</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3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right="58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jc w:val="center"/>
        <w:ind w:right="7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7" w:right="35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7"/>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92971A109</w:t>
            </w:r>
          </w:p>
        </w:tc>
        <w:tc>
          <w:tcPr>
            <w:tcW w:w="8920" w:type="dxa"/>
            <w:vAlign w:val="bottom"/>
          </w:tcPr>
          <w:p>
            <w:pPr>
              <w:ind w:left="7640"/>
              <w:spacing w:after="0"/>
              <w:rPr>
                <w:sz w:val="20"/>
                <w:szCs w:val="20"/>
                <w:color w:val="auto"/>
              </w:rPr>
            </w:pPr>
            <w:r>
              <w:rPr>
                <w:rFonts w:ascii="Times New Roman" w:cs="Times New Roman" w:eastAsia="Times New Roman" w:hAnsi="Times New Roman"/>
                <w:sz w:val="18"/>
                <w:szCs w:val="18"/>
                <w:color w:val="auto"/>
                <w:w w:val="98"/>
              </w:rPr>
              <w:t>Page 5 of 5 Pages</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 undersigned’s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15, 2024</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James J. Pallotta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49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J. Pallotta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2024-07-15T11:30:13Z</dcterms:created>
  <dcterms:modified xsi:type="dcterms:W3CDTF">2024-07-15T11:30:13Z</dcterms:modified>
</cp:coreProperties>
</file>