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December 16, 2020 (December 10,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SILVER SPIKE ACQUISITION CORP.</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001-39021</w:t>
      </w:r>
    </w:p>
    <w:p>
      <w:pPr>
        <w:sectPr>
          <w:pgSz w:w="11900" w:h="16838" w:orient="portrait"/>
          <w:cols w:equalWidth="0" w:num="1">
            <w:col w:w="11080"/>
          </w:cols>
          <w:pgMar w:left="320" w:top="220" w:right="49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348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34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4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540" w:space="720"/>
            <w:col w:w="2820"/>
          </w:cols>
          <w:pgMar w:left="320" w:top="220" w:right="499" w:bottom="1440" w:gutter="0" w:footer="0" w:header="0"/>
          <w:type w:val="continuous"/>
        </w:sectPr>
      </w:pPr>
    </w:p>
    <w:p>
      <w:pPr>
        <w:spacing w:after="0" w:line="7"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660 Madison Avenue, Suite 1600, New York, New York 10065</w:t>
      </w:r>
    </w:p>
    <w:p>
      <w:pPr>
        <w:spacing w:after="0" w:line="50" w:lineRule="exact"/>
        <w:rPr>
          <w:sz w:val="24"/>
          <w:szCs w:val="24"/>
          <w:color w:val="auto"/>
        </w:rPr>
      </w:pPr>
    </w:p>
    <w:p>
      <w:pPr>
        <w:ind w:left="348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 905-4923</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260" w:firstLine="8"/>
        <w:spacing w:after="0" w:line="224" w:lineRule="exact"/>
        <w:tabs>
          <w:tab w:leader="none" w:pos="337" w:val="left"/>
        </w:tabs>
        <w:numPr>
          <w:ilvl w:val="0"/>
          <w:numId w:val="1"/>
        </w:numPr>
        <w:rPr>
          <w:rFonts w:ascii="Arial" w:cs="Arial" w:eastAsia="Arial" w:hAnsi="Arial"/>
          <w:sz w:val="16"/>
          <w:szCs w:val="16"/>
          <w:color w:val="auto"/>
          <w:highlight w:val="yellow"/>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660"/>
        <w:spacing w:after="0" w:line="225" w:lineRule="exact"/>
        <w:rPr>
          <w:rFonts w:ascii="Arial" w:cs="Arial" w:eastAsia="Arial" w:hAnsi="Arial"/>
          <w:sz w:val="16"/>
          <w:szCs w:val="16"/>
          <w:color w:val="auto"/>
          <w:highlight w:val="yellow"/>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31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19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Trading Symbol(s)</w:t>
            </w:r>
          </w:p>
        </w:tc>
        <w:tc>
          <w:tcPr>
            <w:tcW w:w="420" w:type="dxa"/>
            <w:vAlign w:val="bottom"/>
          </w:tcPr>
          <w:p>
            <w:pPr>
              <w:spacing w:after="0"/>
              <w:rPr>
                <w:sz w:val="24"/>
                <w:szCs w:val="24"/>
                <w:color w:val="auto"/>
              </w:rPr>
            </w:pPr>
          </w:p>
        </w:tc>
        <w:tc>
          <w:tcPr>
            <w:tcW w:w="246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Name of each exchange on which</w:t>
            </w:r>
          </w:p>
        </w:tc>
      </w:tr>
      <w:tr>
        <w:trPr>
          <w:trHeight w:val="196"/>
        </w:trPr>
        <w:tc>
          <w:tcPr>
            <w:tcW w:w="31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registered</w:t>
            </w: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0" w:type="dxa"/>
            <w:vAlign w:val="bottom"/>
            <w:gridSpan w:val="3"/>
          </w:tcPr>
          <w:p>
            <w:pPr>
              <w:ind w:left="60"/>
              <w:spacing w:after="0"/>
              <w:rPr>
                <w:sz w:val="20"/>
                <w:szCs w:val="20"/>
                <w:color w:val="auto"/>
              </w:rPr>
            </w:pPr>
            <w:r>
              <w:rPr>
                <w:rFonts w:ascii="Arial" w:cs="Arial" w:eastAsia="Arial" w:hAnsi="Arial"/>
                <w:sz w:val="18"/>
                <w:szCs w:val="18"/>
                <w:color w:val="auto"/>
              </w:rPr>
              <w:t>Class A ordinary shares, par value $0.0001 per share</w:t>
            </w:r>
          </w:p>
        </w:tc>
        <w:tc>
          <w:tcPr>
            <w:tcW w:w="22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SSPK</w:t>
            </w:r>
          </w:p>
        </w:tc>
        <w:tc>
          <w:tcPr>
            <w:tcW w:w="2880" w:type="dxa"/>
            <w:vAlign w:val="bottom"/>
            <w:gridSpan w:val="5"/>
          </w:tcPr>
          <w:p>
            <w:pPr>
              <w:jc w:val="center"/>
              <w:ind w:left="310"/>
              <w:spacing w:after="0"/>
              <w:rPr>
                <w:sz w:val="20"/>
                <w:szCs w:val="20"/>
                <w:color w:val="auto"/>
              </w:rPr>
            </w:pPr>
            <w:r>
              <w:rPr>
                <w:rFonts w:ascii="Arial" w:cs="Arial" w:eastAsia="Arial" w:hAnsi="Arial"/>
                <w:sz w:val="18"/>
                <w:szCs w:val="18"/>
                <w:color w:val="auto"/>
                <w:w w:val="95"/>
              </w:rPr>
              <w:t>The NASDAQ Stock Market LLC</w:t>
            </w:r>
          </w:p>
        </w:tc>
      </w:tr>
      <w:tr>
        <w:trPr>
          <w:trHeight w:val="337"/>
        </w:trPr>
        <w:tc>
          <w:tcPr>
            <w:tcW w:w="6000" w:type="dxa"/>
            <w:vAlign w:val="bottom"/>
            <w:gridSpan w:val="3"/>
          </w:tcPr>
          <w:p>
            <w:pPr>
              <w:ind w:left="40"/>
              <w:spacing w:after="0"/>
              <w:rPr>
                <w:sz w:val="20"/>
                <w:szCs w:val="20"/>
                <w:color w:val="auto"/>
              </w:rPr>
            </w:pPr>
            <w:r>
              <w:rPr>
                <w:rFonts w:ascii="Arial" w:cs="Arial" w:eastAsia="Arial" w:hAnsi="Arial"/>
                <w:sz w:val="18"/>
                <w:szCs w:val="18"/>
                <w:color w:val="auto"/>
                <w:w w:val="93"/>
              </w:rPr>
              <w:t>Redeemable warrants, each whole warrant exercisable for one Class A ordinary</w:t>
            </w:r>
          </w:p>
        </w:tc>
        <w:tc>
          <w:tcPr>
            <w:tcW w:w="22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SSPKW</w:t>
            </w:r>
          </w:p>
        </w:tc>
        <w:tc>
          <w:tcPr>
            <w:tcW w:w="2880" w:type="dxa"/>
            <w:vAlign w:val="bottom"/>
            <w:gridSpan w:val="5"/>
          </w:tcPr>
          <w:p>
            <w:pPr>
              <w:jc w:val="center"/>
              <w:ind w:left="310"/>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6000" w:type="dxa"/>
            <w:vAlign w:val="bottom"/>
            <w:gridSpan w:val="3"/>
          </w:tcPr>
          <w:p>
            <w:pPr>
              <w:ind w:left="220"/>
              <w:spacing w:after="0"/>
              <w:rPr>
                <w:sz w:val="20"/>
                <w:szCs w:val="20"/>
                <w:color w:val="auto"/>
              </w:rPr>
            </w:pPr>
            <w:r>
              <w:rPr>
                <w:rFonts w:ascii="Arial" w:cs="Arial" w:eastAsia="Arial" w:hAnsi="Arial"/>
                <w:sz w:val="18"/>
                <w:szCs w:val="18"/>
                <w:color w:val="auto"/>
              </w:rPr>
              <w:t>share at an exercise price of $11.50</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Units, each consisting of one Class A ordinary share and one-half of one</w:t>
            </w:r>
          </w:p>
        </w:tc>
        <w:tc>
          <w:tcPr>
            <w:tcW w:w="22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SSPKU</w:t>
            </w:r>
          </w:p>
        </w:tc>
        <w:tc>
          <w:tcPr>
            <w:tcW w:w="2880" w:type="dxa"/>
            <w:vAlign w:val="bottom"/>
            <w:gridSpan w:val="5"/>
          </w:tcPr>
          <w:p>
            <w:pPr>
              <w:jc w:val="center"/>
              <w:ind w:left="310"/>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6000" w:type="dxa"/>
            <w:vAlign w:val="bottom"/>
            <w:gridSpan w:val="3"/>
          </w:tcPr>
          <w:p>
            <w:pPr>
              <w:ind w:left="220"/>
              <w:spacing w:after="0"/>
              <w:rPr>
                <w:sz w:val="20"/>
                <w:szCs w:val="20"/>
                <w:color w:val="auto"/>
              </w:rPr>
            </w:pPr>
            <w:r>
              <w:rPr>
                <w:rFonts w:ascii="Arial" w:cs="Arial" w:eastAsia="Arial" w:hAnsi="Arial"/>
                <w:sz w:val="18"/>
                <w:szCs w:val="18"/>
                <w:color w:val="auto"/>
              </w:rPr>
              <w:t>redeemable warrant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6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8"/>
          <w:szCs w:val="18"/>
          <w:color w:val="auto"/>
          <w:highlight w:val="yellow"/>
        </w:rPr>
        <w:t>X</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As previously disclosed, on December 10, 2020, Silver Spike Acquisition Corp., a Cayman Islands exempted company (including the successor after the Domestication (as defined below), “</w:t>
      </w:r>
      <w:r>
        <w:rPr>
          <w:rFonts w:ascii="Arial" w:cs="Arial" w:eastAsia="Arial" w:hAnsi="Arial"/>
          <w:sz w:val="18"/>
          <w:szCs w:val="18"/>
          <w:b w:val="1"/>
          <w:bCs w:val="1"/>
          <w:color w:val="auto"/>
        </w:rPr>
        <w:t>Silver Spike</w:t>
      </w:r>
      <w:r>
        <w:rPr>
          <w:rFonts w:ascii="Arial" w:cs="Arial" w:eastAsia="Arial" w:hAnsi="Arial"/>
          <w:sz w:val="18"/>
          <w:szCs w:val="18"/>
          <w:color w:val="auto"/>
        </w:rPr>
        <w:t>”),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with Silver Spike Merger Sub LLC, a Delaware limited liability company and wholly owned subsidiary of Silver Spike (“</w:t>
      </w:r>
      <w:r>
        <w:rPr>
          <w:rFonts w:ascii="Arial" w:cs="Arial" w:eastAsia="Arial" w:hAnsi="Arial"/>
          <w:sz w:val="18"/>
          <w:szCs w:val="18"/>
          <w:b w:val="1"/>
          <w:bCs w:val="1"/>
          <w:color w:val="auto"/>
        </w:rPr>
        <w:t>Merger Sub</w:t>
      </w:r>
      <w:r>
        <w:rPr>
          <w:rFonts w:ascii="Arial" w:cs="Arial" w:eastAsia="Arial" w:hAnsi="Arial"/>
          <w:sz w:val="18"/>
          <w:szCs w:val="18"/>
          <w:color w:val="auto"/>
        </w:rPr>
        <w:t>”), WM Holding Company, LLC, a Delaware limited liability company (“</w:t>
      </w:r>
      <w:r>
        <w:rPr>
          <w:rFonts w:ascii="Arial" w:cs="Arial" w:eastAsia="Arial" w:hAnsi="Arial"/>
          <w:sz w:val="18"/>
          <w:szCs w:val="18"/>
          <w:b w:val="1"/>
          <w:bCs w:val="1"/>
          <w:color w:val="auto"/>
        </w:rPr>
        <w:t>WMH</w:t>
      </w:r>
      <w:r>
        <w:rPr>
          <w:rFonts w:ascii="Arial" w:cs="Arial" w:eastAsia="Arial" w:hAnsi="Arial"/>
          <w:sz w:val="18"/>
          <w:szCs w:val="18"/>
          <w:color w:val="auto"/>
        </w:rPr>
        <w:t>”), and Ghost Media Group, LLC, a Nevada limited liability company, solely in its capacity as the securityholder representative thereunder (the “</w:t>
      </w:r>
      <w:r>
        <w:rPr>
          <w:rFonts w:ascii="Arial" w:cs="Arial" w:eastAsia="Arial" w:hAnsi="Arial"/>
          <w:sz w:val="18"/>
          <w:szCs w:val="18"/>
          <w:b w:val="1"/>
          <w:bCs w:val="1"/>
          <w:color w:val="auto"/>
        </w:rPr>
        <w:t>Holder Representative</w:t>
      </w:r>
      <w:r>
        <w:rPr>
          <w:rFonts w:ascii="Arial" w:cs="Arial" w:eastAsia="Arial" w:hAnsi="Arial"/>
          <w:sz w:val="18"/>
          <w:szCs w:val="18"/>
          <w:color w:val="auto"/>
        </w:rPr>
        <w:t>”). Pursuant to the Merger Agreement, (i) Silver Spike will domesticate from a Cayman Islands exempted company to a Delaware corporation (the “</w:t>
      </w:r>
      <w:r>
        <w:rPr>
          <w:rFonts w:ascii="Arial" w:cs="Arial" w:eastAsia="Arial" w:hAnsi="Arial"/>
          <w:sz w:val="18"/>
          <w:szCs w:val="18"/>
          <w:b w:val="1"/>
          <w:bCs w:val="1"/>
          <w:color w:val="auto"/>
        </w:rPr>
        <w:t>Domestication</w:t>
      </w:r>
      <w:r>
        <w:rPr>
          <w:rFonts w:ascii="Arial" w:cs="Arial" w:eastAsia="Arial" w:hAnsi="Arial"/>
          <w:sz w:val="18"/>
          <w:szCs w:val="18"/>
          <w:color w:val="auto"/>
        </w:rPr>
        <w:t>”) and (ii) Merger Sub will merge with and into WMH with WMH continuing as the surviving entity and a subsidiary of Silver Spike (the “</w:t>
      </w:r>
      <w:r>
        <w:rPr>
          <w:rFonts w:ascii="Arial" w:cs="Arial" w:eastAsia="Arial" w:hAnsi="Arial"/>
          <w:sz w:val="18"/>
          <w:szCs w:val="18"/>
          <w:b w:val="1"/>
          <w:bCs w:val="1"/>
          <w:color w:val="auto"/>
        </w:rPr>
        <w:t>Merger</w:t>
      </w:r>
      <w:r>
        <w:rPr>
          <w:rFonts w:ascii="Arial" w:cs="Arial" w:eastAsia="Arial" w:hAnsi="Arial"/>
          <w:sz w:val="18"/>
          <w:szCs w:val="18"/>
          <w:color w:val="auto"/>
        </w:rPr>
        <w:t>” and together with the Domestication and the other transactions contemplated by the Merger Agreement, the “</w:t>
      </w:r>
      <w:r>
        <w:rPr>
          <w:rFonts w:ascii="Arial" w:cs="Arial" w:eastAsia="Arial" w:hAnsi="Arial"/>
          <w:sz w:val="18"/>
          <w:szCs w:val="18"/>
          <w:b w:val="1"/>
          <w:bCs w:val="1"/>
          <w:color w:val="auto"/>
        </w:rPr>
        <w:t>Business Combination</w:t>
      </w:r>
      <w:r>
        <w:rPr>
          <w:rFonts w:ascii="Arial" w:cs="Arial" w:eastAsia="Arial" w:hAnsi="Arial"/>
          <w:sz w:val="18"/>
          <w:szCs w:val="18"/>
          <w:color w:val="auto"/>
        </w:rPr>
        <w:t>”). We refer to Silver Spike following the Business Combination as “</w:t>
      </w:r>
      <w:r>
        <w:rPr>
          <w:rFonts w:ascii="Arial" w:cs="Arial" w:eastAsia="Arial" w:hAnsi="Arial"/>
          <w:sz w:val="18"/>
          <w:szCs w:val="18"/>
          <w:b w:val="1"/>
          <w:bCs w:val="1"/>
          <w:color w:val="auto"/>
        </w:rPr>
        <w:t>Surviving</w:t>
      </w:r>
      <w:r>
        <w:rPr>
          <w:rFonts w:ascii="Arial" w:cs="Arial" w:eastAsia="Arial" w:hAnsi="Arial"/>
          <w:sz w:val="18"/>
          <w:szCs w:val="18"/>
          <w:color w:val="auto"/>
        </w:rPr>
        <w:t xml:space="preserve"> </w:t>
      </w:r>
      <w:r>
        <w:rPr>
          <w:rFonts w:ascii="Arial" w:cs="Arial" w:eastAsia="Arial" w:hAnsi="Arial"/>
          <w:sz w:val="18"/>
          <w:szCs w:val="18"/>
          <w:b w:val="1"/>
          <w:bCs w:val="1"/>
          <w:color w:val="auto"/>
        </w:rPr>
        <w:t>Pubco</w:t>
      </w:r>
      <w:r>
        <w:rPr>
          <w:rFonts w:ascii="Arial" w:cs="Arial" w:eastAsia="Arial" w:hAnsi="Arial"/>
          <w:sz w:val="18"/>
          <w:szCs w:val="18"/>
          <w:color w:val="auto"/>
        </w:rPr>
        <w:t>.”</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Concurrently with the completion of the Merger, Surviving Pubco will enter into an exchange agreement with WMH and each holder of the limited liability company interests of WMH (such interests, the “</w:t>
      </w:r>
      <w:r>
        <w:rPr>
          <w:rFonts w:ascii="Arial" w:cs="Arial" w:eastAsia="Arial" w:hAnsi="Arial"/>
          <w:sz w:val="16"/>
          <w:szCs w:val="16"/>
          <w:b w:val="1"/>
          <w:bCs w:val="1"/>
          <w:color w:val="auto"/>
        </w:rPr>
        <w:t>WMH Equity Interests</w:t>
      </w:r>
      <w:r>
        <w:rPr>
          <w:rFonts w:ascii="Arial" w:cs="Arial" w:eastAsia="Arial" w:hAnsi="Arial"/>
          <w:sz w:val="16"/>
          <w:szCs w:val="16"/>
          <w:color w:val="auto"/>
        </w:rPr>
        <w:t>” and each such holder, the “</w:t>
      </w:r>
      <w:r>
        <w:rPr>
          <w:rFonts w:ascii="Arial" w:cs="Arial" w:eastAsia="Arial" w:hAnsi="Arial"/>
          <w:sz w:val="16"/>
          <w:szCs w:val="16"/>
          <w:b w:val="1"/>
          <w:bCs w:val="1"/>
          <w:color w:val="auto"/>
        </w:rPr>
        <w:t>WMH Equity Holder</w:t>
      </w:r>
      <w:r>
        <w:rPr>
          <w:rFonts w:ascii="Arial" w:cs="Arial" w:eastAsia="Arial" w:hAnsi="Arial"/>
          <w:sz w:val="16"/>
          <w:szCs w:val="16"/>
          <w:color w:val="auto"/>
        </w:rPr>
        <w:t>”) from time to time party thereto (the “</w:t>
      </w:r>
      <w:r>
        <w:rPr>
          <w:rFonts w:ascii="Arial" w:cs="Arial" w:eastAsia="Arial" w:hAnsi="Arial"/>
          <w:sz w:val="16"/>
          <w:szCs w:val="16"/>
          <w:b w:val="1"/>
          <w:bCs w:val="1"/>
          <w:color w:val="auto"/>
        </w:rPr>
        <w:t>Exchange Agreement Members</w:t>
      </w:r>
      <w:r>
        <w:rPr>
          <w:rFonts w:ascii="Arial" w:cs="Arial" w:eastAsia="Arial" w:hAnsi="Arial"/>
          <w:sz w:val="16"/>
          <w:szCs w:val="16"/>
          <w:color w:val="auto"/>
        </w:rPr>
        <w:t>,” and such agreement, the “</w:t>
      </w:r>
      <w:r>
        <w:rPr>
          <w:rFonts w:ascii="Arial" w:cs="Arial" w:eastAsia="Arial" w:hAnsi="Arial"/>
          <w:sz w:val="16"/>
          <w:szCs w:val="16"/>
          <w:b w:val="1"/>
          <w:bCs w:val="1"/>
          <w:color w:val="auto"/>
        </w:rPr>
        <w:t>Exchange Agreement</w:t>
      </w:r>
      <w:r>
        <w:rPr>
          <w:rFonts w:ascii="Arial" w:cs="Arial" w:eastAsia="Arial" w:hAnsi="Arial"/>
          <w:sz w:val="16"/>
          <w:szCs w:val="16"/>
          <w:color w:val="auto"/>
        </w:rPr>
        <w:t>”), which will provide for the exchange of Paired Interests or Class P Units (each as defined in the Exchange Agreement), for shares of Class A common stock, par value $0.0001 per share, of Surviving Pubco (“</w:t>
      </w:r>
      <w:r>
        <w:rPr>
          <w:rFonts w:ascii="Arial" w:cs="Arial" w:eastAsia="Arial" w:hAnsi="Arial"/>
          <w:sz w:val="16"/>
          <w:szCs w:val="16"/>
          <w:b w:val="1"/>
          <w:bCs w:val="1"/>
          <w:color w:val="auto"/>
        </w:rPr>
        <w:t>Class A common stock</w:t>
      </w:r>
      <w:r>
        <w:rPr>
          <w:rFonts w:ascii="Arial" w:cs="Arial" w:eastAsia="Arial" w:hAnsi="Arial"/>
          <w:sz w:val="16"/>
          <w:szCs w:val="16"/>
          <w:color w:val="auto"/>
        </w:rPr>
        <w:t>”). Pursuant to the Exchange Agreement and subject to the procedures and restrictions therein, from and after 180 days following the closing of the Business Combination (the “</w:t>
      </w:r>
      <w:r>
        <w:rPr>
          <w:rFonts w:ascii="Arial" w:cs="Arial" w:eastAsia="Arial" w:hAnsi="Arial"/>
          <w:sz w:val="16"/>
          <w:szCs w:val="16"/>
          <w:b w:val="1"/>
          <w:bCs w:val="1"/>
          <w:color w:val="auto"/>
        </w:rPr>
        <w:t>Closing</w:t>
      </w:r>
      <w:r>
        <w:rPr>
          <w:rFonts w:ascii="Arial" w:cs="Arial" w:eastAsia="Arial" w:hAnsi="Arial"/>
          <w:sz w:val="16"/>
          <w:szCs w:val="16"/>
          <w:color w:val="auto"/>
        </w:rPr>
        <w:t>”), each Exchange Agreement Member will be entitled to surrender Paired Interests or Class P Units (if vested) to WMH in exchange for shares of Class A common stock of Surviving Pubco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by delivering notice to WMH; </w:t>
      </w:r>
      <w:r>
        <w:rPr>
          <w:rFonts w:ascii="Arial" w:cs="Arial" w:eastAsia="Arial" w:hAnsi="Arial"/>
          <w:sz w:val="16"/>
          <w:szCs w:val="16"/>
          <w:i w:val="1"/>
          <w:iCs w:val="1"/>
          <w:color w:val="auto"/>
        </w:rPr>
        <w:t>provided</w:t>
      </w:r>
      <w:r>
        <w:rPr>
          <w:rFonts w:ascii="Arial" w:cs="Arial" w:eastAsia="Arial" w:hAnsi="Arial"/>
          <w:sz w:val="16"/>
          <w:szCs w:val="16"/>
          <w:color w:val="auto"/>
        </w:rPr>
        <w:t>, that Surviving Pubco, at its sole election, may instead settle all or a portion of the Exchange in cash based on a volume weighted average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and may also elect to settle any Exchange directly between the exchanging WMH Equity Holder and the Surviving Pubco.</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description of the Exchange Agreement does not purport to be complete and is qualified in its entirety by the terms and conditions of the Exchange Agreement, a copy of which is filed as Exhibit 10.1 hereto and is incorporated herein by reference.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and Support Agreements</w:t>
      </w:r>
    </w:p>
    <w:p>
      <w:pPr>
        <w:spacing w:after="0" w:line="221" w:lineRule="exact"/>
        <w:rPr>
          <w:sz w:val="20"/>
          <w:szCs w:val="20"/>
          <w:color w:val="auto"/>
        </w:rPr>
      </w:pPr>
    </w:p>
    <w:p>
      <w:pPr>
        <w:ind w:right="580" w:firstLine="324"/>
        <w:spacing w:after="0" w:line="312" w:lineRule="auto"/>
        <w:rPr>
          <w:sz w:val="20"/>
          <w:szCs w:val="20"/>
          <w:color w:val="auto"/>
        </w:rPr>
      </w:pPr>
      <w:r>
        <w:rPr>
          <w:rFonts w:ascii="Arial" w:cs="Arial" w:eastAsia="Arial" w:hAnsi="Arial"/>
          <w:sz w:val="17"/>
          <w:szCs w:val="17"/>
          <w:color w:val="auto"/>
        </w:rPr>
        <w:t>Concurrently with the execution of the Merger Agreement, certain WMH Equity Holders (the “</w:t>
      </w:r>
      <w:r>
        <w:rPr>
          <w:rFonts w:ascii="Arial" w:cs="Arial" w:eastAsia="Arial" w:hAnsi="Arial"/>
          <w:sz w:val="17"/>
          <w:szCs w:val="17"/>
          <w:b w:val="1"/>
          <w:bCs w:val="1"/>
          <w:color w:val="auto"/>
        </w:rPr>
        <w:t>WMH Voting Members</w:t>
      </w:r>
      <w:r>
        <w:rPr>
          <w:rFonts w:ascii="Arial" w:cs="Arial" w:eastAsia="Arial" w:hAnsi="Arial"/>
          <w:sz w:val="17"/>
          <w:szCs w:val="17"/>
          <w:color w:val="auto"/>
        </w:rPr>
        <w:t>”) entered into support agreements (collectively, the “</w:t>
      </w:r>
      <w:r>
        <w:rPr>
          <w:rFonts w:ascii="Arial" w:cs="Arial" w:eastAsia="Arial" w:hAnsi="Arial"/>
          <w:sz w:val="17"/>
          <w:szCs w:val="17"/>
          <w:b w:val="1"/>
          <w:bCs w:val="1"/>
          <w:color w:val="auto"/>
        </w:rPr>
        <w:t>Voting and Support Agreements</w:t>
      </w:r>
      <w:r>
        <w:rPr>
          <w:rFonts w:ascii="Arial" w:cs="Arial" w:eastAsia="Arial" w:hAnsi="Arial"/>
          <w:sz w:val="17"/>
          <w:szCs w:val="17"/>
          <w:color w:val="auto"/>
        </w:rPr>
        <w:t>”) in favor of Silver Spike and WMH and their respective successors.</w:t>
      </w:r>
    </w:p>
    <w:p>
      <w:pPr>
        <w:spacing w:after="0" w:line="14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the Voting and Support Agreements, the WMH Voting Members agreed to vote all of their WMH Equity Interests in favor of the Merger Agreement and related transactions and to take certain other actions in support of the Merger Agreement and related transactions. The Voting and Support Agreements also prevent the WMH Voting Members from transferring their voting rights with respect to their WMH Equity Interests or otherwise transferring their WMH Equity Interests prior to the meeting of WMH’s members to approve the Merger Agreement and related transactions, except for certain customary permitted transfers. The WMH Voting Members also each agreed, with certain exceptions, to a lock-up for a period of 180 days after the Closing with respect to any securities of Surviving Pubco or WMH that they receive as Merger Consideration under the Merger Agreement.</w:t>
      </w:r>
    </w:p>
    <w:p>
      <w:pPr>
        <w:spacing w:after="0" w:line="164"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foregoing description of the Voting and Support Agreements does not purport to be complete and is qualified in its entirety by the terms and conditions of the Voting and Support Agreements, the form of which, is filed as Exhibit 10.2 hereto and is incorporated herein by reference.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22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Concurrently with the execution of the Merger Agreement, Silver Spike Sponsor, LLC (the “</w:t>
      </w:r>
      <w:r>
        <w:rPr>
          <w:rFonts w:ascii="Arial" w:cs="Arial" w:eastAsia="Arial" w:hAnsi="Arial"/>
          <w:sz w:val="18"/>
          <w:szCs w:val="18"/>
          <w:b w:val="1"/>
          <w:bCs w:val="1"/>
          <w:color w:val="auto"/>
        </w:rPr>
        <w:t>Sponsor</w:t>
      </w:r>
      <w:r>
        <w:rPr>
          <w:rFonts w:ascii="Arial" w:cs="Arial" w:eastAsia="Arial" w:hAnsi="Arial"/>
          <w:sz w:val="18"/>
          <w:szCs w:val="18"/>
          <w:color w:val="auto"/>
        </w:rPr>
        <w:t>”) entered into a letter agreement (the “</w:t>
      </w:r>
      <w:r>
        <w:rPr>
          <w:rFonts w:ascii="Arial" w:cs="Arial" w:eastAsia="Arial" w:hAnsi="Arial"/>
          <w:sz w:val="18"/>
          <w:szCs w:val="18"/>
          <w:b w:val="1"/>
          <w:bCs w:val="1"/>
          <w:color w:val="auto"/>
        </w:rPr>
        <w:t>Sponsor</w:t>
      </w:r>
      <w:r>
        <w:rPr>
          <w:rFonts w:ascii="Arial" w:cs="Arial" w:eastAsia="Arial" w:hAnsi="Arial"/>
          <w:sz w:val="18"/>
          <w:szCs w:val="18"/>
          <w:color w:val="auto"/>
        </w:rPr>
        <w:t xml:space="preserve"> </w:t>
      </w:r>
      <w:r>
        <w:rPr>
          <w:rFonts w:ascii="Arial" w:cs="Arial" w:eastAsia="Arial" w:hAnsi="Arial"/>
          <w:sz w:val="18"/>
          <w:szCs w:val="18"/>
          <w:b w:val="1"/>
          <w:bCs w:val="1"/>
          <w:color w:val="auto"/>
        </w:rPr>
        <w:t>Letter Agreement</w:t>
      </w:r>
      <w:r>
        <w:rPr>
          <w:rFonts w:ascii="Arial" w:cs="Arial" w:eastAsia="Arial" w:hAnsi="Arial"/>
          <w:sz w:val="18"/>
          <w:szCs w:val="18"/>
          <w:color w:val="auto"/>
        </w:rPr>
        <w:t>”) with Silver Spike and WMH pursuant to</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ind w:firstLine="324"/>
        <w:spacing w:after="0" w:line="287" w:lineRule="auto"/>
        <w:rPr>
          <w:sz w:val="20"/>
          <w:szCs w:val="20"/>
          <w:color w:val="auto"/>
        </w:rPr>
      </w:pPr>
      <w:r>
        <w:rPr>
          <w:rFonts w:ascii="Arial" w:cs="Arial" w:eastAsia="Arial" w:hAnsi="Arial"/>
          <w:sz w:val="16"/>
          <w:szCs w:val="16"/>
          <w:color w:val="auto"/>
        </w:rPr>
        <w:t>which the Sponsor agreed to vote all of its Class B ordinary shares, par value $0.0001 per share, of Silver Spike (along with the Class A common stock of Surviving Pubco into which such shares are converted as a result of the Domestication and the consummation of the transactions contemplated by the Merger Agreement, the “</w:t>
      </w:r>
      <w:r>
        <w:rPr>
          <w:rFonts w:ascii="Arial" w:cs="Arial" w:eastAsia="Arial" w:hAnsi="Arial"/>
          <w:sz w:val="16"/>
          <w:szCs w:val="16"/>
          <w:b w:val="1"/>
          <w:bCs w:val="1"/>
          <w:color w:val="auto"/>
        </w:rPr>
        <w:t>Sponsor Shares</w:t>
      </w:r>
      <w:r>
        <w:rPr>
          <w:rFonts w:ascii="Arial" w:cs="Arial" w:eastAsia="Arial" w:hAnsi="Arial"/>
          <w:sz w:val="16"/>
          <w:szCs w:val="16"/>
          <w:color w:val="auto"/>
        </w:rPr>
        <w:t>”) in favor of the Business Combination and related transactions and to take certain other actions in support of the Merger Agreement and related transactions. The Sponsor also agreed that, in the event that the sum of (i) the amount of cash available to be released from the trust account of Silver Spike (after giving effect to all payments made as a result of the completion of all Silver Spike share redemptions) and (ii) the net amount of proceeds actually received by Silver Spike pursuant to the Equity Financing (as defined in the Merger Agreement) (the “</w:t>
      </w:r>
      <w:r>
        <w:rPr>
          <w:rFonts w:ascii="Arial" w:cs="Arial" w:eastAsia="Arial" w:hAnsi="Arial"/>
          <w:sz w:val="16"/>
          <w:szCs w:val="16"/>
          <w:b w:val="1"/>
          <w:bCs w:val="1"/>
          <w:color w:val="auto"/>
        </w:rPr>
        <w:t>Cash Proceeds</w:t>
      </w:r>
      <w:r>
        <w:rPr>
          <w:rFonts w:ascii="Arial" w:cs="Arial" w:eastAsia="Arial" w:hAnsi="Arial"/>
          <w:sz w:val="16"/>
          <w:szCs w:val="16"/>
          <w:color w:val="auto"/>
        </w:rPr>
        <w:t>”) is less than $350,000,000, then 15% of the Sponsor Shares will be deemed to be “</w:t>
      </w:r>
      <w:r>
        <w:rPr>
          <w:rFonts w:ascii="Arial" w:cs="Arial" w:eastAsia="Arial" w:hAnsi="Arial"/>
          <w:sz w:val="16"/>
          <w:szCs w:val="16"/>
          <w:b w:val="1"/>
          <w:bCs w:val="1"/>
          <w:color w:val="auto"/>
        </w:rPr>
        <w:t>Deferred Sponsor Shares</w:t>
      </w:r>
      <w:r>
        <w:rPr>
          <w:rFonts w:ascii="Arial" w:cs="Arial" w:eastAsia="Arial" w:hAnsi="Arial"/>
          <w:sz w:val="16"/>
          <w:szCs w:val="16"/>
          <w:color w:val="auto"/>
        </w:rPr>
        <w:t>,” and a corresponding number of Surviving Company Membership Units (as defined in the Merger Agreement) held by Surviving Pubco will be deemed to be “</w:t>
      </w:r>
      <w:r>
        <w:rPr>
          <w:rFonts w:ascii="Arial" w:cs="Arial" w:eastAsia="Arial" w:hAnsi="Arial"/>
          <w:sz w:val="16"/>
          <w:szCs w:val="16"/>
          <w:b w:val="1"/>
          <w:bCs w:val="1"/>
          <w:color w:val="auto"/>
        </w:rPr>
        <w:t>Deferred Company Units</w:t>
      </w:r>
      <w:r>
        <w:rPr>
          <w:rFonts w:ascii="Arial" w:cs="Arial" w:eastAsia="Arial" w:hAnsi="Arial"/>
          <w:sz w:val="16"/>
          <w:szCs w:val="16"/>
          <w:color w:val="auto"/>
        </w:rPr>
        <w:t>.” The Sponsor agreed that it will not transfer and, subject to the achievement of certain milestones, may be required to forfeit, any such Deferred Sponsor Shares (in which case a corresponding number of Deferred Company Units will be forfeited), subject to the terms of the Sponsor Letter Agreement. The Sponsor also waived certain anti-dilution protection to which it would otherwise be entitled in connection with the Equity Financing.</w:t>
      </w:r>
    </w:p>
    <w:p>
      <w:pPr>
        <w:spacing w:after="0" w:line="17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foregoing description of the Sponsor Letter Agreement does not purport to be complete and is qualified in its entirety by the terms and conditions of the Sponsor Letter Agreement, a copy of which is filed as Exhibit 10.3 hereto and is incorporated herein by reference.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2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Currently, the Sponsor has the benefit of registration rights with respect to Silver Spike securities that it holds pursuant to a registration rights agreement entered into in connection with its initial public offering.</w:t>
      </w:r>
    </w:p>
    <w:p>
      <w:pPr>
        <w:spacing w:after="0" w:line="166" w:lineRule="exact"/>
        <w:rPr>
          <w:sz w:val="20"/>
          <w:szCs w:val="20"/>
          <w:color w:val="auto"/>
        </w:rPr>
      </w:pPr>
    </w:p>
    <w:p>
      <w:pPr>
        <w:ind w:right="80" w:firstLine="324"/>
        <w:spacing w:after="0" w:line="292" w:lineRule="auto"/>
        <w:rPr>
          <w:sz w:val="20"/>
          <w:szCs w:val="20"/>
          <w:color w:val="auto"/>
        </w:rPr>
      </w:pPr>
      <w:r>
        <w:rPr>
          <w:rFonts w:ascii="Arial" w:cs="Arial" w:eastAsia="Arial" w:hAnsi="Arial"/>
          <w:sz w:val="16"/>
          <w:szCs w:val="16"/>
          <w:color w:val="auto"/>
        </w:rPr>
        <w:t>In connection with the Closing, the Sponsor and certain investors that currently hold WMH Equity Interests (the “</w:t>
      </w:r>
      <w:r>
        <w:rPr>
          <w:rFonts w:ascii="Arial" w:cs="Arial" w:eastAsia="Arial" w:hAnsi="Arial"/>
          <w:sz w:val="16"/>
          <w:szCs w:val="16"/>
          <w:b w:val="1"/>
          <w:bCs w:val="1"/>
          <w:color w:val="auto"/>
        </w:rPr>
        <w:t>Other Investors</w:t>
      </w:r>
      <w:r>
        <w:rPr>
          <w:rFonts w:ascii="Arial" w:cs="Arial" w:eastAsia="Arial" w:hAnsi="Arial"/>
          <w:sz w:val="16"/>
          <w:szCs w:val="16"/>
          <w:color w:val="auto"/>
        </w:rPr>
        <w:t>”) will enter into an amended and restated registration rights agreement (the “</w:t>
      </w:r>
      <w:r>
        <w:rPr>
          <w:rFonts w:ascii="Arial" w:cs="Arial" w:eastAsia="Arial" w:hAnsi="Arial"/>
          <w:sz w:val="16"/>
          <w:szCs w:val="16"/>
          <w:b w:val="1"/>
          <w:bCs w:val="1"/>
          <w:color w:val="auto"/>
        </w:rPr>
        <w:t>Amended and Restated Registration Rights Agreement</w:t>
      </w:r>
      <w:r>
        <w:rPr>
          <w:rFonts w:ascii="Arial" w:cs="Arial" w:eastAsia="Arial" w:hAnsi="Arial"/>
          <w:sz w:val="16"/>
          <w:szCs w:val="16"/>
          <w:color w:val="auto"/>
        </w:rPr>
        <w:t>”). As a result, the Sponsor and the Other Investors will be able to make a written demand for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all or a portion of their registrable securities, subject to a maximum of three such demand registrations for the Sponsor and three such demand registrations for the Other Investors, in each case so long as such demand includes a number of registrable securities with a total offering price in excess of $10.0 million. Any such demand may be in the form of an underwritten offering, it being understood that Silver Spike will not be able to conduct more than two underwritten offerings where the expected aggregate proceeds are less than $25.0 million but in excess of $10.0 million in any 12-month period.</w:t>
      </w:r>
    </w:p>
    <w:p>
      <w:pPr>
        <w:spacing w:after="0" w:line="16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the holders of registrable securities will have “piggy-back” registration rights to include their securities in other registration statements filed by Silver Spike subsequent to the consummation of the Business Combination.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Silver Spike has also agreed to file within 45 days of the Closing a resale shelf registration statement covering the resale of all registrable securities.</w:t>
      </w:r>
    </w:p>
    <w:p>
      <w:pPr>
        <w:spacing w:after="0" w:line="24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foregoing description of the Amended and Restated Registration Rights Agreement does not purport to be complete and is qualified in its entirety by the terms and conditions of the Amended and Restated Registration Rights Agreement, a copy of which is filed as Exhibit 10.4 hereto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jc w:val="both"/>
        <w:spacing w:after="0" w:line="284" w:lineRule="auto"/>
        <w:rPr>
          <w:sz w:val="20"/>
          <w:szCs w:val="20"/>
          <w:color w:val="auto"/>
        </w:rPr>
      </w:pPr>
      <w:r>
        <w:rPr>
          <w:rFonts w:ascii="Arial" w:cs="Arial" w:eastAsia="Arial" w:hAnsi="Arial"/>
          <w:sz w:val="16"/>
          <w:szCs w:val="16"/>
          <w:color w:val="auto"/>
        </w:rPr>
        <w:t>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will mail a definitive Extension Proxy Statement to its shareholders as of the record date established for voting on the proposed extension. Silver Spike filed with the SEC a preliminary proxy statement, dated December 10, 2020 (the “Extension Proxy Statement”).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the preliminary Extension Proxy Statement and, once available, the definitive Extension Proxy Statement, the preliminary proxy statement / prospectus and any amendments thereto and the</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preliminary or definitive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they become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99"/>
        </w:trPr>
        <w:tc>
          <w:tcPr>
            <w:tcW w:w="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4"/>
                <w:szCs w:val="24"/>
                <w:color w:val="auto"/>
              </w:rPr>
            </w:pPr>
          </w:p>
        </w:tc>
        <w:tc>
          <w:tcPr>
            <w:tcW w:w="9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4"/>
                <w:szCs w:val="24"/>
                <w:color w:val="auto"/>
              </w:rPr>
            </w:pPr>
          </w:p>
        </w:tc>
      </w:tr>
      <w:tr>
        <w:trPr>
          <w:trHeight w:val="345"/>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Form of Exchange Agreement by and among Surviving Pubco, WMH and the other parties thereto.</w:t>
            </w:r>
          </w:p>
        </w:tc>
        <w:tc>
          <w:tcPr>
            <w:tcW w:w="60" w:type="dxa"/>
            <w:vAlign w:val="bottom"/>
          </w:tcPr>
          <w:p>
            <w:pPr>
              <w:spacing w:after="0"/>
              <w:rPr>
                <w:sz w:val="24"/>
                <w:szCs w:val="24"/>
                <w:color w:val="auto"/>
              </w:rPr>
            </w:pPr>
          </w:p>
        </w:tc>
      </w:tr>
      <w:tr>
        <w:trPr>
          <w:trHeight w:val="351"/>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Form of Voting and Support Agreement, dated December 10, 2020.</w:t>
            </w:r>
          </w:p>
        </w:tc>
        <w:tc>
          <w:tcPr>
            <w:tcW w:w="60" w:type="dxa"/>
            <w:vAlign w:val="bottom"/>
          </w:tcPr>
          <w:p>
            <w:pPr>
              <w:spacing w:after="0"/>
              <w:rPr>
                <w:sz w:val="24"/>
                <w:szCs w:val="24"/>
                <w:color w:val="auto"/>
              </w:rPr>
            </w:pPr>
          </w:p>
        </w:tc>
      </w:tr>
      <w:tr>
        <w:trPr>
          <w:trHeight w:val="351"/>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Sponsor Letter Agreement, dated December 10, 2020, by and among Silver Spike, Merger Sub and WMH.</w:t>
            </w:r>
          </w:p>
        </w:tc>
        <w:tc>
          <w:tcPr>
            <w:tcW w:w="60" w:type="dxa"/>
            <w:vAlign w:val="bottom"/>
          </w:tcPr>
          <w:p>
            <w:pPr>
              <w:spacing w:after="0"/>
              <w:rPr>
                <w:sz w:val="24"/>
                <w:szCs w:val="24"/>
                <w:color w:val="auto"/>
              </w:rPr>
            </w:pPr>
          </w:p>
        </w:tc>
      </w:tr>
      <w:tr>
        <w:trPr>
          <w:trHeight w:val="351"/>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w w:val="92"/>
              </w:rPr>
              <w:t>Form of Amended and Restated Registration Rights Agreement by and among Silver Spike, Sponsor and the other parties thereto.</w:t>
            </w:r>
          </w:p>
        </w:tc>
        <w:tc>
          <w:tcPr>
            <w:tcW w:w="60" w:type="dxa"/>
            <w:vAlign w:val="bottom"/>
          </w:tcPr>
          <w:p>
            <w:pPr>
              <w:spacing w:after="0"/>
              <w:rPr>
                <w:sz w:val="24"/>
                <w:szCs w:val="24"/>
                <w:color w:val="auto"/>
              </w:rPr>
            </w:pPr>
          </w:p>
        </w:tc>
      </w:tr>
      <w:tr>
        <w:trPr>
          <w:trHeight w:val="81"/>
        </w:trPr>
        <w:tc>
          <w:tcPr>
            <w:tcW w:w="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gridSpan w:val="2"/>
          </w:tcPr>
          <w:p>
            <w:pPr>
              <w:spacing w:after="0"/>
              <w:rPr>
                <w:sz w:val="7"/>
                <w:szCs w:val="7"/>
                <w:color w:val="auto"/>
              </w:rPr>
            </w:pPr>
          </w:p>
        </w:tc>
        <w:tc>
          <w:tcPr>
            <w:tcW w:w="70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568"/>
        </w:trPr>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gridSpan w:val="3"/>
          </w:tcPr>
          <w:p>
            <w:pPr>
              <w:jc w:val="right"/>
              <w:ind w:right="5480"/>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2020</w:t>
      </w:r>
    </w:p>
    <w:p>
      <w:pPr>
        <w:spacing w:after="0" w:line="22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EXCHANGE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2021, among [</w:t>
      </w:r>
      <w:r>
        <w:rPr>
          <w:rFonts w:ascii="Arial" w:cs="Arial" w:eastAsia="Arial" w:hAnsi="Arial"/>
          <w:sz w:val="18"/>
          <w:szCs w:val="18"/>
          <w:i w:val="1"/>
          <w:iCs w:val="1"/>
          <w:color w:val="auto"/>
        </w:rPr>
        <w:t>Pubco</w:t>
      </w:r>
      <w:r>
        <w:rPr>
          <w:rFonts w:ascii="Arial" w:cs="Arial" w:eastAsia="Arial" w:hAnsi="Arial"/>
          <w:sz w:val="18"/>
          <w:szCs w:val="18"/>
          <w:color w:val="auto"/>
        </w:rPr>
        <w:t>], a Delaware corporation, WM Holding Company, LLC, a Delaware limited liability company, and the holders from time to time party hereto, other than the Corporation (as defined herein), of LLC Units (as defined herein) from time to time party hereto.</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parties hereto desire to provide for the exchange of Paired Interests (as defined herein) or Class P Units (as defined herein), after their conversion to Class A Units, for shares of Class A Common Stock (as defined herein), on the terms and subject to the conditions set forth herein.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definitions shall be for all purposes, unless otherwise clearly indicated to the contrary, applied to the terms used in this Agreement.</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 FMV</w:t>
      </w:r>
      <w:r>
        <w:rPr>
          <w:rFonts w:ascii="Arial" w:cs="Arial" w:eastAsia="Arial" w:hAnsi="Arial"/>
          <w:sz w:val="18"/>
          <w:szCs w:val="18"/>
          <w:color w:val="auto"/>
        </w:rPr>
        <w:t>” means the fair market value of a share of Class A Common Stock as determined by an independent appraiser mutually agreed upon by the Corporation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OpCo.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has the meaning given to such term in the OpCo LLC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San Francisco, California or Wilmington, Delaware are authorized or required by Law to close.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Class A 5-Day VWAP</w:t>
      </w:r>
      <w:r>
        <w:rPr>
          <w:rFonts w:ascii="Arial" w:cs="Arial" w:eastAsia="Arial" w:hAnsi="Arial"/>
          <w:sz w:val="18"/>
          <w:szCs w:val="18"/>
          <w:color w:val="auto"/>
        </w:rPr>
        <w:t>” means the arithmetic average of the VWAP for each of the five (5) consecutive Trading Days ending on the Trading Day immediately prior to the Exchange Notice Date (in the case of an Unrestricted Exchange) or the Exchange Date (in the case of any other Exchange).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Payment</w:t>
      </w:r>
      <w:r>
        <w:rPr>
          <w:rFonts w:ascii="Arial" w:cs="Arial" w:eastAsia="Arial" w:hAnsi="Arial"/>
          <w:sz w:val="18"/>
          <w:szCs w:val="18"/>
          <w:color w:val="auto"/>
        </w:rPr>
        <w:t xml:space="preserve">” means with respect to a particular Exchange for which the Corporation has elected to make a Cash Exchange Payment in accordance with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63" w:lineRule="auto"/>
        <w:tabs>
          <w:tab w:leader="none" w:pos="1856"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shares of Class A Common Stock trade on a National Securities Exchange or automated or electronic quotation system, an amount of cash equal to the product of: (x) the number of shares of Class A Common Stock that would have been received by the Exchanging Member in the Exchange for that portion of the Exchanged Units subject to the Exchange set forth in the Cash Exchange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Notice if OpCo or the Corporation, as applicable, had paid the Stock Exchange Payment with respect to such number of Exchanged Units, and (y) the Cash Exchange Class A 5-Day VWAP; or</w:t>
      </w:r>
    </w:p>
    <w:p>
      <w:pPr>
        <w:spacing w:after="0" w:line="170" w:lineRule="exact"/>
        <w:rPr>
          <w:sz w:val="20"/>
          <w:szCs w:val="20"/>
          <w:color w:val="auto"/>
        </w:rPr>
      </w:pPr>
    </w:p>
    <w:p>
      <w:pPr>
        <w:jc w:val="both"/>
        <w:ind w:firstLine="1304"/>
        <w:spacing w:after="0" w:line="293" w:lineRule="auto"/>
        <w:tabs>
          <w:tab w:leader="none" w:pos="1887"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shares of Class A Common Stock are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Exchanged Units subject to the Exchange set forth in the Cash Exchange Notice if OpCo or the Corporation, as applicable, had paid the Stock Exchange Payment with respect to such number of Exchanged Units, and (y) 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has the meaning given to such term in the Tax Receivable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any event that constitutes both a Pubco Offer and a Change of Control of the Corporation shall be considered a Pubco Offer for purposes of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means the Class V common stock, par value $0.[●]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Unit</w:t>
      </w:r>
      <w:r>
        <w:rPr>
          <w:rFonts w:ascii="Arial" w:cs="Arial" w:eastAsia="Arial" w:hAnsi="Arial"/>
          <w:sz w:val="17"/>
          <w:szCs w:val="17"/>
          <w:color w:val="auto"/>
        </w:rPr>
        <w:t>” means each unit of limited liability interest in OpCo designated as a “Class A Unit” pursuant to the OpCo LLC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P Unit”</w:t>
      </w:r>
      <w:r>
        <w:rPr>
          <w:rFonts w:ascii="Arial" w:cs="Arial" w:eastAsia="Arial" w:hAnsi="Arial"/>
          <w:sz w:val="17"/>
          <w:szCs w:val="17"/>
          <w:color w:val="auto"/>
        </w:rPr>
        <w:t xml:space="preserve"> means each unit of limited liability interest in OpCo designated as a “Class P Unit” pursuant to the OpCo LLC Agreement.</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 Exchange Rate</w:t>
      </w:r>
      <w:r>
        <w:rPr>
          <w:rFonts w:ascii="Arial" w:cs="Arial" w:eastAsia="Arial" w:hAnsi="Arial"/>
          <w:sz w:val="18"/>
          <w:szCs w:val="18"/>
          <w:color w:val="auto"/>
        </w:rPr>
        <w:t>” means, with respect to any Class P Unit subject to an Exchange Notice, the quotient of (a) the difference between the Per Unit Equity Value on the Exchange Date and the Participation Threshold applicable to such Class P Unit, divided by (b) the Per Unit Equity Value on the Exchange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w:t>
      </w:r>
      <w:r>
        <w:rPr>
          <w:rFonts w:ascii="Arial" w:cs="Arial" w:eastAsia="Arial" w:hAnsi="Arial"/>
          <w:sz w:val="18"/>
          <w:szCs w:val="18"/>
          <w:i w:val="1"/>
          <w:iCs w:val="1"/>
          <w:color w:val="auto"/>
        </w:rPr>
        <w:t>Pubco</w:t>
      </w:r>
      <w:r>
        <w:rPr>
          <w:rFonts w:ascii="Arial" w:cs="Arial" w:eastAsia="Arial" w:hAnsi="Arial"/>
          <w:sz w:val="18"/>
          <w:szCs w:val="18"/>
          <w:color w:val="auto"/>
        </w:rPr>
        <w:t>], a Delaware corporation,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Blackout Period</w:t>
      </w:r>
      <w:r>
        <w:rPr>
          <w:rFonts w:ascii="Arial" w:cs="Arial" w:eastAsia="Arial" w:hAnsi="Arial"/>
          <w:sz w:val="18"/>
          <w:szCs w:val="18"/>
          <w:color w:val="auto"/>
        </w:rPr>
        <w:t>” means (i) any “black out” or similar period under the Corporation’s policies covering trading in the Corporation’s securities to which the applicable Exchanging Member is subject (or will be subject at such time as it owns Class A Common Stock), which period restricts the ability of such Exchanging Member to immediately resell shares of Class A Common Stock to be delivered to such Exchanging Member in connection with a Stock Exchange Payment and (ii) the period of time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 xml:space="preserve">commencing on (x) the date of the declaration of a dividend by the Corporation and ending on the first day following (y) the record date determined by the board of directors of the Corporation with respect to such dividend declared pursuant to clause (x), which period of time shall be no longer than 10 Business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Exchange Blackout Period which respect to clause (ii) of the definition hereof occur more than four (4) times per calendar year.</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Date</w:t>
      </w:r>
      <w:r>
        <w:rPr>
          <w:rFonts w:ascii="Arial" w:cs="Arial" w:eastAsia="Arial" w:hAnsi="Arial"/>
          <w:sz w:val="17"/>
          <w:szCs w:val="17"/>
          <w:color w:val="auto"/>
        </w:rPr>
        <w:t xml:space="preserve">” means, in the case of any Unrestricted Exchange, the date that is five (5) Business Days after the date the Exchange Notice is given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unless the Exchanging Member submits a written request to extend such date and the Corporation in its sole discretion agrees in writing to such extension, and in any other case, the Quarterly Exchange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Exchange Date for any Exchange with respect to which the Corporation elects to make a Stock Exchange Payment would otherwise fall within any Exchange Blackout Period, then the Exchange Date shall occur on the next Business Day following the end of such Exchange Blackout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Notice Date</w:t>
      </w:r>
      <w:r>
        <w:rPr>
          <w:rFonts w:ascii="Arial" w:cs="Arial" w:eastAsia="Arial" w:hAnsi="Arial"/>
          <w:sz w:val="16"/>
          <w:szCs w:val="16"/>
          <w:color w:val="auto"/>
        </w:rPr>
        <w:t xml:space="preserve">” means, with respect to an Exchange, the date the applicable Exchange Notice is delivered in accordance with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2.1(b)</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means, at any time, the number of shares of Class A Common Stock for which an Exchanged Unit is entitled to be exchanged at such time. On the date of this Agreement, the Exchange Rate shall be 1 for 1, subject to adjustment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Exchanged Units</w:t>
      </w:r>
      <w:r>
        <w:rPr>
          <w:rFonts w:ascii="Arial" w:cs="Arial" w:eastAsia="Arial" w:hAnsi="Arial"/>
          <w:sz w:val="18"/>
          <w:szCs w:val="18"/>
          <w:color w:val="auto"/>
        </w:rPr>
        <w:t>” means any Class A Units (including, for the avoidance of doubt, Class A Units received pursuant to Section 2.2(b)(ii) in exchange for Class P Units subject to an Exchange Notice) to be Exchanged for the Cash Exchange Payment or Stock Exchange Payment, as applicable, on the applicable Exchange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6198235</wp:posOffset>
            </wp:positionH>
            <wp:positionV relativeFrom="paragraph">
              <wp:posOffset>-311150</wp:posOffset>
            </wp:positionV>
            <wp:extent cx="803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Exchanging Member</w:t>
      </w:r>
      <w:r>
        <w:rPr>
          <w:rFonts w:ascii="Arial" w:cs="Arial" w:eastAsia="Arial" w:hAnsi="Arial"/>
          <w:sz w:val="16"/>
          <w:szCs w:val="16"/>
          <w:color w:val="auto"/>
        </w:rPr>
        <w:t xml:space="preserve">” means, with respect to any Exchange, the LLC Unitholder exchanging Units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w:t>
      </w:r>
      <w:r>
        <w:rPr>
          <w:rFonts w:ascii="Arial" w:cs="Arial" w:eastAsia="Arial" w:hAnsi="Arial"/>
          <w:sz w:val="18"/>
          <w:szCs w:val="18"/>
          <w:color w:val="auto"/>
        </w:rPr>
        <w:t>” means each Unit as defined in the OpCo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Unitholder</w:t>
      </w:r>
      <w:r>
        <w:rPr>
          <w:rFonts w:ascii="Arial" w:cs="Arial" w:eastAsia="Arial" w:hAnsi="Arial"/>
          <w:sz w:val="18"/>
          <w:szCs w:val="18"/>
          <w:color w:val="auto"/>
        </w:rPr>
        <w:t>” means each holder of one or more LLC Units that may from time to time be a party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Member</w:t>
      </w:r>
      <w:r>
        <w:rPr>
          <w:rFonts w:ascii="Arial" w:cs="Arial" w:eastAsia="Arial" w:hAnsi="Arial"/>
          <w:sz w:val="18"/>
          <w:szCs w:val="18"/>
          <w:color w:val="auto"/>
        </w:rPr>
        <w:t>” has the meaning given to such term in the OpCo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Securities Exchange</w:t>
      </w:r>
      <w:r>
        <w:rPr>
          <w:rFonts w:ascii="Arial" w:cs="Arial" w:eastAsia="Arial" w:hAnsi="Arial"/>
          <w:sz w:val="18"/>
          <w:szCs w:val="18"/>
          <w:color w:val="auto"/>
        </w:rPr>
        <w:t>” means a securities exchange that has registered with the SEC under Section 6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w:t>
      </w:r>
      <w:r>
        <w:rPr>
          <w:rFonts w:ascii="Arial" w:cs="Arial" w:eastAsia="Arial" w:hAnsi="Arial"/>
          <w:sz w:val="18"/>
          <w:szCs w:val="18"/>
          <w:color w:val="auto"/>
        </w:rPr>
        <w:t>” means WM holding Company, LLC, a Delaware limited liability company, and any successor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LLC Agreement</w:t>
      </w:r>
      <w:r>
        <w:rPr>
          <w:rFonts w:ascii="Arial" w:cs="Arial" w:eastAsia="Arial" w:hAnsi="Arial"/>
          <w:sz w:val="18"/>
          <w:szCs w:val="18"/>
          <w:color w:val="auto"/>
        </w:rPr>
        <w:t>” means the Fourth Amended and Restated Limited Liability Company Agreement of OpCo, dated on or about the date hereof, as such agreement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A Unit and one share of Class V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Threshold</w:t>
      </w:r>
      <w:r>
        <w:rPr>
          <w:rFonts w:ascii="Arial" w:cs="Arial" w:eastAsia="Arial" w:hAnsi="Arial"/>
          <w:sz w:val="18"/>
          <w:szCs w:val="18"/>
          <w:color w:val="auto"/>
        </w:rPr>
        <w:t>” has the meaning given to such term in the OpCo LLC Agreement.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Unit Equity Value</w:t>
      </w:r>
      <w:r>
        <w:rPr>
          <w:rFonts w:ascii="Arial" w:cs="Arial" w:eastAsia="Arial" w:hAnsi="Arial"/>
          <w:sz w:val="18"/>
          <w:szCs w:val="18"/>
          <w:color w:val="auto"/>
        </w:rPr>
        <w:t>” means, as of any particular time, the amount to which each holder of a Class A Unit would be entitled in respect of such Class A Unit if the aggregate equity value of the Company as of such time (as reasonably determined by the Managing Member based on the public trading price of Class A Common Stock) were distributed to the Members in accordance with Section 4.02 of the OpCo LLC Agreement (assuming for these purposes that any “Tax Distributions” were made pro rata in accordance with “Class A Percentage Interests”/“LTIP Percentage Interests” (as such terms are defined in the OpCo LLC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Exchange Event</w:t>
      </w:r>
      <w:r>
        <w:rPr>
          <w:rFonts w:ascii="Arial" w:cs="Arial" w:eastAsia="Arial" w:hAnsi="Arial"/>
          <w:sz w:val="17"/>
          <w:szCs w:val="17"/>
          <w:color w:val="auto"/>
        </w:rPr>
        <w:t>” means any of the following events, which has or is occurring, or is otherwise satisfied, as of the Exchange Date:</w:t>
      </w:r>
    </w:p>
    <w:p>
      <w:pPr>
        <w:spacing w:after="0" w:line="237" w:lineRule="exact"/>
        <w:rPr>
          <w:sz w:val="20"/>
          <w:szCs w:val="20"/>
          <w:color w:val="auto"/>
        </w:rPr>
      </w:pPr>
    </w:p>
    <w:p>
      <w:pPr>
        <w:jc w:val="both"/>
        <w:ind w:firstLine="1304"/>
        <w:spacing w:after="0" w:line="286" w:lineRule="auto"/>
        <w:tabs>
          <w:tab w:leader="none" w:pos="1858"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Exchange is part of one or more Exchanges by an LLC Unitholder and any related persons (within the meaning of Section 267(b) or 707(b)(1) of the Code) that is part of a “block transfer” within the meaning of Treasury Regulations Section 1.7704-1(e)(2) (for this purpose, treating the Managing Member as a “general partner” within the meaning of Treasury Regulations Section 1.7704-1(k)(1)),</w:t>
      </w:r>
    </w:p>
    <w:p>
      <w:pPr>
        <w:spacing w:after="0" w:line="165" w:lineRule="exact"/>
        <w:rPr>
          <w:rFonts w:ascii="Arial" w:cs="Arial" w:eastAsia="Arial" w:hAnsi="Arial"/>
          <w:sz w:val="17"/>
          <w:szCs w:val="17"/>
          <w:color w:val="auto"/>
        </w:rPr>
      </w:pPr>
    </w:p>
    <w:p>
      <w:pPr>
        <w:ind w:left="1840" w:hanging="536"/>
        <w:spacing w:after="0"/>
        <w:tabs>
          <w:tab w:leader="none" w:pos="1840"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The Exchange is in connection with a Pubco Offer or Change of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Exchange pursuant to this clause</w:t>
      </w:r>
    </w:p>
    <w:p>
      <w:pPr>
        <w:spacing w:after="0" w:line="46" w:lineRule="exact"/>
        <w:rPr>
          <w:rFonts w:ascii="Arial" w:cs="Arial" w:eastAsia="Arial" w:hAnsi="Arial"/>
          <w:sz w:val="16"/>
          <w:szCs w:val="16"/>
          <w:color w:val="auto"/>
        </w:rPr>
      </w:pPr>
    </w:p>
    <w:p>
      <w:pPr>
        <w:ind w:firstLine="8"/>
        <w:spacing w:after="0" w:line="260" w:lineRule="auto"/>
        <w:tabs>
          <w:tab w:leader="none" w:pos="2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be effective immediately prior to the consummation of the closing of the Pubco Offer or Change of Control date (and, for the avoidance of doubt, shall not be effective if such Pubco Offer is not consummated or Change of Control does not occur), or</w:t>
      </w:r>
    </w:p>
    <w:p>
      <w:pPr>
        <w:spacing w:after="0" w:line="185"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Exchange is permitted by the Managing Member, in its sole discretion, in connection with circumstances not otherwise set forth herein, if the Managing Member determines, after consultation with its outside legal counsel and tax advisor, that the Company would not be treated as a “publicly traded partnership” under Section 7704 of the Code (or any successor or similar provision) as a result of or in connection with such Exchange.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Safe Harbor</w:t>
      </w:r>
      <w:r>
        <w:rPr>
          <w:rFonts w:ascii="Arial" w:cs="Arial" w:eastAsia="Arial" w:hAnsi="Arial"/>
          <w:sz w:val="17"/>
          <w:szCs w:val="17"/>
          <w:color w:val="auto"/>
        </w:rPr>
        <w:t>” means the “private placement” safe harbor set forth in Treasury Regulations Section 1.7704-1(h)(1).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Exchange Date</w:t>
      </w:r>
      <w:r>
        <w:rPr>
          <w:rFonts w:ascii="Arial" w:cs="Arial" w:eastAsia="Arial" w:hAnsi="Arial"/>
          <w:sz w:val="17"/>
          <w:szCs w:val="17"/>
          <w:color w:val="auto"/>
        </w:rPr>
        <w:t xml:space="preserve">” means, either (x) for each fiscal quarter, the first (1st) Business Day occurring after the sixtieth (60th) day after the expiration of the applicable Quarterly Exchange Notice Period or (y) such other date as the Corporation shall determine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date is at least sixty (60) days after the expiration of the Quarterly Exchange Notice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Corporation shall use commercially reasonable efforts to ensure that at least one Quarterly Exchange Date occurs each fiscal quarter.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Exchange Notice Period</w:t>
      </w:r>
      <w:r>
        <w:rPr>
          <w:rFonts w:ascii="Arial" w:cs="Arial" w:eastAsia="Arial" w:hAnsi="Arial"/>
          <w:sz w:val="18"/>
          <w:szCs w:val="18"/>
          <w:color w:val="auto"/>
        </w:rPr>
        <w:t>” means, for each fiscal quarter, the period commencing on the third (3rd) Business Day after the day on which the Corporation releases its earnings for the prior fiscal period, beginning with the first such date that falls on or after the waiver or expiration of any contractual lock-up period relating to the shares of the Corporation that may be applicable to an LLC Unitholder (or such other date within such quarter as the Corporation shall determine in its sole discretion) and ending five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jc w:val="both"/>
        <w:ind w:firstLine="8"/>
        <w:spacing w:after="0" w:line="273"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Business Days thereafter. Notwithstanding the foregoing, the Corporation may change the definition of Quarterly Exchange Notice Period with respect to any Quarterly Exchange Notice Period scheduled to occur in a calendar quarter subsequent to the then-current calendar quarter if (x) the revised definition provides for a Quarterly Exchange Notice Period occurring at least once in each calendar quarter, (y) the first Quarterly Exchange Notice Period pursuant to the revised definition will occur no less than 10 Business Days from the date written notice of such change is sent to each LLC Unitholder (other than the Corporation) and (z) the revised definition, together with the revised Quarterly Exchange Date resulting therefrom, do not materially adversely affect the ability of the LLC Unitholders to exercise their Exchange rights pursuant to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 Payment</w:t>
      </w:r>
      <w:r>
        <w:rPr>
          <w:rFonts w:ascii="Arial" w:cs="Arial" w:eastAsia="Arial" w:hAnsi="Arial"/>
          <w:sz w:val="18"/>
          <w:szCs w:val="18"/>
          <w:color w:val="auto"/>
        </w:rPr>
        <w:t>” means, with respect to the portion of any Exchange for which a Cash Exchange Notice is not delivered by the Corporation, on behalf of OpCo, a number of shares of Class A Common Stock equal to the product of the number of Exchanged Units multiplied by the Exchange Rate.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means that certain Tax Receivable Agreement, dated as of [●], 2021, by and among the Corporation and the other parties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Stock Market or such other principal United States securities exchange on which shares of Class A Common Stock are listed, quoted or admitted to trading and is open for the transaction of business (unless such trading shall have been suspended for the entire 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Exchanges</w:t>
      </w:r>
      <w:r>
        <w:rPr>
          <w:rFonts w:ascii="Arial" w:cs="Arial" w:eastAsia="Arial" w:hAnsi="Arial"/>
          <w:sz w:val="18"/>
          <w:szCs w:val="18"/>
          <w:color w:val="auto"/>
        </w:rPr>
        <w:t>” means any Exchange that is in connection with a Permitted Exchange Event or that occurs during a period in which OpCo meets the requirements of the Private Placement Safe Harbor.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Units</w:t>
      </w:r>
      <w:r>
        <w:rPr>
          <w:rFonts w:ascii="Arial" w:cs="Arial" w:eastAsia="Arial" w:hAnsi="Arial"/>
          <w:sz w:val="18"/>
          <w:szCs w:val="18"/>
          <w:color w:val="auto"/>
        </w:rPr>
        <w:t>” has the meaning given to such term in the OpCo LLC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the daily per share volume-weighted average price of shares of Class A Common Stock on the Nasdaq Stock Market or such other principal United States securities exchange on which shares of Class A Common Stock are listed, quoted or admitted to trading, as displayed under the heading “Bloomberg VWAP” on the Bloomberg page designated for shares of Class A Common Stock (or its equivalent successor if such page is not available) in respect of the period from the open of trading on such Trading Day until the close of trading on such Trading Day (or if such volume-weighted average price is unavailable, (a) the per share volume- 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in either case as determined by a nationally recognized independent investment banking firm retained in good faith for this purpose by the Managing Member).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Exchange Procedure</w:t>
      </w:r>
    </w:p>
    <w:p>
      <w:pPr>
        <w:spacing w:after="0" w:line="225" w:lineRule="exact"/>
        <w:rPr>
          <w:sz w:val="20"/>
          <w:szCs w:val="20"/>
          <w:color w:val="auto"/>
        </w:rPr>
      </w:pPr>
    </w:p>
    <w:p>
      <w:pPr>
        <w:ind w:firstLine="1304"/>
        <w:spacing w:after="0" w:line="342" w:lineRule="auto"/>
        <w:tabs>
          <w:tab w:leader="none" w:pos="1875"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180 days following the date of the consummation of the transactions described in the Corporation’s Registration Statement on Form S-4 (File No. [ ]), each LLC Unitholder (other than the Corporation) shall be entitled, upon the terms and subject to the conditions</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hereof, to surrender Paired Interests or Class P Units (other than Unvested Units) to OpCo in exchange for the delivery of the Stock Exchange Payment or, at the election of the Corporation, the Cash Exchange Payment (such exchange, a “</w:t>
      </w:r>
      <w:r>
        <w:rPr>
          <w:rFonts w:ascii="Arial" w:cs="Arial" w:eastAsia="Arial" w:hAnsi="Arial"/>
          <w:sz w:val="18"/>
          <w:szCs w:val="18"/>
          <w:u w:val="single" w:color="auto"/>
          <w:color w:val="auto"/>
        </w:rPr>
        <w:t>Redemption</w:t>
      </w:r>
      <w:r>
        <w:rPr>
          <w:rFonts w:ascii="Arial" w:cs="Arial" w:eastAsia="Arial" w:hAnsi="Arial"/>
          <w:sz w:val="18"/>
          <w:szCs w:val="18"/>
          <w:color w:val="auto"/>
        </w:rPr>
        <w:t>” and, together with a Direct Exchange (as defined below), an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(absent a waiver by the Managing Member) any such Exchange is for a minimum of the lesser of (i) 10,000 LLC Units (which minimum shall be equitably adjusted in accordance with any adjustments to the Exchange Rate) and (ii) all of the LLC Units (other than Unvested Units) held by such LLC Unitholder.</w:t>
      </w:r>
    </w:p>
    <w:p>
      <w:pPr>
        <w:spacing w:after="0" w:line="188" w:lineRule="exact"/>
        <w:rPr>
          <w:sz w:val="20"/>
          <w:szCs w:val="20"/>
          <w:color w:val="auto"/>
        </w:rPr>
      </w:pPr>
    </w:p>
    <w:p>
      <w:pPr>
        <w:jc w:val="both"/>
        <w:ind w:firstLine="1304"/>
        <w:spacing w:after="0" w:line="286" w:lineRule="auto"/>
        <w:tabs>
          <w:tab w:leader="none" w:pos="181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An LLC Unitholder shall exercise its right to make an Exchange as set forth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above by delivering to OpCo, with a copy to the Corporation, a written election of exchange in respect of the Paired Interests or Class P Units (other than Unvested Units) to be exchanged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 “</w:t>
      </w:r>
      <w:r>
        <w:rPr>
          <w:rFonts w:ascii="Arial" w:cs="Arial" w:eastAsia="Arial" w:hAnsi="Arial"/>
          <w:sz w:val="16"/>
          <w:szCs w:val="16"/>
          <w:u w:val="single" w:color="auto"/>
          <w:color w:val="auto"/>
        </w:rPr>
        <w:t>Exchange Notice</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An LLC Unitholder may deliver an Exchange Notice with respect to an Unrestricted Exchange at any time, and, in any other case, during the Quarterly Exchange Notice Period preceding the desired Exchange Date. An Exchange Notice with respect to an Unrestricted Exchange may specify that the Exchange is to be contingent (including as to timing) upon the consummation of a purchase by another Person (whether in a tender or exchange offer, an underwritten offering or otherwise) of the Class A Common Stock into which the Exchanged Units are exchangeable, or contingent (including as to timing) upon the closing of an announced merger, consolidation or other transaction or event in which such Class A Common Stock would be exchanged or converted or become exchangeable for or convertible into cash or other securities or property. Notwithstanding anything to the contrary contained in this Agreement, if, in connection with an Exchange in accordance with this </w:t>
      </w:r>
      <w:r>
        <w:rPr>
          <w:rFonts w:ascii="Arial" w:cs="Arial" w:eastAsia="Arial" w:hAnsi="Arial"/>
          <w:sz w:val="16"/>
          <w:szCs w:val="16"/>
          <w:u w:val="single" w:color="auto"/>
          <w:color w:val="auto"/>
        </w:rPr>
        <w:t>Section 2.1</w:t>
      </w:r>
      <w:r>
        <w:rPr>
          <w:rFonts w:ascii="Arial" w:cs="Arial" w:eastAsia="Arial" w:hAnsi="Arial"/>
          <w:sz w:val="16"/>
          <w:szCs w:val="16"/>
          <w:color w:val="auto"/>
        </w:rPr>
        <w:t>, a filing is required under the Hart-Scott-Rodino Antitrust Improvements Act of 1976 (“</w:t>
      </w:r>
      <w:r>
        <w:rPr>
          <w:rFonts w:ascii="Arial" w:cs="Arial" w:eastAsia="Arial" w:hAnsi="Arial"/>
          <w:sz w:val="16"/>
          <w:szCs w:val="16"/>
          <w:u w:val="single" w:color="auto"/>
          <w:color w:val="auto"/>
        </w:rPr>
        <w:t>HSR Act</w:t>
      </w:r>
      <w:r>
        <w:rPr>
          <w:rFonts w:ascii="Arial" w:cs="Arial" w:eastAsia="Arial" w:hAnsi="Arial"/>
          <w:sz w:val="16"/>
          <w:szCs w:val="16"/>
          <w:color w:val="auto"/>
        </w:rPr>
        <w:t>”), then the Exchange Date with respect to all Exchanged Units which would be exchanged into shares of Class A Common Stock resulting from such Exchange shall be delayed until the earlier of (i) such time as the required filing under the HSR Act has been made and the waiting period applicable to such Exchange under the HSR Act shall have expired or been terminated or (ii) such filing is no longer required, at which time such Exchange shall automatically occur without any further action by the holders of any such Exchanged Units. Each of the LLC Unitholders and the Corporation agree to promptly take all actions required to make such filing under the HSR Act and the filing fee for such filing shall be paid by OpCo.</w:t>
      </w:r>
    </w:p>
    <w:p>
      <w:pPr>
        <w:spacing w:after="0" w:line="167" w:lineRule="exact"/>
        <w:rPr>
          <w:rFonts w:ascii="Arial" w:cs="Arial" w:eastAsia="Arial" w:hAnsi="Arial"/>
          <w:sz w:val="16"/>
          <w:szCs w:val="16"/>
          <w:color w:val="auto"/>
        </w:rPr>
      </w:pPr>
    </w:p>
    <w:p>
      <w:pPr>
        <w:jc w:val="both"/>
        <w:ind w:firstLine="1304"/>
        <w:spacing w:after="0" w:line="257" w:lineRule="auto"/>
        <w:tabs>
          <w:tab w:leader="none" w:pos="1817"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Within three (3) Business Days of the giving of an Exchange Notice, the Corporation, on behalf of OpCo, may elect to settle all or a portion of the Exchange in cash in an amount equal to the Cash Exchange Payment (in lieu of Class A Common Stock) by giving written notice of such election to the Exchanging Member within such three (3) Business Day period (such notice, the “</w:t>
      </w:r>
      <w:r>
        <w:rPr>
          <w:rFonts w:ascii="Arial" w:cs="Arial" w:eastAsia="Arial" w:hAnsi="Arial"/>
          <w:sz w:val="18"/>
          <w:szCs w:val="18"/>
          <w:u w:val="single" w:color="auto"/>
          <w:color w:val="auto"/>
        </w:rPr>
        <w:t>Cash Exchange Notice</w:t>
      </w:r>
      <w:r>
        <w:rPr>
          <w:rFonts w:ascii="Arial" w:cs="Arial" w:eastAsia="Arial" w:hAnsi="Arial"/>
          <w:sz w:val="18"/>
          <w:szCs w:val="18"/>
          <w:color w:val="auto"/>
        </w:rPr>
        <w:t>”). The Cash Exchange Notice shall set forth the portion of the Exchanged Units which will be exchanged for cash in lieu of Class A Common Stock. Any portion of the Exchange not settled for a Cash Exchange Payment shall be settled for a Stock Exchange Payment.</w:t>
      </w:r>
    </w:p>
    <w:p>
      <w:pPr>
        <w:spacing w:after="0" w:line="187" w:lineRule="exact"/>
        <w:rPr>
          <w:rFonts w:ascii="Arial" w:cs="Arial" w:eastAsia="Arial" w:hAnsi="Arial"/>
          <w:sz w:val="18"/>
          <w:szCs w:val="18"/>
          <w:color w:val="auto"/>
        </w:rPr>
      </w:pPr>
    </w:p>
    <w:p>
      <w:pPr>
        <w:jc w:val="both"/>
        <w:ind w:firstLine="1304"/>
        <w:spacing w:after="0" w:line="270" w:lineRule="auto"/>
        <w:tabs>
          <w:tab w:leader="none" w:pos="1916"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Exchanging Member may elect to retract its Exchange Notice with respect to an Unrestricted Exchange by giving written notice of such election to OpCo, with a copy to the Corporation, no later than (1) Business Day prior to the Exchange Date. Subject to the last two sentences of this </w:t>
      </w:r>
      <w:r>
        <w:rPr>
          <w:rFonts w:ascii="Arial" w:cs="Arial" w:eastAsia="Arial" w:hAnsi="Arial"/>
          <w:sz w:val="17"/>
          <w:szCs w:val="17"/>
          <w:u w:val="single" w:color="auto"/>
          <w:color w:val="auto"/>
        </w:rPr>
        <w:t>Section 2.1(d)</w:t>
      </w:r>
      <w:r>
        <w:rPr>
          <w:rFonts w:ascii="Arial" w:cs="Arial" w:eastAsia="Arial" w:hAnsi="Arial"/>
          <w:sz w:val="17"/>
          <w:szCs w:val="17"/>
          <w:color w:val="auto"/>
        </w:rPr>
        <w:t>, if, in the case of an Exchange that is not an Unrestricted Exchange, the Cash Exchange Class A 5-Day VWAP (determined treating the final date of such period as the Exchange Date) decreases by more than 10% from the Cash Exchange Class A 5-Day VWAP (determined treating the final date of such period as the date of delivery of an Exchange Notice), the Exchanging Member may elect to retract its Exchange Notice by giving written notice of such election (a “</w:t>
      </w:r>
      <w:r>
        <w:rPr>
          <w:rFonts w:ascii="Arial" w:cs="Arial" w:eastAsia="Arial" w:hAnsi="Arial"/>
          <w:sz w:val="17"/>
          <w:szCs w:val="17"/>
          <w:u w:val="single" w:color="auto"/>
          <w:color w:val="auto"/>
        </w:rPr>
        <w:t>Restricted Retraction Notice</w:t>
      </w:r>
      <w:r>
        <w:rPr>
          <w:rFonts w:ascii="Arial" w:cs="Arial" w:eastAsia="Arial" w:hAnsi="Arial"/>
          <w:sz w:val="17"/>
          <w:szCs w:val="17"/>
          <w:color w:val="auto"/>
        </w:rPr>
        <w:t xml:space="preserve">”) to OpCo, with a copy to the Corporation, no later than three (3) Business Days prior to the Exchange Date. The giving of any notice pursuant to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terminate all of the Exchanging Member’s, the Corporation’s and OpCo’s rights and obligations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arising from such retracted Exchange Notice (but not, for the avoidance of doubt, from any Exchange Notice not retracted or that may be delivered in the future).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 xml:space="preserve">An Exchanging Member may deliver a Restricted Retraction Notice only once in every twelve (12)-month period (and any additional Restricted Retraction Notice delivered by such Exchanging Member within such twelve (12)-month period shall be deemed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ineffective with respect to the revocation of the Exchange specified therein). An Exchanging Member who revokes an Exchange pursuant to a Restricted Retraction Notice may not participate in the Exchange to occur on the next Quarterly Exchange Date immediately following the Quarterly Exchange Date with respect to which the Restricted Retraction Notice pertains.</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[(e) Notwithstanding anything to the contrary in this Agreement, if the Corporation closes an underwritten distribution of the shares of Class A Common Stock and the LLC Unitholders (other than, or in addition to, the Corporation) were entitled to resell shares of Class A Common Stock in connection therewith (by the exercise by such LLC Unitholders of Exchange rights or otherwise) (a “</w:t>
      </w:r>
      <w:r>
        <w:rPr>
          <w:rFonts w:ascii="Arial" w:cs="Arial" w:eastAsia="Arial" w:hAnsi="Arial"/>
          <w:sz w:val="16"/>
          <w:szCs w:val="16"/>
          <w:u w:val="single" w:color="auto"/>
          <w:color w:val="auto"/>
        </w:rPr>
        <w:t>Secondary Offering</w:t>
      </w:r>
      <w:r>
        <w:rPr>
          <w:rFonts w:ascii="Arial" w:cs="Arial" w:eastAsia="Arial" w:hAnsi="Arial"/>
          <w:sz w:val="16"/>
          <w:szCs w:val="16"/>
          <w:color w:val="auto"/>
        </w:rPr>
        <w:t>”), then, the immediately succeeding Quarterly Exchange Date shall be automatically cancelled and of no force or effect (and no LLC Unitholder shall be entitled to exercise its Exchange right or deliver a Quarterly Exchange Date Notice with respect to an Exchange that is not an Unrestricted Exchange in respect of such Quarterly Exchange Date). Notwithstanding anything to the contrary in this Agreement (a) for so long as the Company does not meet the requirements of the Private Placement Safe Harbor, any Secondary Offering (other than that pursuant to which all Exchanges are Unrestricted Exchanges) shall only be undertaken if, during the applicable taxable year, the total number of Quarterly Exchange Dates and prior Secondary Offerings (other than any pursuant to which all Exchanges are Unrestricted Exchanges) on which Exchanges occur is three (3) or fewer and (b) the Company and the Corporation shall not be deemed to have failed to comply with their respective obligations under the Corporation’s Amended and Restated Registration Rights Agreement, dated as of [●], 2021, as amended from time to time, if a Secondary Offering cannot be undertaken due to the restriction set forth in the preceding clause (a).</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Payment</w:t>
      </w:r>
    </w:p>
    <w:p>
      <w:pPr>
        <w:spacing w:after="0" w:line="225" w:lineRule="exact"/>
        <w:rPr>
          <w:sz w:val="20"/>
          <w:szCs w:val="20"/>
          <w:color w:val="auto"/>
        </w:rPr>
      </w:pPr>
    </w:p>
    <w:p>
      <w:pPr>
        <w:ind w:left="1820" w:hanging="516"/>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Exchange shall be consummated on the Exchange Date.</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84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With respect to any Class P Units specified in an Exchange Notice, immediately prior to the transactions contemplated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as applicable, (i) the Exchanging Member shall transfer and surrender such Class P Units to OpCo free and clear of all liens and encumbrances, (ii) OpCo shall issue such Exchanging Member a number of Class A Units that is equal to the product of (A) the number of such Class P Units and (B) the Class P Unit Exchange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number of Class A Units determined by this calculation is a negative number, it shall be deemed to be zero (0)), and (iii) such newly issued Class A Units shall constitute Exchanged Units, which will be immediately surrendered to OpCo or the Corporation in exchange for the Stock Exchange Payment or Cash Exchange Payment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as applicable.</w:t>
      </w:r>
    </w:p>
    <w:p>
      <w:pPr>
        <w:spacing w:after="0" w:line="164" w:lineRule="exact"/>
        <w:rPr>
          <w:rFonts w:ascii="Arial" w:cs="Arial" w:eastAsia="Arial" w:hAnsi="Arial"/>
          <w:sz w:val="16"/>
          <w:szCs w:val="16"/>
          <w:color w:val="auto"/>
        </w:rPr>
      </w:pPr>
    </w:p>
    <w:p>
      <w:pPr>
        <w:jc w:val="both"/>
        <w:ind w:firstLine="1304"/>
        <w:spacing w:after="0" w:line="271" w:lineRule="auto"/>
        <w:tabs>
          <w:tab w:leader="none" w:pos="1993"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the Exchange Date (to be effective immediately prior to the close of business on the Exchange Date), in the case of a Redemption, (i) the Corporation shall contribute to OpCo,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OpCo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Paired Interests, the Exchanging Member shall surrender the corresponding number of shares of Class V Common Stock to the Corporation and the Corporation shall cancel such shares), free and clear of all liens and encumbrances, (iii) OpCo shall issue to the Corporation a number of Class A Units equal to the number of Exchanged Units surrendered pursuant to </w:t>
      </w:r>
      <w:r>
        <w:rPr>
          <w:rFonts w:ascii="Arial" w:cs="Arial" w:eastAsia="Arial" w:hAnsi="Arial"/>
          <w:sz w:val="17"/>
          <w:szCs w:val="17"/>
          <w:u w:val="single" w:color="auto"/>
          <w:color w:val="auto"/>
        </w:rPr>
        <w:t>clause (ii)</w:t>
      </w:r>
      <w:r>
        <w:rPr>
          <w:rFonts w:ascii="Arial" w:cs="Arial" w:eastAsia="Arial" w:hAnsi="Arial"/>
          <w:sz w:val="17"/>
          <w:szCs w:val="17"/>
          <w:color w:val="auto"/>
        </w:rPr>
        <w:t>, (iv) solely to the extent necessary in connection with a Redemption, the Corporation shall undertake all actions, including an issuance, reclassification, distribution, division or recapitalization, with</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 xml:space="preserve">respect to the Class A Common Stock to maintain a one-to-one ratio between the number of Class A Units owned by the Corporation, directly or indirectly, and the number of outstanding shares of Class A Common Stock, taking into account the issuance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any Stock Exchange Payment, and any other action taken in connection with this </w:t>
      </w:r>
      <w:r>
        <w:rPr>
          <w:rFonts w:ascii="Arial" w:cs="Arial" w:eastAsia="Arial" w:hAnsi="Arial"/>
          <w:sz w:val="17"/>
          <w:szCs w:val="17"/>
          <w:u w:val="single" w:color="auto"/>
          <w:color w:val="auto"/>
        </w:rPr>
        <w:t>Section 2.2</w:t>
      </w:r>
      <w:r>
        <w:rPr>
          <w:rFonts w:ascii="Arial" w:cs="Arial" w:eastAsia="Arial" w:hAnsi="Arial"/>
          <w:sz w:val="17"/>
          <w:szCs w:val="17"/>
          <w:color w:val="auto"/>
        </w:rPr>
        <w:t>, and (v) OpCo shall (x) cancel the redeemed Exchanged Units and (y) transfer to the Exchanging Member the Cash Exchange Payment and/or the Stock Exchange Payment, as applicable.</w:t>
      </w:r>
    </w:p>
    <w:p>
      <w:pPr>
        <w:spacing w:after="0" w:line="171" w:lineRule="exact"/>
        <w:rPr>
          <w:sz w:val="20"/>
          <w:szCs w:val="20"/>
          <w:color w:val="auto"/>
        </w:rPr>
      </w:pPr>
    </w:p>
    <w:p>
      <w:pPr>
        <w:jc w:val="both"/>
        <w:ind w:firstLine="1304"/>
        <w:spacing w:after="0" w:line="270" w:lineRule="auto"/>
        <w:tabs>
          <w:tab w:leader="none" w:pos="18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On the Exchange Date (to be effective immediately prior to the close of business on the Exchange Date), in the case of a Direct Exchange, (i) the Corporation shall deliver to the Exchanging Member, (x) the Stock Exchange Payment with respect to any Exchanged Units not subject to a Cash Exchange Notice and (y) the Cash Exchange Payment with respect to any Exchanged Units subject to a Cash Exchange Notice, (ii) the Exchanging Member shall transfer to the Corporation the Exchanged Units and the corresponding shares of Class V Common Stock (it being understood that the Corporation shall cancel the surrendered shares of Class V Common Stock), free and clear of all liens and encumbrances, and (iii) solely to the extent necessary in connection with a Direct Exchange, the Corporation shall undertake all actions, including an issuance, reclassification, distribution, division or recapitalization, with respect to the shares of Class A Common Stock to maintain a one-to-one ratio between the number of Class A Units owned by the Corporation, directly or indirectly, and the number of outstanding shares of Class A Common Stock, any Stock Exchange Payment, and any other action taken in connection with this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firstLine="1304"/>
        <w:spacing w:after="0" w:line="277" w:lineRule="auto"/>
        <w:tabs>
          <w:tab w:leader="none" w:pos="1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Exchange of all of an LLC Unitholder’s LLC Units, such LLC Unitholder shall cease to be a Member (as such term is defined in the OpCo LLC Agreement) of OpCo.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Expenses and Restrictions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this Agreement, OpCo and each exchanging LLC Unitholder shall bear its own expenses in connection with the consummation of any Exchange, whether or not any such Exchange is ultimately consummated, except that OpCo shall bear any transfer taxes, stamp taxes or duties, or other similar taxes in connection with, or arising by reason of, any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shares of Class A Common Stock are to be delivered in a name other than that of the LLC Unitholder that requested the Exchange, then such LLC Unitholder and/or the person in whose name such shares are to be delivered shall pay to OpCo the amount of any transfer taxes, stamp taxes or duties, or other similar taxes in connection with, or arising by reason of, such Exchange or shall establish to the reasonable satisfaction of OpCo that such tax has been paid or is not payable.</w:t>
      </w:r>
    </w:p>
    <w:p>
      <w:pPr>
        <w:spacing w:after="0" w:line="194" w:lineRule="exact"/>
        <w:rPr>
          <w:rFonts w:ascii="Arial" w:cs="Arial" w:eastAsia="Arial" w:hAnsi="Arial"/>
          <w:sz w:val="18"/>
          <w:szCs w:val="18"/>
          <w:color w:val="auto"/>
        </w:rPr>
      </w:pPr>
    </w:p>
    <w:p>
      <w:pPr>
        <w:jc w:val="both"/>
        <w:ind w:firstLine="1304"/>
        <w:spacing w:after="0" w:line="271" w:lineRule="auto"/>
        <w:tabs>
          <w:tab w:leader="none" w:pos="1907"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Corporation or OpCo shall use commercially reasonable efforts to restrict issuances of LLC Units in an amount sufficient for the Company to be eligible for the Private Placement Safe Harbor, and, to the extent that the Corporation or OpCo determine that OpCo does not meet the requirements of the Private Placement Safe Harbor at any point in any taxable year, the Corporation or OpCo may impose such restrictions on Exchanges during such taxable year as the Corporation or OpCo may determine to be necessary or advisable so that OpCo is not treated as a “publicly traded partnership” under Section 7704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restrictions imposed pursuant to this Section 2.3(b) shall not apply to any Unrestricted Exchange. Notwithstanding anything to the contrary herein, no Exchange shall be permitted (and, if attempted, shall be void </w:t>
      </w:r>
      <w:r>
        <w:rPr>
          <w:rFonts w:ascii="Arial" w:cs="Arial" w:eastAsia="Arial" w:hAnsi="Arial"/>
          <w:sz w:val="17"/>
          <w:szCs w:val="17"/>
          <w:i w:val="1"/>
          <w:iCs w:val="1"/>
          <w:color w:val="auto"/>
        </w:rPr>
        <w:t>ab initio</w:t>
      </w:r>
      <w:r>
        <w:rPr>
          <w:rFonts w:ascii="Arial" w:cs="Arial" w:eastAsia="Arial" w:hAnsi="Arial"/>
          <w:sz w:val="17"/>
          <w:szCs w:val="17"/>
          <w:color w:val="auto"/>
        </w:rPr>
        <w:t>) if, in the good faith determination of the Corporation or of OpCo, such an Exchange would pose a material risk that OpCo would be a “publicly traded partnership” under Section 7704 of the Code.</w:t>
      </w:r>
    </w:p>
    <w:p>
      <w:pPr>
        <w:spacing w:after="0" w:line="178" w:lineRule="exact"/>
        <w:rPr>
          <w:rFonts w:ascii="Arial" w:cs="Arial" w:eastAsia="Arial" w:hAnsi="Arial"/>
          <w:sz w:val="17"/>
          <w:szCs w:val="17"/>
          <w:color w:val="auto"/>
        </w:rPr>
      </w:pPr>
    </w:p>
    <w:p>
      <w:pPr>
        <w:jc w:val="both"/>
        <w:ind w:firstLine="1304"/>
        <w:spacing w:after="0" w:line="286" w:lineRule="auto"/>
        <w:tabs>
          <w:tab w:leader="none" w:pos="18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avoidance of doubt, and notwithstanding anything to the contrary herein, an LLC Unitholder shall not be entitled to effect an Exchange to the extent the Corporation determines that such Exchange (i) would be prohibited by law or regulation (including, without limitation, the unavailability of any requisite registration statement filed under the U.S. Securities Act of 1933, as amended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-871220</wp:posOffset>
            </wp:positionV>
            <wp:extent cx="655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955" cy="8890"/>
                    </a:xfrm>
                    <a:prstGeom prst="rect">
                      <a:avLst/>
                    </a:prstGeom>
                    <a:noFill/>
                  </pic:spPr>
                </pic:pic>
              </a:graphicData>
            </a:graphic>
          </wp:anchor>
        </w:drawing>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exemption from the registration requirements thereunder) or (ii) would not be permitted under any other agreements with the Corporation or its subsidiaries to which such LLC Unitholder may be party (including, without limitation, the OpCo LLC Agreement) or any written policies of the Corporation related to unlawful or inappropriate trading applicable to its directors, officers or other personnel.</w:t>
      </w:r>
    </w:p>
    <w:p>
      <w:pPr>
        <w:spacing w:after="0" w:line="184" w:lineRule="exact"/>
        <w:rPr>
          <w:sz w:val="20"/>
          <w:szCs w:val="20"/>
          <w:color w:val="auto"/>
        </w:rPr>
      </w:pPr>
    </w:p>
    <w:p>
      <w:pPr>
        <w:ind w:firstLine="1304"/>
        <w:spacing w:after="0" w:line="277" w:lineRule="auto"/>
        <w:tabs>
          <w:tab w:leader="none" w:pos="18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Corporation may adopt reasonable procedures for the implementation of the exchange provisions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 including, without limitation, procedures for the giving of notice of an election of exchange.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Adjustment</w:t>
      </w:r>
      <w:r>
        <w:rPr>
          <w:rFonts w:ascii="Arial" w:cs="Arial" w:eastAsia="Arial" w:hAnsi="Arial"/>
          <w:sz w:val="16"/>
          <w:szCs w:val="16"/>
          <w:color w:val="auto"/>
        </w:rPr>
        <w:t>.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Class A Units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Class A Units. If there is any reclassification, reorganization, recapitalization or other similar transaction in which the Class A Common Stock are converted or changed into another security, securities or other property, then upon any subsequent Exchange, an exchanging LLC Unitholder shall be entitled to receive the amount of such security, securities or other property that such exchanging LLC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Except as may be required in the immediately preceding sentence, no adjustments in respect of distributions shall be made upon the exchange of any LLC Unit.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Class A Common Stock to be Issued</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8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Corporation shall at all times reserve and keep available out of its authorized but unissued Class A Common Stock, solely for the purpose of issuance upon an Exchange, such number of shares of Class A Common Stock as may be deliverable upon any such Exchange;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contained herein shall be construed to preclude OpCo from satisfying its obligations in respect of the Exchange of the Exchanged Units by delivery of shares of Class A Common Stock which are held in the treasury of the Corporation or are held by OpCo or any of their subsidiaries or by delivery of purchased shares of Class A Common Stock (which may or may not be held in the treasury of the Corporation or held by any subsidiary thereof), or by delivery of the Cash Exchange Payment. The Corporation and OpCo covenant that all Class A Common Stock issued upon an Exchange will, upon issuance, be validly issued, fully paid and non-assessable.</w:t>
      </w:r>
    </w:p>
    <w:p>
      <w:pPr>
        <w:spacing w:after="0" w:line="194" w:lineRule="exact"/>
        <w:rPr>
          <w:rFonts w:ascii="Arial" w:cs="Arial" w:eastAsia="Arial" w:hAnsi="Arial"/>
          <w:sz w:val="18"/>
          <w:szCs w:val="18"/>
          <w:color w:val="auto"/>
        </w:rPr>
      </w:pPr>
    </w:p>
    <w:p>
      <w:pPr>
        <w:jc w:val="both"/>
        <w:ind w:firstLine="1304"/>
        <w:spacing w:after="0" w:line="273" w:lineRule="auto"/>
        <w:tabs>
          <w:tab w:leader="none" w:pos="18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Corporation and OpCo shall at all times ensure that the execution and delivery of this Agreement by each of the Corporation and OpCo and the consummation by each of the Corporation and OpCo of the transactions contemplated hereby (including without limitation, the issuance of the Class A Common Stock) have been duly authorized by all necessary corporate or limited liability company action, as the case may be, on the part of the Corporation and OpCo, including, but not limited to, all actions necessary to ensure that the acquisition of shares of Class A Common Stock pursuant to the transactions contemplated hereby, to the fullest extent of the Corporation’s board of directors’ power and authority and to the extent permitted by law, shall not be subject to any “moratorium,” “control share acquisition,”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“business combination,” “fair price” or other form of anti-takeover laws and regulations of any jurisdiction that may purport to be applicable to this Agreement or the transactions contemplated hereby.</w:t>
      </w:r>
    </w:p>
    <w:p>
      <w:pPr>
        <w:spacing w:after="0" w:line="170" w:lineRule="exact"/>
        <w:rPr>
          <w:sz w:val="20"/>
          <w:szCs w:val="20"/>
          <w:color w:val="auto"/>
        </w:rPr>
      </w:pPr>
    </w:p>
    <w:p>
      <w:pPr>
        <w:jc w:val="both"/>
        <w:ind w:firstLine="1304"/>
        <w:spacing w:after="0" w:line="271" w:lineRule="auto"/>
        <w:tabs>
          <w:tab w:leader="none" w:pos="18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Corporation and OpCo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LLC Unitholder requesting such Exchange, the Corporation and OpCo shall use commercially reasonable efforts to promptly facilitate such Exchange pursuant to any reasonably available exemption from such registration requirements. The Corporation and OpCo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Direct Exchange</w:t>
      </w:r>
      <w:r>
        <w:rPr>
          <w:rFonts w:ascii="Arial" w:cs="Arial" w:eastAsia="Arial" w:hAnsi="Arial"/>
          <w:sz w:val="16"/>
          <w:szCs w:val="16"/>
          <w:color w:val="auto"/>
        </w:rPr>
        <w:t xml:space="preserve">. Notwithstanding anything to the contrary in this Article II, the Corporation may, in its sole and absolute discretion, elect to effect on the Exchange Date the Exchange of Exchanged Units for the Cash Exchange Payment and/or the Stock Exchange Payment, as the case may be (and subject to the terms of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through a direct exchange of such Exchanged Units and with such consideration between the Exchanging Member and the Corporation (a “</w:t>
      </w:r>
      <w:r>
        <w:rPr>
          <w:rFonts w:ascii="Arial" w:cs="Arial" w:eastAsia="Arial" w:hAnsi="Arial"/>
          <w:sz w:val="16"/>
          <w:szCs w:val="16"/>
          <w:u w:val="single" w:color="auto"/>
          <w:color w:val="auto"/>
        </w:rPr>
        <w:t>Direct Exchange</w:t>
      </w:r>
      <w:r>
        <w:rPr>
          <w:rFonts w:ascii="Arial" w:cs="Arial" w:eastAsia="Arial" w:hAnsi="Arial"/>
          <w:sz w:val="16"/>
          <w:szCs w:val="16"/>
          <w:color w:val="auto"/>
        </w:rPr>
        <w:t xml:space="preserve">”). Upon such Direct Exchange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Corporation shall acquire the Exchanged Units and shall be treated for all purposes of this Agreement as the owner of such Units;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election by the Corporation shall not relieve OpCo of its obligation arising with respect to such applicable Exchange Notice. The Corporation may, at any time prior to an Exchange Date, deliver written notice (an “</w:t>
      </w:r>
      <w:r>
        <w:rPr>
          <w:rFonts w:ascii="Arial" w:cs="Arial" w:eastAsia="Arial" w:hAnsi="Arial"/>
          <w:sz w:val="16"/>
          <w:szCs w:val="16"/>
          <w:u w:val="single" w:color="auto"/>
          <w:color w:val="auto"/>
        </w:rPr>
        <w:t>Direct Exchange Election Notice</w:t>
      </w:r>
      <w:r>
        <w:rPr>
          <w:rFonts w:ascii="Arial" w:cs="Arial" w:eastAsia="Arial" w:hAnsi="Arial"/>
          <w:sz w:val="16"/>
          <w:szCs w:val="16"/>
          <w:color w:val="auto"/>
        </w:rPr>
        <w:t xml:space="preserve">”) to OpCo and the Exchanging Member setting forth its election to exercise its right to consummate a Direct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election does not prejudice the ability of the parties to consummate an Exchange or Direct Exchange on the Exchange Date. A Direct Exchange Election Notice may be revoked by the Corporation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w:t>
      </w:r>
      <w:r>
        <w:rPr>
          <w:rFonts w:ascii="Arial" w:cs="Arial" w:eastAsia="Arial" w:hAnsi="Arial"/>
          <w:sz w:val="16"/>
          <w:szCs w:val="16"/>
          <w:u w:val="single" w:color="auto"/>
          <w:color w:val="auto"/>
        </w:rPr>
        <w:t>Section 2.6</w:t>
      </w:r>
      <w:r>
        <w:rPr>
          <w:rFonts w:ascii="Arial" w:cs="Arial" w:eastAsia="Arial" w:hAnsi="Arial"/>
          <w:sz w:val="16"/>
          <w:szCs w:val="16"/>
          <w:color w:val="auto"/>
        </w:rPr>
        <w:t>, a Direct Exchange shall be consummated pursuant to the same timeframe and in the same manner as the relevant Exchange would have been consummated had the Corporation not delivered a Direct Exchange Election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-1688465</wp:posOffset>
            </wp:positionV>
            <wp:extent cx="438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8785" cy="8255"/>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Pubco Offer or Change of Control</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8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Class A Common Stock (a “</w:t>
      </w:r>
      <w:r>
        <w:rPr>
          <w:rFonts w:ascii="Arial" w:cs="Arial" w:eastAsia="Arial" w:hAnsi="Arial"/>
          <w:sz w:val="16"/>
          <w:szCs w:val="16"/>
          <w:u w:val="single" w:color="auto"/>
          <w:color w:val="auto"/>
        </w:rPr>
        <w:t>Pubco Offer</w:t>
      </w:r>
      <w:r>
        <w:rPr>
          <w:rFonts w:ascii="Arial" w:cs="Arial" w:eastAsia="Arial" w:hAnsi="Arial"/>
          <w:sz w:val="16"/>
          <w:szCs w:val="16"/>
          <w:color w:val="auto"/>
        </w:rPr>
        <w:t>”) is proposed by the Corporation or is proposed to the Corporation or its stockholders and approved by the Board or is otherwise effected or to be effected with the consent or approval of the Board or the Corporation will undergo a Change of Control, the LLC Unitholders shall be permitted to deliver an Exchange Notice (which Exchange Notice shall be effective immediately prior to the consummation of such Pubco Offer or Change of Control (and, for the avoidance of doubt, shall be contingent upon such Pubco Offer or Change of Control and not be effective if such Pubco Offer or Change of Control is not consummated)). In the case of a Pubco Offer proposed by the Corporation, the Corporation will use its reasonable best efforts expeditiously and in good faith to take all such actions and do all such things as are necessary or desirable to enable and permit the LLC Unitholders to participate in such Pubco Offer to the same extent or on an economically equivalent basis as the holders of shares of Class A Common Stock without discrimination (but taking into account, for the avoidance of doubt, the Class P Unit Exchange Rate in the case of any Class P Units).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ind w:firstLine="1304"/>
        <w:spacing w:after="0" w:line="254" w:lineRule="auto"/>
        <w:tabs>
          <w:tab w:leader="none" w:pos="18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Corporation shall send written notice to the Company and the LLC Unitholders at least thirty (30) days prior to the closing of the transactions contemplated by the Pubco Offer or the Change of Control date notifying them of their rights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and setting forth, in the case of a Pubco Offer, (i) a copy of the written proposal or agreement pursuant to which the Pubco Offer will be effected, (ii) the consideration payable in connection therewith, (iii) the terms and conditions of transfer and payment and (iv) the date and location of and procedures for selling LLC Units, or in the case of a Change of Control, (x) a description of the event constituting the Change of Control, (y) the date of the Change of Control, and (z) a copy of any written proposals or agreement relating thereto. In the event that the information set forth in such notice changes from that set forth in the initial notice, a subsequent notice shall be delivered by the Corporation no less than seven (7) days prior to the closing of the Pubco Offer or date of the Change of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Additional LLC Unitholders</w:t>
      </w:r>
      <w:r>
        <w:rPr>
          <w:rFonts w:ascii="Arial" w:cs="Arial" w:eastAsia="Arial" w:hAnsi="Arial"/>
          <w:sz w:val="18"/>
          <w:szCs w:val="18"/>
          <w:color w:val="auto"/>
        </w:rPr>
        <w:t>. To the extent an LLC Unitholder validly transfers any or all of such holder’s LLC Units to another person in a transaction in accordance with, and not in contravention of, the OpCo LLC Agreement or any other agreement or agreements with the Corporation or any of its subsidiaries to which a transferring LLC Unitholder may be party, then such transferee (each,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shall have the right to execute and deliver a joinder to this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whereupon such Permitted Transferee shall become an LLC Unitholder hereunder. To the extent OpCo issues LLC Units in the future, OpCo shall be entitled, in its sole discretion, to make any holder of such LLC Units an LLC Unitholder hereunder through such holder’s execution and delivery of a joinder to this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Addresses and Notices</w:t>
      </w:r>
      <w:r>
        <w:rPr>
          <w:rFonts w:ascii="Arial" w:cs="Arial" w:eastAsia="Arial" w:hAnsi="Arial"/>
          <w:sz w:val="17"/>
          <w:szCs w:val="17"/>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1" w:lineRule="exact"/>
        <w:rPr>
          <w:sz w:val="20"/>
          <w:szCs w:val="20"/>
          <w:color w:val="auto"/>
        </w:rPr>
      </w:pPr>
    </w:p>
    <w:p>
      <w:pPr>
        <w:ind w:left="1820" w:hanging="516"/>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to the Corporation, to:</w:t>
      </w:r>
    </w:p>
    <w:p>
      <w:pPr>
        <w:spacing w:after="0" w:line="225" w:lineRule="exact"/>
        <w:rPr>
          <w:sz w:val="20"/>
          <w:szCs w:val="20"/>
          <w:color w:val="auto"/>
        </w:rPr>
      </w:pPr>
    </w:p>
    <w:p>
      <w:pPr>
        <w:ind w:left="2060" w:hanging="108"/>
        <w:spacing w:after="0"/>
        <w:tabs>
          <w:tab w:leader="none" w:pos="2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Phone:</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210"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to OpCo, to:</w:t>
      </w:r>
    </w:p>
    <w:p>
      <w:pPr>
        <w:spacing w:after="0" w:line="225" w:lineRule="exact"/>
        <w:rPr>
          <w:sz w:val="20"/>
          <w:szCs w:val="20"/>
          <w:color w:val="auto"/>
        </w:rPr>
      </w:pPr>
    </w:p>
    <w:p>
      <w:pPr>
        <w:ind w:left="1960" w:right="7660" w:hanging="8"/>
        <w:spacing w:after="0" w:line="255" w:lineRule="auto"/>
        <w:tabs>
          <w:tab w:leader="none" w:pos="21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Discovery, Irvine, CA 92618 Attn: General Counsel</w:t>
      </w:r>
    </w:p>
    <w:p>
      <w:pPr>
        <w:spacing w:after="0" w:line="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 legal@ weedmaps.com</w:t>
      </w:r>
    </w:p>
    <w:p>
      <w:pPr>
        <w:spacing w:after="0" w:line="210" w:lineRule="exact"/>
        <w:rPr>
          <w:rFonts w:ascii="Arial" w:cs="Arial" w:eastAsia="Arial" w:hAnsi="Arial"/>
          <w:sz w:val="18"/>
          <w:szCs w:val="18"/>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to any LLC Unitholder, to the address or other contact information set forth in the records of OpCo from time to time.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jc w:val="both"/>
        <w:ind w:firstLine="648"/>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all of the parties and, to the extent permitted by this Agreement, their successors, executors, administrators, heirs, legal representatives and assigns. No LLC Unitholder may assign its rights under this Agreement without the consent of the Corporation and OpCo.</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The provisions of this Agreement may be amended only by the affirmative vote or written consent of each of (i) the Corporation, (ii) OpCo and (iii) LLC Unitholders holding at least a majority of the then outstanding LLC Units (excluding LLC Units held by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may materially, disproportionately and adversely affect the rights of an LLC Unitholder (other than the Corporation and its subsidiaries) without the consent of such LLC Unitholder (or, if there is more than one such LLC Unitholder that is so affected, without the consent of a majority in interest of such affected LLC Unitholders (other than the Corporation and its subsidiaries) in accordance with their holdings of LLC Units).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Submission to Jurisdiction; Waiver of Jury Trial</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8" w:lineRule="auto"/>
        <w:tabs>
          <w:tab w:leader="none" w:pos="18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7"/>
          <w:szCs w:val="17"/>
          <w:u w:val="single" w:color="auto"/>
          <w:color w:val="auto"/>
        </w:rPr>
        <w:t>Section 3.8</w:t>
      </w:r>
      <w:r>
        <w:rPr>
          <w:rFonts w:ascii="Arial" w:cs="Arial" w:eastAsia="Arial" w:hAnsi="Arial"/>
          <w:sz w:val="17"/>
          <w:szCs w:val="17"/>
          <w:color w:val="auto"/>
        </w:rPr>
        <w:t>; (ii) any claim that it or its property is exempt or immune from the jurisdiction of any such court or from any legal process commenced in such courts (whether</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through service of notice, attachment prior to judgment, attachment in aid of execution of judgment, execution of judgment or otherwise); or (iii) any objection which such party may now or hereafter have (A) 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187" w:lineRule="exact"/>
        <w:rPr>
          <w:sz w:val="20"/>
          <w:szCs w:val="20"/>
          <w:color w:val="auto"/>
        </w:rPr>
      </w:pPr>
    </w:p>
    <w:p>
      <w:pPr>
        <w:jc w:val="both"/>
        <w:ind w:firstLine="1304"/>
        <w:spacing w:after="0" w:line="311" w:lineRule="auto"/>
        <w:tabs>
          <w:tab w:leader="none" w:pos="18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9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TRANSACTION DOCUMENTS IN THE NEGOTIATION, ADMINISTRATION, PERFORMANCE OR ENFORCEMENT HEREOF OR THEREOF.</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Arial" w:cs="Arial" w:eastAsia="Arial" w:hAnsi="Arial"/>
          <w:sz w:val="18"/>
          <w:szCs w:val="18"/>
          <w:u w:val="single" w:color="auto"/>
          <w:color w:val="auto"/>
        </w:rPr>
        <w:t>Section 3.8(a)</w:t>
      </w:r>
      <w:r>
        <w:rPr>
          <w:rFonts w:ascii="Arial" w:cs="Arial" w:eastAsia="Arial" w:hAnsi="Arial"/>
          <w:sz w:val="18"/>
          <w:szCs w:val="18"/>
          <w:color w:val="auto"/>
        </w:rPr>
        <w:t xml:space="preserve"> and such parties agree not to plead or claim the same.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and delivered (including by facsimile transmission or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Tax Treatment</w:t>
      </w:r>
      <w:r>
        <w:rPr>
          <w:rFonts w:ascii="Arial" w:cs="Arial" w:eastAsia="Arial" w:hAnsi="Arial"/>
          <w:sz w:val="16"/>
          <w:szCs w:val="16"/>
          <w:color w:val="auto"/>
        </w:rPr>
        <w:t>. This Agreement shall be treated as part of the partnership agreement of OpCo as described in Section 761(c) of the Code and Sections 1.704-1(b)(2)(ii)(h) and 1.761-1(c) of the Treasury Regulations promulgated thereunder. As required by the Code and the Treasury Regulations, the parties shall report any Exchange consummated hereunder as a taxable sale of the Exchanged Units (together with an equal number of shares of Class V Common Stock, if applicable) by an LLC Unitholder to the Corporation in exchange for (i) the payment by the Corporation of the Stock Exchange Payment, the Cash Exchange Payment, or other applicable consideration to the Exchanging Member, and, if applicable, (ii) corresponding payments under the Tax Receivable Agreement, and no party shall take a contrary position on any income tax return, amendment thereof or communication with a taxing authority unless an alternate position is permitted under the Code and Treasury Regulations and the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Corporation consents in writing, such consent not to be unreasonably withheld, conditioned, or delayed. Further, in connection with any Exchange consummated hereunder, OpCo and/or the Corporation shall provide the exchanging LLC Unitholder with all reasonably necessary information to enable the exchanging LLC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60 days following the close of such taxable year (and use commercially reasonable efforts to provide estimates of such information within 90 days of the applicable Exchanges). Within thirty (30) days following the Exchange Date, the Corporation shall deliver a Section 743 notification to OpCo in accordance with Treasury Regulations Section 1.743-1(k)(2).</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and OpCo shall be entitled to deduct and withhold from any payments made to an LLC Unitholder pursuant to any Exchange consummated under this Agreement all Taxes that each of the Corporation and OpCo is required to deduct and withhold with respect to such payments under the Code (and any other provision of applicable law, including, without limitation, under Section 1445 and Section 1446(f) of the Code). In connection with any Exchange, the Exchanging Member shall, to the extent it is legally entitled to deliver such form, deliver to the Corporation or OpCo, as applicable, a certificate, dated as of the Exchange Date, in a form reasonably acceptable to the Corporation certifying as to such Exchanging Member’s taxpayer identification number and that such Exchanging Member is a not a foreign person for purposes of Section 1445 and Section 1446(f) of the Code (which certificate may be an Internal Revenue Service Form W-9 if then sufficient for such purposes under applicable law) (such certificate, a “</w:t>
      </w:r>
      <w:r>
        <w:rPr>
          <w:rFonts w:ascii="Arial" w:cs="Arial" w:eastAsia="Arial" w:hAnsi="Arial"/>
          <w:sz w:val="17"/>
          <w:szCs w:val="17"/>
          <w:u w:val="single" w:color="auto"/>
          <w:color w:val="auto"/>
        </w:rPr>
        <w:t>Non-Foreign Person Certificate</w:t>
      </w:r>
      <w:r>
        <w:rPr>
          <w:rFonts w:ascii="Arial" w:cs="Arial" w:eastAsia="Arial" w:hAnsi="Arial"/>
          <w:sz w:val="17"/>
          <w:szCs w:val="17"/>
          <w:color w:val="auto"/>
        </w:rPr>
        <w:t>”). If an Exchanging Member is unable to provide a Non-Foreign Person Certificate in connection with an Exchange, then (i) such Exchanging Member shall provide a certificate substantially in the form described in Proposed Regulations Section 1.1446(f)-2(c)(2)(ii)(B) or (ii) OpCo shall deliver a certificate reasonably acceptable to the Corporation and substantially in the form described in Proposed Regulations Section 1.1446(f)-2(c)(2)(ii)(C), in each case setting forth the liabilities of OpCo allocated to the Exchanged Units subject to the Exchange under Section 752 of the Code, and the Corporation or OpCo, as applicable, shall be permitted to withhold on the amount realized by such Exchanging Member in respect of such Exchange as provided in Section 1446(f) of the Code and Proposed Regulations thereunder. The Corporation or OpCo, as applicable, may at their sole discretion reduce the Class A Common Stock issued to a LLC Unitholder in an Exchange in an amount that corresponds to the amount of the required withholding described in the immediately preceding sentence and all such amounts shall be treated as having been paid to such LLC Unitholder.</w:t>
      </w:r>
    </w:p>
    <w:p>
      <w:pPr>
        <w:spacing w:after="0" w:line="18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such parties shall be entitled to specific performance of the terms and provisions hereof, in addition to any other remedy to which they are entitled at law or in equity.</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Independent Nature of LLC Unitholders’ Rights and Obligations</w:t>
      </w:r>
      <w:r>
        <w:rPr>
          <w:rFonts w:ascii="Arial" w:cs="Arial" w:eastAsia="Arial" w:hAnsi="Arial"/>
          <w:sz w:val="18"/>
          <w:szCs w:val="18"/>
          <w:color w:val="auto"/>
        </w:rPr>
        <w:t>. The obligations of each LLC Unitholder hereunder are several and not joint with the obligations of any other LLC Unitholder, and no LLC Unitholder shall be responsible in any way for the performance of the obligations of any other LLC Unitholder hereunder. The decision of each LLC Unitholder to enter into this Agreement has been made by such LLC Unitholder independently of any other LLC Unitholder. Nothing contained herein, and no action taken by any LLC Unitholder pursuant hereto, shall be deemed to constitute the LLC Unitholders as a partnership, an association, a joint venture or any other kind of entity, or create a presumption that the LLC Unitholders are in any way acting in concert or as a group with respect to such obligations or the transactions contemplated hereby. The Corporation acknowledges that the LLC Unitholders are not acting in concert or as a group, and the Corporation will not assert any such claim, with respect to such obligations or the transactions contemplated hereby.</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firstLine="648"/>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its principles of conflicts of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all as of the date first set forth above.</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[Pubco]</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WM Holding Company, LLC</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pacing w:after="0" w:line="11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584" w:right="3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Pubco Address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OpCo Address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Exchange Agreement, dated as of [ ], 2021 (as amended from time to time,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among WM Holding Company, LLC, a Delaware limited liability company (together with any successor thereto, “</w:t>
      </w:r>
      <w:r>
        <w:rPr>
          <w:rFonts w:ascii="Arial" w:cs="Arial" w:eastAsia="Arial" w:hAnsi="Arial"/>
          <w:sz w:val="18"/>
          <w:szCs w:val="18"/>
          <w:b w:val="1"/>
          <w:bCs w:val="1"/>
          <w:color w:val="auto"/>
        </w:rPr>
        <w:t>OpCo</w:t>
      </w:r>
      <w:r>
        <w:rPr>
          <w:rFonts w:ascii="Arial" w:cs="Arial" w:eastAsia="Arial" w:hAnsi="Arial"/>
          <w:sz w:val="18"/>
          <w:szCs w:val="18"/>
          <w:color w:val="auto"/>
        </w:rPr>
        <w:t>”), [</w:t>
      </w:r>
      <w:r>
        <w:rPr>
          <w:rFonts w:ascii="Arial" w:cs="Arial" w:eastAsia="Arial" w:hAnsi="Arial"/>
          <w:sz w:val="18"/>
          <w:szCs w:val="18"/>
          <w:i w:val="1"/>
          <w:iCs w:val="1"/>
          <w:color w:val="auto"/>
        </w:rPr>
        <w:t>Pubco</w:t>
      </w:r>
      <w:r>
        <w:rPr>
          <w:rFonts w:ascii="Arial" w:cs="Arial" w:eastAsia="Arial" w:hAnsi="Arial"/>
          <w:sz w:val="18"/>
          <w:szCs w:val="18"/>
          <w:color w:val="auto"/>
        </w:rPr>
        <w:t>], a Delaware corporation (“</w:t>
      </w:r>
      <w:r>
        <w:rPr>
          <w:rFonts w:ascii="Arial" w:cs="Arial" w:eastAsia="Arial" w:hAnsi="Arial"/>
          <w:sz w:val="18"/>
          <w:szCs w:val="18"/>
          <w:b w:val="1"/>
          <w:bCs w:val="1"/>
          <w:color w:val="auto"/>
        </w:rPr>
        <w:t>Pubco</w:t>
      </w:r>
      <w:r>
        <w:rPr>
          <w:rFonts w:ascii="Arial" w:cs="Arial" w:eastAsia="Arial" w:hAnsi="Arial"/>
          <w:sz w:val="18"/>
          <w:szCs w:val="18"/>
          <w:color w:val="auto"/>
        </w:rPr>
        <w:t>”) and managing member of OpCo, and the LLC Unitholders from time to time party thereto (each, a “</w:t>
      </w:r>
      <w:r>
        <w:rPr>
          <w:rFonts w:ascii="Arial" w:cs="Arial" w:eastAsia="Arial" w:hAnsi="Arial"/>
          <w:sz w:val="18"/>
          <w:szCs w:val="18"/>
          <w:b w:val="1"/>
          <w:bCs w:val="1"/>
          <w:color w:val="auto"/>
        </w:rPr>
        <w:t>Holder</w:t>
      </w:r>
      <w:r>
        <w:rPr>
          <w:rFonts w:ascii="Arial" w:cs="Arial" w:eastAsia="Arial" w:hAnsi="Arial"/>
          <w:sz w:val="18"/>
          <w:szCs w:val="18"/>
          <w:color w:val="auto"/>
        </w:rPr>
        <w:t>”). Capitalized terms used but not defined herein shall have the meanings given to them in the Exchange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Holder hereby transfers [the number of Class A Units plus shares of Class V Common Stock set forth below (together, the “</w:t>
      </w:r>
      <w:r>
        <w:rPr>
          <w:rFonts w:ascii="Arial" w:cs="Arial" w:eastAsia="Arial" w:hAnsi="Arial"/>
          <w:sz w:val="18"/>
          <w:szCs w:val="18"/>
          <w:b w:val="1"/>
          <w:bCs w:val="1"/>
          <w:color w:val="auto"/>
        </w:rPr>
        <w:t>Paired Interests</w:t>
      </w:r>
      <w:r>
        <w:rPr>
          <w:rFonts w:ascii="Arial" w:cs="Arial" w:eastAsia="Arial" w:hAnsi="Arial"/>
          <w:sz w:val="18"/>
          <w:szCs w:val="18"/>
          <w:color w:val="auto"/>
        </w:rPr>
        <w:t>”)][the number of Class P Units] in Exchange for shares of Class A Common Stock to be issued in its name as set forth below, or the Cash Exchange Payment, as applicable, as set forth in the Exchange Agreement.</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40640</wp:posOffset>
            </wp:positionV>
            <wp:extent cx="5314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40640</wp:posOffset>
            </wp:positionV>
            <wp:extent cx="5906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[Paired Interests] [Class P Units]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40640</wp:posOffset>
            </wp:positionV>
            <wp:extent cx="3711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Brokerage Account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40640</wp:posOffset>
            </wp:positionV>
            <wp:extent cx="51263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5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undersigned hereby represents and warrants that (i) the undersigned has full legal capacity to execute and deliver this Exchange Notice and to perform the undersigned’s obligations hereunder; (ii) this Exchange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[Paired Interests][ Class P Units] subject to this Exchange Notice are being transferred to Pubco or OpCo, as applicable, free and clear of any pledge, lien, security interest, encumbrance, equities or claim; and (iv) no consent, approval, authorization, order, registration or qualification of any third party or with any court or governmental agency or body having jurisdiction over the undersigned or the [Paired Interests][ Class P Units] subject to this Exchange Notice is required to be obtained by the undersigned for the transfer of such [Paired Interests][ Class P Units] to PubCo or OpCo, as applicable.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irrevocably constitutes and appoints any officer of PubCo or of OpCo as the attorney of the undersigned, with full power of substitution and resubstitution in the premises, to do any and all things and to take any and all actions that may be necessary to transfer to PubCo or OpCo, as applicable, the [Paired Interests][ Class P Units] subject to this Exchange Notice and to deliver to the undersigned the Stock Exchange Payment or Cash Exchange Payment, as applicable, to be delivered in exchange therefor.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Exchange Notice to be executed and delivered by the undersigned or by its duly authorized attorney.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right"/>
        <w:ind w:right="233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Exchange Agreement</w:t>
      </w:r>
      <w:r>
        <w:rPr>
          <w:rFonts w:ascii="Arial" w:cs="Arial" w:eastAsia="Arial" w:hAnsi="Arial"/>
          <w:sz w:val="16"/>
          <w:szCs w:val="16"/>
          <w:color w:val="auto"/>
        </w:rPr>
        <w: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Joinder Agreement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a joinder to the Exchange Agreement, dated as of [●], 2021 (as amended from time to time,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among [Pubco], a Delaware corporation (together with any successor thereto, the “</w:t>
      </w:r>
      <w:r>
        <w:rPr>
          <w:rFonts w:ascii="Arial" w:cs="Arial" w:eastAsia="Arial" w:hAnsi="Arial"/>
          <w:sz w:val="18"/>
          <w:szCs w:val="18"/>
          <w:u w:val="single" w:color="auto"/>
          <w:color w:val="auto"/>
        </w:rPr>
        <w:t>Corporation</w:t>
      </w:r>
      <w:r>
        <w:rPr>
          <w:rFonts w:ascii="Arial" w:cs="Arial" w:eastAsia="Arial" w:hAnsi="Arial"/>
          <w:sz w:val="18"/>
          <w:szCs w:val="18"/>
          <w:color w:val="auto"/>
        </w:rPr>
        <w:t>”), WM Holding Company, LLC, a Delaware limited liability company, and each of the LLC Unitholders from time to time party thereto.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joins and enters into the Exchange Agreement having acquired LLC Units in WM Holding Company, LLC. By signing and returning this Joinder Agreement to the Corporation, the undersigned accepts and agrees to be bound by and subject to all of the terms and conditions of and agreements of an LLC Unitholder contained in the Exchange Agreement, with all attendant rights, duties and obligations of an LLC Unitholder thereunder. The parties to the Exchange Agreement shall treat the execution and delivery hereof by the undersigned as the execution and delivery of the Exchange Agreement by the undersigned and, upon receipt of this Joinder Agreement by the Corporation and by WM Holding Company, LLC, the signature of the undersigned set forth below shall constitute a counterpart signature to the signature page of the Exchange Agreement.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40640</wp:posOffset>
            </wp:positionV>
            <wp:extent cx="36429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4071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71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4071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71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4071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40640</wp:posOffset>
            </wp:positionV>
            <wp:extent cx="3617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4071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71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4071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71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4071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Execution copy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SUPPORT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VOTING AND SUPPORT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being executed and delivered as of December 10, 2020, by the Person named on the signature page hereto (the “</w:t>
      </w:r>
      <w:r>
        <w:rPr>
          <w:rFonts w:ascii="Arial" w:cs="Arial" w:eastAsia="Arial" w:hAnsi="Arial"/>
          <w:sz w:val="18"/>
          <w:szCs w:val="18"/>
          <w:b w:val="1"/>
          <w:bCs w:val="1"/>
          <w:color w:val="auto"/>
        </w:rPr>
        <w:t>Equityholder</w:t>
      </w:r>
      <w:r>
        <w:rPr>
          <w:rFonts w:ascii="Arial" w:cs="Arial" w:eastAsia="Arial" w:hAnsi="Arial"/>
          <w:sz w:val="18"/>
          <w:szCs w:val="18"/>
          <w:color w:val="auto"/>
        </w:rPr>
        <w:t>”), in favor of, and for the benefit of Silver Spike Acquisition Corp., a Cayman Islands exempted company (together with its successors, including the resulting Delaware corporation after the consummation of the Domestication (as defined below), “</w:t>
      </w:r>
      <w:r>
        <w:rPr>
          <w:rFonts w:ascii="Arial" w:cs="Arial" w:eastAsia="Arial" w:hAnsi="Arial"/>
          <w:sz w:val="18"/>
          <w:szCs w:val="18"/>
          <w:b w:val="1"/>
          <w:bCs w:val="1"/>
          <w:color w:val="auto"/>
        </w:rPr>
        <w:t>Parent</w:t>
      </w:r>
      <w:r>
        <w:rPr>
          <w:rFonts w:ascii="Arial" w:cs="Arial" w:eastAsia="Arial" w:hAnsi="Arial"/>
          <w:sz w:val="18"/>
          <w:szCs w:val="18"/>
          <w:color w:val="auto"/>
        </w:rPr>
        <w:t>”), and WM Holding Company, LLC, a Delaware limited liability company (together with its successors, including the surviving limited liability company in the Merger (as defined below), the “</w:t>
      </w:r>
      <w:r>
        <w:rPr>
          <w:rFonts w:ascii="Arial" w:cs="Arial" w:eastAsia="Arial" w:hAnsi="Arial"/>
          <w:sz w:val="18"/>
          <w:szCs w:val="18"/>
          <w:b w:val="1"/>
          <w:bCs w:val="1"/>
          <w:color w:val="auto"/>
        </w:rPr>
        <w:t>Company</w:t>
      </w:r>
      <w:r>
        <w:rPr>
          <w:rFonts w:ascii="Arial" w:cs="Arial" w:eastAsia="Arial" w:hAnsi="Arial"/>
          <w:sz w:val="18"/>
          <w:szCs w:val="18"/>
          <w:color w:val="auto"/>
        </w:rPr>
        <w:t>”). For purposes of this Agreement, Parent, the Company and the Equityholder are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Each capitalized term used and not otherwise defined herein has the meaning ascribed to such term in the Merger Agreement (as defined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pursuant to and subject to the terms and conditions of that certain Agreement and Plan of Merger, dated as of the date hereof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Parent, Silver Spike Merger Sub LLC, a Delaware limited liability company and wholly-owned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the Company, and, solely in its capacity as the Holder Representative thereunder, Ghost Media Group, LLC, a Nevada limited liability company (the “</w:t>
      </w:r>
      <w:r>
        <w:rPr>
          <w:rFonts w:ascii="Arial" w:cs="Arial" w:eastAsia="Arial" w:hAnsi="Arial"/>
          <w:sz w:val="16"/>
          <w:szCs w:val="16"/>
          <w:b w:val="1"/>
          <w:bCs w:val="1"/>
          <w:color w:val="auto"/>
        </w:rPr>
        <w:t>Holder Representative</w:t>
      </w:r>
      <w:r>
        <w:rPr>
          <w:rFonts w:ascii="Arial" w:cs="Arial" w:eastAsia="Arial" w:hAnsi="Arial"/>
          <w:sz w:val="16"/>
          <w:szCs w:val="16"/>
          <w:color w:val="auto"/>
        </w:rPr>
        <w:t>”), among other matters, (i) Parent will domesticate as a Delaware corporation in accordance with the applicable provisions of the Companies Law (2018 Revision) of the Cayman Island and the General Corporation Law of the State of Delaware, and (ii) Merger Sub will merge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with the Company continuing as the surviving limited liability company and a subsidiary of Parent;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as of the date hereof, the Equityholder is the record and beneficial owner of the Common Units and Incentive Units, as applicable, set forth next to the Equityholder’s name on the signature pages hereto (such units, together with any other limited liability company or other equity interests of the Company beneficially owned by the Equityholder, the “</w:t>
      </w:r>
      <w:r>
        <w:rPr>
          <w:rFonts w:ascii="Arial" w:cs="Arial" w:eastAsia="Arial" w:hAnsi="Arial"/>
          <w:sz w:val="18"/>
          <w:szCs w:val="18"/>
          <w:b w:val="1"/>
          <w:bCs w:val="1"/>
          <w:color w:val="auto"/>
        </w:rPr>
        <w:t>Subject Units</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Equityholder is entering into this Agreement in order to induce Parent and the Company to enter into the Merger Agreement and consummate the transactions contemplated thereby, pursuant to which the Equityholder will directly or indirectly receive a material benefit.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Equityholder hereby covenants and agrees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Voting</w:t>
      </w:r>
      <w:r>
        <w:rPr>
          <w:rFonts w:ascii="Arial" w:cs="Arial" w:eastAsia="Arial" w:hAnsi="Arial"/>
          <w:sz w:val="18"/>
          <w:szCs w:val="18"/>
          <w:color w:val="auto"/>
        </w:rPr>
        <w:t>.</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850"/>
        <w:spacing w:after="0" w:line="259" w:lineRule="auto"/>
        <w:tabs>
          <w:tab w:leader="none" w:pos="15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Equityholder agrees to take all actions necessary or advisable to execute and deliver the Company Member Approval to the Company as promptly as practicable, and in any event within three (3) Business Days, following the date that Parent receives, and notifies the Equityholder, the Company or the Holder Representative of Parent’s receipt of, SEC approval and effectiveness of the Registration Statement or Proxy Statement.</w:t>
      </w:r>
    </w:p>
    <w:p>
      <w:pPr>
        <w:spacing w:after="0" w:line="182" w:lineRule="exact"/>
        <w:rPr>
          <w:rFonts w:ascii="Arial" w:cs="Arial" w:eastAsia="Arial" w:hAnsi="Arial"/>
          <w:sz w:val="18"/>
          <w:szCs w:val="18"/>
          <w:color w:val="auto"/>
        </w:rPr>
      </w:pPr>
    </w:p>
    <w:p>
      <w:pPr>
        <w:jc w:val="both"/>
        <w:ind w:firstLine="850"/>
        <w:spacing w:after="0" w:line="287" w:lineRule="auto"/>
        <w:tabs>
          <w:tab w:leader="none" w:pos="14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Prior to the date on which this Agreement is terminated in accordance with its terms (the “</w:t>
      </w:r>
      <w:r>
        <w:rPr>
          <w:rFonts w:ascii="Arial" w:cs="Arial" w:eastAsia="Arial" w:hAnsi="Arial"/>
          <w:sz w:val="16"/>
          <w:szCs w:val="16"/>
          <w:b w:val="1"/>
          <w:bCs w:val="1"/>
          <w:color w:val="auto"/>
        </w:rPr>
        <w:t>Voting Period</w:t>
      </w:r>
      <w:r>
        <w:rPr>
          <w:rFonts w:ascii="Arial" w:cs="Arial" w:eastAsia="Arial" w:hAnsi="Arial"/>
          <w:sz w:val="16"/>
          <w:szCs w:val="16"/>
          <w:color w:val="auto"/>
        </w:rPr>
        <w:t>”), at each meeting of the Company Members, and in each written consent or resolutions of any of the Company Members in which the Equityholder is entitled to vote or consent, the Equityholder hereby unconditionally and irrevocably agrees to be present for such meeting and vote (in person or by proxy), or consent to any action by written consent or resolution with respect to, as applicable, the Subject Units and any other limited liability company or other equity interests of the Company over which the Equityholder has voting power (i) in favor of, and to adopt, the Merger Agreement, the Ancillary Agreements and the transactions contemplated thereby, (ii) in favor of the other matters set forth in the Merger Agreement to the extent required for the Company to carry out its obligations thereunder, and (iii) in opposition to: (A) any Acquisition Transaction and any and all other proposals (x) that could reasonably be expected to delay or impair the ability of the Company to consummate the transactions contemplated by the Merger Agreement or any Ancillary Agreement or (y) which are in competition with or materially inconsistent with the Merger Agreement or any Ancillary Agreement or (B) any other action or proposal involving the Company or any of its Subsidiaries that is intended, or would reasonably be expected, to prevent, impede, interfere with, delay, postpone or adversely affect in any material respect the transactions contemplated by the Merger Agreement or any Ancillary Agreement or would reasonably be expected to result in any of the conditions to the Company’s obligations under the Merger Agreement not being fulfilled.</w:t>
      </w:r>
    </w:p>
    <w:p>
      <w:pPr>
        <w:spacing w:after="0" w:line="171" w:lineRule="exact"/>
        <w:rPr>
          <w:rFonts w:ascii="Arial" w:cs="Arial" w:eastAsia="Arial" w:hAnsi="Arial"/>
          <w:sz w:val="16"/>
          <w:szCs w:val="16"/>
          <w:color w:val="auto"/>
        </w:rPr>
      </w:pPr>
    </w:p>
    <w:p>
      <w:pPr>
        <w:jc w:val="both"/>
        <w:ind w:firstLine="850"/>
        <w:spacing w:after="0" w:line="286" w:lineRule="auto"/>
        <w:tabs>
          <w:tab w:leader="none" w:pos="1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Equityholder agrees not to deposit, and to cause its Affiliates not to deposit, any Subject Units in a voting trust or subject any Subject Units to any arrangement or agreement with respect to the voting of such Subject Units, unless specifically requested to do so by the Company and Parent in connection with the Merger Agreement, the Ancillary Agreements or the transactions contemplated thereby.</w:t>
      </w:r>
    </w:p>
    <w:p>
      <w:pPr>
        <w:spacing w:after="0" w:line="165" w:lineRule="exact"/>
        <w:rPr>
          <w:rFonts w:ascii="Arial" w:cs="Arial" w:eastAsia="Arial" w:hAnsi="Arial"/>
          <w:sz w:val="17"/>
          <w:szCs w:val="17"/>
          <w:color w:val="auto"/>
        </w:rPr>
      </w:pPr>
    </w:p>
    <w:p>
      <w:pPr>
        <w:jc w:val="both"/>
        <w:ind w:firstLine="850"/>
        <w:spacing w:after="0" w:line="293" w:lineRule="auto"/>
        <w:tabs>
          <w:tab w:leader="none" w:pos="13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Equityholder agrees, except as contemplated by the Merger Agreement or any Ancillary Agreement, not to make, or in any manner participate in, directly or indirectly, a “solicitation” of “proxies” or consents (as such terms are used in the rules of the SEC) or powers of attorney or similar rights to vote, or seek to advise or influence any Person with respect to the voting of, any limited liability company or other equity interests of the Company in connection with any vote or other action with respect to transactions contemplated by the Merger Agreement or any Ancillary Agreement, other than to recommend that the Company Members vote in favor of the adoption of the Merger Agreement, the Ancillary Agreements and the transactions contemplated thereby (and any actions required in furtherance thereof and otherwise as expressly provided in this Section 1).</w:t>
      </w:r>
    </w:p>
    <w:p>
      <w:pPr>
        <w:spacing w:after="0" w:line="164" w:lineRule="exact"/>
        <w:rPr>
          <w:rFonts w:ascii="Arial" w:cs="Arial" w:eastAsia="Arial" w:hAnsi="Arial"/>
          <w:sz w:val="16"/>
          <w:szCs w:val="16"/>
          <w:color w:val="auto"/>
        </w:rPr>
      </w:pPr>
    </w:p>
    <w:p>
      <w:pPr>
        <w:ind w:left="1380" w:hanging="530"/>
        <w:spacing w:after="0"/>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Equityholder agrees (i) to refrain from exercising any dissenters’ rights or rights of appraisal under applicable Law at any time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the</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Merger Agreement, the Ancillary Agreements and the transactions contemplated thereby and (ii) not to commence or participate in any claim, derivative or otherwise, against the Company, Parent or any of their respective Affiliates relating to the negotiation, execution or delivery of this Agreement or the Merger Agreement or the consummation of the Merger, including any claim (A) challenging the validity of, or seeking to enjoin the operation of, any provision of this Agreement or (B) alleging a breach of any fiduciary duty of the Board of Directors of the Company in connection with this Agreement, the Merger Agreement or the Merger.</w:t>
      </w:r>
    </w:p>
    <w:p>
      <w:pPr>
        <w:spacing w:after="0" w:line="188" w:lineRule="exact"/>
        <w:rPr>
          <w:sz w:val="20"/>
          <w:szCs w:val="20"/>
          <w:color w:val="auto"/>
        </w:rPr>
      </w:pPr>
    </w:p>
    <w:p>
      <w:pPr>
        <w:jc w:val="both"/>
        <w:ind w:firstLine="850"/>
        <w:spacing w:after="0" w:line="269" w:lineRule="auto"/>
        <w:tabs>
          <w:tab w:leader="none" w:pos="15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Equityholder agrees that during the Voting Period it shall not, and shall cause its Affiliates not to, without Parent’s and the Company’s prior written consent, (i) make or attempt to make any Transfer of Subject Units, except (A) if the Equityholder is an individual, the Equityholder may Transfer any such Subject Units (1) to any member of such Equityholder’s immediate family, or to a trust for the benefit of the Equityholder or any member of such Equityholder’s immediate family, the sole trustees of which are the Equityholder or any member of the Equityholder’s immediate family or (2) by will, other testamentary document or under the laws of intestacy upon the death of such Equityholder; or (B) if the Equityholder is an entity, the Equityholder may Transfer any Subject Units to any partner, member or Affiliate of the Equityholder; provided that, in each case, such transferee of Subject Units signs a joinder to this Agreement in a form reasonably acceptable to Parent and the Company agreeing to be bound by this Section 1; (ii) grant any proxies or powers of attorney with respect to any or all of the Subject Units; or (iii) take any action with the intent to prevent, impede, interfere with or adversely affect the Equityholder’s ability to perform its obligations under this Section 1. The Company hereby agrees to reasonably cooperate with Parent in enforcing the transfer restrictions set forth in this Section 1.</w:t>
      </w:r>
    </w:p>
    <w:p>
      <w:pPr>
        <w:spacing w:after="0" w:line="185" w:lineRule="exact"/>
        <w:rPr>
          <w:rFonts w:ascii="Arial" w:cs="Arial" w:eastAsia="Arial" w:hAnsi="Arial"/>
          <w:sz w:val="17"/>
          <w:szCs w:val="17"/>
          <w:color w:val="auto"/>
        </w:rPr>
      </w:pPr>
    </w:p>
    <w:p>
      <w:pPr>
        <w:jc w:val="both"/>
        <w:ind w:firstLine="850"/>
        <w:spacing w:after="0" w:line="296" w:lineRule="auto"/>
        <w:tabs>
          <w:tab w:leader="none" w:pos="15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event of any equity dividend or distribution, or any change in the equity interests of the Company by reason of any equity dividend or distribution, equity split, recapitalization, combination, conversion, exchange of equity interests or the like, the term “</w:t>
      </w:r>
      <w:r>
        <w:rPr>
          <w:rFonts w:ascii="Arial" w:cs="Arial" w:eastAsia="Arial" w:hAnsi="Arial"/>
          <w:sz w:val="16"/>
          <w:szCs w:val="16"/>
          <w:b w:val="1"/>
          <w:bCs w:val="1"/>
          <w:color w:val="auto"/>
        </w:rPr>
        <w:t>Subject Units</w:t>
      </w:r>
      <w:r>
        <w:rPr>
          <w:rFonts w:ascii="Arial" w:cs="Arial" w:eastAsia="Arial" w:hAnsi="Arial"/>
          <w:sz w:val="16"/>
          <w:szCs w:val="16"/>
          <w:color w:val="auto"/>
        </w:rPr>
        <w:t>” shall be deemed to refer to and include the Subject Units as well as all such equity dividends and distributions and any securities into which or for which any or all of the Subject Units may be changed or exchanged or which are received in such transaction. The Equityholder agrees during the Voting Period to notify Parent promptly in writing of the number and type of any additional Subject Units acquired by the Equityholder, if any, after the date hereof.</w:t>
      </w:r>
    </w:p>
    <w:p>
      <w:pPr>
        <w:spacing w:after="0" w:line="161" w:lineRule="exact"/>
        <w:rPr>
          <w:rFonts w:ascii="Arial" w:cs="Arial" w:eastAsia="Arial" w:hAnsi="Arial"/>
          <w:sz w:val="16"/>
          <w:szCs w:val="16"/>
          <w:color w:val="auto"/>
        </w:rPr>
      </w:pPr>
    </w:p>
    <w:p>
      <w:pPr>
        <w:jc w:val="both"/>
        <w:ind w:firstLine="850"/>
        <w:spacing w:after="0" w:line="254" w:lineRule="auto"/>
        <w:tabs>
          <w:tab w:leader="none" w:pos="1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Voting Period, the Equityholder agrees to provide to Parent, the Company and their respective Representatives any information regarding the Equityholder or the Units that is reasonably requested by Parent, the Company or their respective Representatives and required in order for the Company and Parent to comply with Sections 9.05 and 9.09 of the Merger Agreement. To the extent required by applicable Law, the Equityholder hereby authorizes the Company and Parent to publish and disclose in any announcement or disclosure required by the SEC, Nasdaq or the Registration Statement (including all documents and schedules filed with the SEC in connection with the foregoing), the Equityholder’s identity and ownership of the Units and the nature of the Equityholder’s commitments and agreements under this Agreement, the Merger Agreement and any other Ancillary Agreements;</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provided that such disclosure is made in compliance with the provisions of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Appointment of Holder Representative; Further Assurances</w:t>
      </w:r>
    </w:p>
    <w:p>
      <w:pPr>
        <w:spacing w:after="0" w:line="225" w:lineRule="exact"/>
        <w:rPr>
          <w:sz w:val="20"/>
          <w:szCs w:val="20"/>
          <w:color w:val="auto"/>
        </w:rPr>
      </w:pPr>
    </w:p>
    <w:p>
      <w:pPr>
        <w:jc w:val="both"/>
        <w:ind w:firstLine="850"/>
        <w:spacing w:after="0" w:line="273" w:lineRule="auto"/>
        <w:tabs>
          <w:tab w:leader="none" w:pos="1438"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Appointment of Holder Representative. </w:t>
      </w:r>
      <w:r>
        <w:rPr>
          <w:rFonts w:ascii="Arial" w:cs="Arial" w:eastAsia="Arial" w:hAnsi="Arial"/>
          <w:sz w:val="17"/>
          <w:szCs w:val="17"/>
          <w:color w:val="auto"/>
        </w:rPr>
        <w:t>The Equityholder agrees and consents to the irrevocable appointment of Ghost Media Group,</w:t>
      </w:r>
      <w:r>
        <w:rPr>
          <w:rFonts w:ascii="Arial" w:cs="Arial" w:eastAsia="Arial" w:hAnsi="Arial"/>
          <w:sz w:val="17"/>
          <w:szCs w:val="17"/>
          <w:i w:val="1"/>
          <w:iCs w:val="1"/>
          <w:color w:val="auto"/>
        </w:rPr>
        <w:t xml:space="preserve"> </w:t>
      </w:r>
      <w:r>
        <w:rPr>
          <w:rFonts w:ascii="Arial" w:cs="Arial" w:eastAsia="Arial" w:hAnsi="Arial"/>
          <w:sz w:val="17"/>
          <w:szCs w:val="17"/>
          <w:color w:val="auto"/>
        </w:rPr>
        <w:t>LLC, a Nevada limited liability company, as Holder Representative and as the sole agent and attorney-in-fact for and on behalf of the Holders, including the undersigned, with full power of substitution, with all of the powers and authority contemplated by (x) the Merger Agreement, including Section 12.01 and Section 12.02 thereof and (y) any agreement between Holder Representative and the Exchange Agent. The Equityholder acknowledges and agrees that any compromise or settlement of any matter by the Holder Representative as contemplated by the Merger Agreement (including Section 12.01 and Section 12.02 thereof) shall be binding upon, and fully enforceable against, the undersigned.</w:t>
      </w:r>
    </w:p>
    <w:p>
      <w:pPr>
        <w:spacing w:after="0" w:line="177" w:lineRule="exact"/>
        <w:rPr>
          <w:rFonts w:ascii="Arial" w:cs="Arial" w:eastAsia="Arial" w:hAnsi="Arial"/>
          <w:sz w:val="17"/>
          <w:szCs w:val="17"/>
          <w:color w:val="auto"/>
        </w:rPr>
      </w:pPr>
    </w:p>
    <w:p>
      <w:pPr>
        <w:jc w:val="both"/>
        <w:ind w:firstLine="850"/>
        <w:spacing w:after="0" w:line="291" w:lineRule="auto"/>
        <w:tabs>
          <w:tab w:leader="none" w:pos="1421"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Further Assurances. </w:t>
      </w:r>
      <w:r>
        <w:rPr>
          <w:rFonts w:ascii="Arial" w:cs="Arial" w:eastAsia="Arial" w:hAnsi="Arial"/>
          <w:sz w:val="16"/>
          <w:szCs w:val="16"/>
          <w:color w:val="auto"/>
        </w:rPr>
        <w:t>The Equityholder agrees to execute and deliver, or cause to be executed and delivered, all further documents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 Parent may reasonably request to consummate and make effective the transactions contemplated by this Agreement. Without limiting the foregoing, the Equityholder agrees that it shall, and shall cause its Affiliates to, (i) file or supply, or cause to be filed or supplied, in connection with the transactions contemplated by this Agreement and the Ancillary Agreements, all notifications and filings (or, if required by the relevant Governmental Authorities, drafts thereof) required to be filed or supplied pursuant to applicable Antitrust Laws or other regulatory Laws as promptly as practicable after the date hereof (and all such filings shall not be withdrawn or otherwise rescinded without the prior written consent of Parent) and (ii) use its reasonable best efforts to provide, or cause to be provided, any information requested by Governmental Authorities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Restriction on Sale of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850"/>
        <w:spacing w:after="0" w:line="289" w:lineRule="auto"/>
        <w:tabs>
          <w:tab w:leader="none" w:pos="13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Equityholder hereby agrees and covenants that, it will not, during the period from the date of the Closing and ending on the date that is one-hundred and eighty (180) days following the date of the Closing (the “</w:t>
      </w:r>
      <w:r>
        <w:rPr>
          <w:rFonts w:ascii="Arial" w:cs="Arial" w:eastAsia="Arial" w:hAnsi="Arial"/>
          <w:sz w:val="16"/>
          <w:szCs w:val="16"/>
          <w:b w:val="1"/>
          <w:bCs w:val="1"/>
          <w:color w:val="auto"/>
        </w:rPr>
        <w:t>Lock-Up Period</w:t>
      </w:r>
      <w:r>
        <w:rPr>
          <w:rFonts w:ascii="Arial" w:cs="Arial" w:eastAsia="Arial" w:hAnsi="Arial"/>
          <w:sz w:val="16"/>
          <w:szCs w:val="16"/>
          <w:color w:val="auto"/>
        </w:rPr>
        <w:t>”), (i) Transfer any limited liability company interests of the Surviving Company or any equity interests of Surviving Pubco (including shares of Surviving Pubco Class A Common Stock) received or retained as consideration under the Merger Agreement, including securities held in escrow or otherwise issued or delivered after the Closing pursuant to the Merger Agreement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(a “</w:t>
      </w:r>
      <w:r>
        <w:rPr>
          <w:rFonts w:ascii="Arial" w:cs="Arial" w:eastAsia="Arial" w:hAnsi="Arial"/>
          <w:sz w:val="16"/>
          <w:szCs w:val="16"/>
          <w:b w:val="1"/>
          <w:bCs w:val="1"/>
          <w:color w:val="auto"/>
        </w:rPr>
        <w:t>Prohibited Transfer</w:t>
      </w:r>
      <w:r>
        <w:rPr>
          <w:rFonts w:ascii="Arial" w:cs="Arial" w:eastAsia="Arial" w:hAnsi="Arial"/>
          <w:sz w:val="16"/>
          <w:szCs w:val="16"/>
          <w:color w:val="auto"/>
        </w:rPr>
        <w:t>”). If any Prohibited Transfer is made or attempted contrary to the provisions of this Agreement, such purported Prohibited Transfer shall be null and void ab initio, and Parent and the Company shall refuse to recognize any such purported transferee of the Restricted Securities as one of its equity holders for any purpose. In order to enforce this Section 4, Parent and the Company may impose stop-transfer instructions with respect to the Restricted Securities of the Equityholder until the end of the Lock-Up Period, as well as include customary legends on any certificates for any of the Restricted Securities reflecting the restrictions under this Section 4.</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ind w:firstLine="850"/>
        <w:spacing w:after="0" w:line="284" w:lineRule="auto"/>
        <w:tabs>
          <w:tab w:leader="none" w:pos="1412"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Section 4(a), Transfers of Restricted Securities during the Lock-Up Period are permitted (i) in the case of an individual, by gift to a member of the individual’s immediate family, or to a trust, the beneficiary of which is a member of the individual’s immediate family or an affiliate of such person, or to a charitable organization; (ii) in the case of an individual, by virtue of laws of descent and distribution upon death of the individual; (iii) in the case of an individual, pursuant to a qualified domestic relations order; (iv) in the case of an entity, Transfers to a stockholder, partner, member or affiliate of such entity; (v) in the case of an entity, Transfers by virtue of the laws of the state of the entity’s organization and the entity’s organizational documents upon dissolution of the entity; (vi) transactions relating to Pubco Class A Common Stock or other securities convertible into or exercisable or exchangeable for Pubco Class A Common Stock acquired in open market transactions after the Closing, provided that no such transaction is required to be, or is, publicly announced (whether on Form 4, Form 5 or otherwise, other than a required filing on Schedule 13F, 13G or 13G/A) during the Lock-Up Period; (vii) the exercise of any options or warrants to purchase Pubco Class A Common Stock (which exercises may be effected on a cashless basis to the extent the instruments representing such options or warrants permit exercises on a cashless basis); (viii) Transfers to the Company to satisfy tax withholding obligations pursuant to the Company’s equity incentive plans or arrangements; (ix) Transfers to the Company pursuant to any contractual arrangement in effect at the Closing that provides for the repurchase by the Company or forfeiture of the Equityholder’s Restricted Securities in connection with the termination of the Equityholder’s service to the Company; (x) the entry, by the Equityholder, at any time after the Closing, of any trading plan providing for the sale of Pubco Class A Common Stock by the Equityholder, which trading plan meets the requirements of Rule 10b5-1(c) under the Securities Exchange Act of 1934, as amended,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plan does not provide for, or permit, the sale of any Pubco Class A Common Stock during the Lock-Up Period and no public announcement or filing is voluntarily made or required regarding such plan during the Lock-Up Period; and (xi) transaction in the event of the Surviving Company’s or the Surviving Pubco’s completion of a liquidation, merger, amalgamation, share exchange, reorganization or other similar transaction which results in all of the equityholders of the Surviving Company or Surviving Pubco, as applicable, having the right to exchange their limited liability company interests of the Surviving Company or equity interests of Surviving Pubco for cash, securities or other property;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clauses (i) through (v), these permitted transferees must enter into a written agreement with the Parent agreeing to be bound by the transfer restrictions in this Agreement.</w:t>
      </w:r>
    </w:p>
    <w:p>
      <w:pPr>
        <w:spacing w:after="0" w:line="179" w:lineRule="exact"/>
        <w:rPr>
          <w:rFonts w:ascii="Arial" w:cs="Arial" w:eastAsia="Arial" w:hAnsi="Arial"/>
          <w:sz w:val="16"/>
          <w:szCs w:val="16"/>
          <w:color w:val="auto"/>
        </w:rPr>
      </w:pPr>
    </w:p>
    <w:p>
      <w:pPr>
        <w:jc w:val="both"/>
        <w:ind w:firstLine="850"/>
        <w:spacing w:after="0" w:line="284" w:lineRule="auto"/>
        <w:tabs>
          <w:tab w:leader="none" w:pos="1387"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 purposes of this Agreement, “Transfer”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SEC promulgated thereunder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w:t>
      </w:r>
    </w:p>
    <w:p>
      <w:pPr>
        <w:spacing w:after="0" w:line="4"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 (ii).</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both"/>
        <w:ind w:firstLine="850"/>
        <w:spacing w:after="0" w:line="263" w:lineRule="auto"/>
        <w:tabs>
          <w:tab w:leader="none" w:pos="14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this Section 3, “immediate family” shall mean a spouse, domestic partner, child, grandchild or other lineal descendant (including by adoption), father, mother, brother or sister of the Equityholder; and “affiliate” shall have the meaning set forth in Rule 405 under the Securities Act of 1933, as amended.</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Equityholder Representations and Warranties.</w:t>
      </w:r>
      <w:r>
        <w:rPr>
          <w:rFonts w:ascii="Arial" w:cs="Arial" w:eastAsia="Arial" w:hAnsi="Arial"/>
          <w:sz w:val="18"/>
          <w:szCs w:val="18"/>
          <w:color w:val="auto"/>
        </w:rPr>
        <w:t xml:space="preserve"> The Equityholder represents and warrants to Parent and Merger Sub as follows.</w:t>
      </w:r>
    </w:p>
    <w:p>
      <w:pPr>
        <w:spacing w:after="0" w:line="225" w:lineRule="exact"/>
        <w:rPr>
          <w:sz w:val="20"/>
          <w:szCs w:val="20"/>
          <w:color w:val="auto"/>
        </w:rPr>
      </w:pPr>
    </w:p>
    <w:p>
      <w:pPr>
        <w:jc w:val="both"/>
        <w:ind w:firstLine="850"/>
        <w:spacing w:after="0" w:line="255" w:lineRule="auto"/>
        <w:tabs>
          <w:tab w:leader="none" w:pos="146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If the Equityholder is not an individual, it is duly organized, validly existing and in good standing (where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laws of the jurisdiction in which it is incorporated, organized or constituted, and the execution, delivery and performance of this Agreement and the consummation of the transactions contemplated hereby are within the Equityholder’s corporate or organizational powers and have been duly authorized by all necessary corporate or organizational action on the part of the Equityholder. If the Equityholder is an individual, the Equityholder has full legal capacity, right and authority to execute and deliver this Agreement and to perform his or her obligations hereunder and the Equityholder’s Subject Units do not constitute community property under applicable Law.</w:t>
      </w:r>
    </w:p>
    <w:p>
      <w:pPr>
        <w:spacing w:after="0" w:line="192" w:lineRule="exact"/>
        <w:rPr>
          <w:rFonts w:ascii="Arial" w:cs="Arial" w:eastAsia="Arial" w:hAnsi="Arial"/>
          <w:sz w:val="18"/>
          <w:szCs w:val="18"/>
          <w:color w:val="auto"/>
        </w:rPr>
      </w:pPr>
    </w:p>
    <w:p>
      <w:pPr>
        <w:jc w:val="both"/>
        <w:ind w:firstLine="850"/>
        <w:spacing w:after="0" w:line="287" w:lineRule="auto"/>
        <w:tabs>
          <w:tab w:leader="none" w:pos="154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Ownership of Subject Units</w:t>
      </w:r>
      <w:r>
        <w:rPr>
          <w:rFonts w:ascii="Arial" w:cs="Arial" w:eastAsia="Arial" w:hAnsi="Arial"/>
          <w:sz w:val="16"/>
          <w:szCs w:val="16"/>
          <w:color w:val="auto"/>
        </w:rPr>
        <w:t>. The Equityholder is the record and beneficial owner (as defined in Rule 13d-3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of 1934, as amended) of, and has good and valid title to, all of the Equityholder’s Subject Units (including those set forth on the Equityholder’s signature page hereto), free and clear of any Lien, or any other limitation or restriction (including any restriction on the right to vote, sell or otherwise dispose of such Subject Units), except (i) transfer restrictions under the Securities Act of 1933, (ii) prior to the Closing, the Company Operating Agreement and (iii) this Agreement. The Equityholder’s Subject Units set forth on the signature pages hereto are the only securities of the Company owned of record or beneficially by the Equityholder or the Equityholder’s Affiliates, family members or trusts for the benefit of the Equityholder or any of the Equityholder’s family members on the date of this Agreement. The Equityholder has the sole right to transfer and direct the voting of the Equityholder’s Subject Units and, other than the Company Operating Agreement, none of the Equityholder’s Subject Units are subject to any proxy, voting trust or other agreement, arrangement or restriction with respect to the voting of such Subject Units, except as expressly provided herein for the benefit of Parent. The Equityholder has the requisite voting power and the requisite power to agree to all of the matters set forth in this Agreement, with respect to all of its Subject Units, in each case necessary to perform its obligations under this Agreement, with no limitations, qualifications or restrictions on such rights.</w:t>
      </w:r>
    </w:p>
    <w:p>
      <w:pPr>
        <w:spacing w:after="0" w:line="171" w:lineRule="exact"/>
        <w:rPr>
          <w:rFonts w:ascii="Arial" w:cs="Arial" w:eastAsia="Arial" w:hAnsi="Arial"/>
          <w:sz w:val="16"/>
          <w:szCs w:val="16"/>
          <w:color w:val="auto"/>
        </w:rPr>
      </w:pPr>
    </w:p>
    <w:p>
      <w:pPr>
        <w:jc w:val="both"/>
        <w:ind w:firstLine="850"/>
        <w:spacing w:after="0" w:line="263" w:lineRule="auto"/>
        <w:tabs>
          <w:tab w:leader="none" w:pos="135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Authority. </w:t>
      </w:r>
      <w:r>
        <w:rPr>
          <w:rFonts w:ascii="Arial" w:cs="Arial" w:eastAsia="Arial" w:hAnsi="Arial"/>
          <w:sz w:val="18"/>
          <w:szCs w:val="18"/>
          <w:color w:val="auto"/>
        </w:rPr>
        <w:t>This Agreement has been duly executed and delivered by the Equityholder and, assuming the due authorization, execution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hereof by Parent and that this Agreement constitutes a legally valid and binding agreement of Parent, this Agreement constitutes a legally valid and binding obligation of the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Equityholder, enforceable against the Equityholder in accordance with the terms hereof (subject only to the effect, if any, of (i) applicable bankruptcy and other similar applicable Law affecting the rights of creditors generally and (ii) rules of law governing specific performance, injunctive relief and other equitable remedies). If this Agreement is being executed in a representative or fiduciary capacity, the Person signing this Agreement has full power and authority to enter into this Agreement on behalf of the Equityholder.</w:t>
      </w:r>
    </w:p>
    <w:p>
      <w:pPr>
        <w:spacing w:after="0" w:line="187" w:lineRule="exact"/>
        <w:rPr>
          <w:sz w:val="20"/>
          <w:szCs w:val="20"/>
          <w:color w:val="auto"/>
        </w:rPr>
      </w:pPr>
    </w:p>
    <w:p>
      <w:pPr>
        <w:jc w:val="both"/>
        <w:ind w:firstLine="850"/>
        <w:spacing w:after="0" w:line="269" w:lineRule="auto"/>
        <w:tabs>
          <w:tab w:leader="none" w:pos="162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and delivery of this Agreement by the Equityholder does not, and the performance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Equityholder of its, his or her obligations hereunder will not, (i) result in a violation of applicable Law, except for such violations which would not reasonably be expected, individually or in the aggregate, to have a material effect upon such Equityholder’s ability to perform its obligations under the Merger Agreement or any Ancillary Agreement or to consummate the transactions contemplated thereby, (ii) if the Equityholder is not an individual, conflict with or result in a violation of the governing documents of the Equityholder, (iii) require any consent or approval that has not been given or other action (including notice of payment or any filing with any Governmental Authority) that has not been taken by any Person (including under any Contract binding upon the Equityholder or the Equityholder’s Subject Units), except where the failure to obtain such consents or to take such actions would not reasonably be expected, individually or in the aggregate, to have a material effect upon such Equityholder’s ability to perform its obligations under the Merger Agreement or any Ancillary Agreement or to consummate the transactions contemplated thereby, or (iv) result in the creation or imposition of any Lien on the Equityholder’s Subject Units. There is no beneficiary or holder of a voting trust certificate or other interest of any trust of which the Equityholder is a trustee whose consent is required for either the execution and delivery of this Agreement or the consummation by the Equityholder of the transactions contemplated by this Agreement that has not been obtained.</w:t>
      </w:r>
    </w:p>
    <w:p>
      <w:pPr>
        <w:spacing w:after="0" w:line="178" w:lineRule="exact"/>
        <w:rPr>
          <w:rFonts w:ascii="Arial" w:cs="Arial" w:eastAsia="Arial" w:hAnsi="Arial"/>
          <w:sz w:val="17"/>
          <w:szCs w:val="17"/>
          <w:color w:val="auto"/>
        </w:rPr>
      </w:pPr>
    </w:p>
    <w:p>
      <w:pPr>
        <w:jc w:val="both"/>
        <w:ind w:firstLine="850"/>
        <w:spacing w:after="0" w:line="255" w:lineRule="auto"/>
        <w:tabs>
          <w:tab w:leader="none" w:pos="138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There is no Action pending against, or to the knowledge of the Equityholder, threatened against the Equityholder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Affiliates, by or before (or that would be by or before) any Governmental Authority or arbitrator that, if determined or resolved adversely in accordance with the plaintiff’s demands, would reasonably be expected, individually or in the aggregate, to prevent or enjoin such Equityholder’s performance of its obligations under the Merger Agreement or any Ancillary Agreement. None of the Holder or any of its Affiliates is subject to any Governmental Order that would reasonably be expected, individually or in the aggregate, to prevent or enjoin such Equityholder’s performance of its obligations under the Merger Agreement or any Ancillary Agreement.</w:t>
      </w:r>
    </w:p>
    <w:p>
      <w:pPr>
        <w:spacing w:after="0" w:line="192" w:lineRule="exact"/>
        <w:rPr>
          <w:rFonts w:ascii="Arial" w:cs="Arial" w:eastAsia="Arial" w:hAnsi="Arial"/>
          <w:sz w:val="18"/>
          <w:szCs w:val="18"/>
          <w:color w:val="auto"/>
        </w:rPr>
      </w:pPr>
    </w:p>
    <w:p>
      <w:pPr>
        <w:jc w:val="both"/>
        <w:ind w:firstLine="850"/>
        <w:spacing w:after="0" w:line="263" w:lineRule="auto"/>
        <w:tabs>
          <w:tab w:leader="none" w:pos="145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Trusts. </w:t>
      </w:r>
      <w:r>
        <w:rPr>
          <w:rFonts w:ascii="Arial" w:cs="Arial" w:eastAsia="Arial" w:hAnsi="Arial"/>
          <w:sz w:val="18"/>
          <w:szCs w:val="18"/>
          <w:color w:val="auto"/>
        </w:rPr>
        <w:t>If the Equityholder is the beneficial owner of any Subject Units held in trust, no consent of any beneficiary of such trust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 connection with the execution and delivery of this Agreement and the consummation of the transactions contemplated hereby or by the Merger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Finders Fees</w:t>
      </w:r>
      <w:r>
        <w:rPr>
          <w:rFonts w:ascii="Arial" w:cs="Arial" w:eastAsia="Arial" w:hAnsi="Arial"/>
          <w:sz w:val="18"/>
          <w:szCs w:val="18"/>
          <w:color w:val="auto"/>
        </w:rPr>
        <w:t>. No investment banker, broker, finder or other intermediary is entitled to a fee or commission from the Equityholder, the Company or any of their respective Affiliates in respect of the Merger Agreement, this Agreement or any of the respective transactions contemplated thereby and hereby based upon any arrangement or agreement made by or, to the knowledge of the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Equityholder, on behalf of the Equityholder, except as set forth on Section 5.15 of the Company Disclosure Schedule.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Remedies</w:t>
      </w:r>
      <w:r>
        <w:rPr>
          <w:rFonts w:ascii="Arial" w:cs="Arial" w:eastAsia="Arial" w:hAnsi="Arial"/>
          <w:sz w:val="17"/>
          <w:szCs w:val="17"/>
          <w:color w:val="auto"/>
        </w:rPr>
        <w:t>. The Equityholder acknowledges and agrees that the rights of each party contemplated by this Agreement are unique. Accordingly, the Equityholder agrees that a remedy at law for any breach of this Agreement would be inadequate and that the Company, Parent, their Subsidiaries or their respective Affiliates, in addition to any other remedies available, shall be entitled to obtain preliminary and permanent injunctive relief to secure specific performance of such covenants and to prevent a breach or contemplated breach of this Agreement without the necessity of proving actual damage or posting a bond or other security. The Equityholder will be responsible for any breach or violation of this Agreement by its Representatives. In the event of any Action under this Agreement between the Equityholder and the Company or Parent, as applicable, the non-prevailing party in such Action as determined in a final, non-appealable decision by a court of competent jurisdiction will pay its own expenses and the reasonable out-of-pocket expenses, including reasonable attorneys’ fees and costs, incurred by the other party. The occurrence of the Closing will not relieve the Equityholder of any obligation or liability arising from any breach by the Equityholder of this Agreement prior to the Closing.</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i w:val="1"/>
          <w:iCs w:val="1"/>
          <w:color w:val="auto"/>
        </w:rPr>
        <w:t>Severability</w:t>
      </w:r>
      <w:r>
        <w:rPr>
          <w:rFonts w:ascii="Arial" w:cs="Arial" w:eastAsia="Arial" w:hAnsi="Arial"/>
          <w:sz w:val="17"/>
          <w:szCs w:val="17"/>
          <w:color w:val="auto"/>
        </w:rPr>
        <w:t>. Each provision of this Agreement is separable from every other provision of this Agreement. If any provision of this Agreement is found or held to be invalid, illegal or unenforceable, in whole or in part, by a court of competent jurisdiction, then (i) such provision will be deemed amended to conform to applicable laws so as to be valid, legal and enforceable to the fullest possible extent, (ii) the invalidity, illegality or unenforceability of such provision will not affect the validity, legality or enforceability of such provision under any other circumstances or in any other jurisdiction, and (iii) the invalidity, illegality or unenforceability of such provision will not affect the validity, legality or enforceability of the remainder of such provision or the validity, legality or enforceability of any other provision of this Agreement. Without limiting the foregoing, if any covenant of the Equityholder in this Agreement is held to be unreasonable, arbitrary, or against public policy, such covenant shall be considered to be divisible with respect to scope, time and geographic area, and such lesser scope, time or geographic area, or all of them, as a court of competent jurisdiction may determine to be reasonable, not arbitrary, and not against public policy, shall be effective, binding and enforceable against the Equityholder.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Governing Law; Submission to Jurisdiction; Waiver of Jury</w:t>
      </w:r>
      <w:r>
        <w:rPr>
          <w:rFonts w:ascii="Arial" w:cs="Arial" w:eastAsia="Arial" w:hAnsi="Arial"/>
          <w:sz w:val="18"/>
          <w:szCs w:val="18"/>
          <w:color w:val="auto"/>
        </w:rPr>
        <w:t xml:space="preserve">. Section 13.07 and Section 13.13 of the Merger Agreement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Waiver</w:t>
      </w:r>
      <w:r>
        <w:rPr>
          <w:rFonts w:ascii="Arial" w:cs="Arial" w:eastAsia="Arial" w:hAnsi="Arial"/>
          <w:sz w:val="18"/>
          <w:szCs w:val="18"/>
          <w:color w:val="auto"/>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Any extension or waiver in favor of the Equityholder of any provision hereto shall be valid only if set forth in an instrument in writing signed by Parent and the Company; and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provided, that any such waiver shall not be applicable or have any effect except in the specific instance in which it is given.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Headings; Interpretation; Counterparts</w:t>
      </w:r>
      <w:r>
        <w:rPr>
          <w:rFonts w:ascii="Arial" w:cs="Arial" w:eastAsia="Arial" w:hAnsi="Arial"/>
          <w:sz w:val="18"/>
          <w:szCs w:val="18"/>
          <w:color w:val="auto"/>
        </w:rPr>
        <w:t xml:space="preserve">. The provisions of Section 13.08 of the Merger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Successors and Assigns; Third Party Beneficiaries</w:t>
      </w:r>
      <w:r>
        <w:rPr>
          <w:rFonts w:ascii="Arial" w:cs="Arial" w:eastAsia="Arial" w:hAnsi="Arial"/>
          <w:sz w:val="16"/>
          <w:szCs w:val="16"/>
          <w:color w:val="auto"/>
        </w:rPr>
        <w:t>. The provisions of this Agreement shall be binding upon and inure to the benefit of the Parties and their respective successors and assigns; provided that no Party may assign, delegate or otherwise transfer any of its rights or obligations under this Agreement without the prior written consent of the other Party, except that the Company, Parent or any of their respective Subsidiaries may transfer or assign its rights and obligations under this Agreement, in whole or from time to time in part, to (i) one or more of its Affiliates at any time and</w:t>
      </w:r>
    </w:p>
    <w:p>
      <w:pPr>
        <w:spacing w:after="0" w:line="1" w:lineRule="exact"/>
        <w:rPr>
          <w:sz w:val="20"/>
          <w:szCs w:val="20"/>
          <w:color w:val="auto"/>
        </w:rPr>
      </w:pPr>
    </w:p>
    <w:p>
      <w:pPr>
        <w:jc w:val="both"/>
        <w:ind w:firstLine="8"/>
        <w:spacing w:after="0" w:line="255" w:lineRule="auto"/>
        <w:tabs>
          <w:tab w:leader="none" w:pos="2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the Effective Time, to any Person; provided that no such transfer or assignment shall relieve such party of its obligations hereunder or enlarge, alter or change any obligation of any other Party. Each of the Company, Parent and their respective Subsidiaries are express third party beneficiaries of this Agreement and will be considered parties under and for purposes of this Agreement.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Trusts.</w:t>
      </w:r>
      <w:r>
        <w:rPr>
          <w:rFonts w:ascii="Arial" w:cs="Arial" w:eastAsia="Arial" w:hAnsi="Arial"/>
          <w:sz w:val="18"/>
          <w:szCs w:val="18"/>
          <w:color w:val="auto"/>
        </w:rPr>
        <w:t xml:space="preserve"> If applicable, for purposes of this Agreement, the Equityholder with respect to any Subject Units held in trust shall be deemed to be the relevant trust and/or the trustees thereof acting in their capacities as such trustees, in each case as the context may require, including for purposes of such trustees’ representations and warranties as to the proper organization of the trust, their power and authority as trustees and the non-contravention of the trust’s governing instruments.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only be amended or modified by an instrument in writing signed by each of the Equityholder, Parent and the Company.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addressed as follows:</w:t>
      </w:r>
    </w:p>
    <w:p>
      <w:pPr>
        <w:spacing w:after="0" w:line="171" w:lineRule="exact"/>
        <w:rPr>
          <w:sz w:val="20"/>
          <w:szCs w:val="20"/>
          <w:color w:val="auto"/>
        </w:rPr>
      </w:pPr>
    </w:p>
    <w:p>
      <w:pPr>
        <w:ind w:left="2440" w:hanging="488"/>
        <w:spacing w:after="0"/>
        <w:tabs>
          <w:tab w:leader="none" w:pos="2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660 Madison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Greg Gentile</w:t>
      </w:r>
    </w:p>
    <w:p>
      <w:pPr>
        <w:spacing w:after="0" w:line="9"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notices@silverspikecap.com</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130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Derek Dostal</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Lee Hochbaum</w:t>
      </w:r>
    </w:p>
    <w:p>
      <w:pPr>
        <w:spacing w:after="0" w:line="9"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derek.dostal@davispolk.com</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lee.hochbaum@davispolk.com</w:t>
      </w:r>
    </w:p>
    <w:p>
      <w:pPr>
        <w:spacing w:after="0" w:line="211" w:lineRule="exact"/>
        <w:rPr>
          <w:sz w:val="20"/>
          <w:szCs w:val="20"/>
          <w:color w:val="auto"/>
        </w:rPr>
      </w:pPr>
    </w:p>
    <w:p>
      <w:pPr>
        <w:ind w:left="2480" w:hanging="528"/>
        <w:spacing w:after="0"/>
        <w:tabs>
          <w:tab w:leader="none" w:pos="2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WM Holding Company, LLC</w:t>
      </w:r>
    </w:p>
    <w:p>
      <w:pPr>
        <w:spacing w:after="0" w:line="23" w:lineRule="exact"/>
        <w:rPr>
          <w:sz w:val="20"/>
          <w:szCs w:val="20"/>
          <w:color w:val="auto"/>
        </w:rPr>
      </w:pPr>
    </w:p>
    <w:p>
      <w:pPr>
        <w:ind w:left="1960" w:right="7220" w:hanging="8"/>
        <w:spacing w:after="0" w:line="250" w:lineRule="auto"/>
        <w:tabs>
          <w:tab w:leader="none" w:pos="21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Discovery Irvine, CA 92618 Attention: General Counsel</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legal@weedmaps.com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Cooley LLP</w:t>
      </w:r>
    </w:p>
    <w:p>
      <w:pPr>
        <w:ind w:left="1960"/>
        <w:spacing w:after="0" w:line="202" w:lineRule="auto"/>
        <w:rPr>
          <w:sz w:val="20"/>
          <w:szCs w:val="20"/>
          <w:color w:val="auto"/>
        </w:rPr>
      </w:pPr>
      <w:r>
        <w:rPr>
          <w:rFonts w:ascii="Arial" w:cs="Arial" w:eastAsia="Arial" w:hAnsi="Arial"/>
          <w:sz w:val="18"/>
          <w:szCs w:val="18"/>
          <w:color w:val="auto"/>
        </w:rPr>
        <w:t>101 California Street,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94111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Eric Jensen; Garth Osterman</w:t>
      </w:r>
    </w:p>
    <w:p>
      <w:pPr>
        <w:spacing w:after="0" w:line="9"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ejensen@cooley.com; gosterman@cooley.com</w:t>
      </w:r>
    </w:p>
    <w:p>
      <w:pPr>
        <w:spacing w:after="0" w:line="211" w:lineRule="exact"/>
        <w:rPr>
          <w:sz w:val="20"/>
          <w:szCs w:val="20"/>
          <w:color w:val="auto"/>
        </w:rPr>
      </w:pPr>
    </w:p>
    <w:p>
      <w:pPr>
        <w:ind w:left="2540" w:hanging="588"/>
        <w:spacing w:after="0"/>
        <w:tabs>
          <w:tab w:leader="none" w:pos="2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to the Equityholder, to the address set forth on the signature page hereto.</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i w:val="1"/>
          <w:iCs w:val="1"/>
          <w:color w:val="auto"/>
        </w:rPr>
        <w:t>Effectiveness; Termination</w:t>
      </w:r>
      <w:r>
        <w:rPr>
          <w:rFonts w:ascii="Arial" w:cs="Arial" w:eastAsia="Arial" w:hAnsi="Arial"/>
          <w:sz w:val="17"/>
          <w:szCs w:val="17"/>
          <w:color w:val="auto"/>
        </w:rPr>
        <w:t>. This Agreement shall become effective as of the date hereof and shall automatically terminate (without the requirement of any action by any party hereto) and be of no further force or effect upon the earliest to occur of (a) the date on which the Merger Agreement is terminated in accordance with its terms prior to the Effective Time, (b) the mutual written consent of Parent, the Company and the Equityholder and (c) the time of any modification, amendment or waiver of the Merger Agreement without Equityholder’s prior written consent that (i) decreases or changes the form of the Merger Consideration in a manner adverse to the Equityholder, (ii) imposes additional conditions to the obligations of the parties to the Merger Agreement to consummate the transactions contemplated thereby in a manner that materially adversely affects the Equityholder, (iii) modifies the conditions of the obligations of the parties to the Merger Agreement to consummate the transactions contemplated thereby in a manner that materially adversely affects the Equityholder or (iv) extends or otherwise changes the Termination Date in a manner other than as required or permitted by the Merger Agreement. Nothing in this Section 16 shall relieve any Party from liability for any intentional breach of this Agreement by such Party prior to the termination of this Agreement.</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IN WITNESS WHEREOF, each Party has duly executed this Agreement as of the date first written above.</w:t>
      </w:r>
    </w:p>
    <w:p>
      <w:pPr>
        <w:spacing w:after="0" w:line="22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PARENT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14605</wp:posOffset>
            </wp:positionV>
            <wp:extent cx="21342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WM HOLDING COMPANY, LLC</w:t>
      </w:r>
    </w:p>
    <w:p>
      <w:pPr>
        <w:spacing w:after="0" w:line="200" w:lineRule="exact"/>
        <w:rPr>
          <w:sz w:val="20"/>
          <w:szCs w:val="20"/>
          <w:color w:val="auto"/>
        </w:rPr>
      </w:pPr>
    </w:p>
    <w:p>
      <w:pPr>
        <w:spacing w:after="0" w:line="2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14605</wp:posOffset>
            </wp:positionV>
            <wp:extent cx="2134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Christopher Beals</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and Support Agreement</w:t>
      </w:r>
      <w:r>
        <w:rPr>
          <w:rFonts w:ascii="Arial" w:cs="Arial" w:eastAsia="Arial" w:hAnsi="Arial"/>
          <w:sz w:val="18"/>
          <w:szCs w:val="18"/>
          <w:color w:val="auto"/>
        </w:rPr>
        <w: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980" w:top="584" w:right="117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 WITNESS WHEREOF, each Party has duly executed this Agreement as of the date first written above.</w:t>
      </w:r>
    </w:p>
    <w:p>
      <w:pPr>
        <w:spacing w:after="0" w:line="23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EQUITYHOLDER: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10795</wp:posOffset>
            </wp:positionV>
            <wp:extent cx="23488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4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14605</wp:posOffset>
            </wp:positionV>
            <wp:extent cx="27857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0086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14605</wp:posOffset>
            </wp:positionV>
            <wp:extent cx="27089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14605</wp:posOffset>
            </wp:positionV>
            <wp:extent cx="2631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48895</wp:posOffset>
            </wp:positionV>
            <wp:extent cx="27774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700405</wp:posOffset>
            </wp:positionV>
            <wp:extent cx="27774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486410</wp:posOffset>
            </wp:positionV>
            <wp:extent cx="27774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271780</wp:posOffset>
            </wp:positionV>
            <wp:extent cx="27774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57785</wp:posOffset>
            </wp:positionV>
            <wp:extent cx="27774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A-1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A-2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A-3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B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and Support Agreement</w:t>
      </w:r>
      <w:r>
        <w:rPr>
          <w:rFonts w:ascii="Arial" w:cs="Arial" w:eastAsia="Arial" w:hAnsi="Arial"/>
          <w:sz w:val="18"/>
          <w:szCs w:val="18"/>
          <w:color w:val="auto"/>
        </w:rPr>
        <w:t>]</w:t>
      </w:r>
    </w:p>
    <w:p>
      <w:pPr>
        <w:spacing w:after="0" w:line="11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9800"/>
        <w:spacing w:after="0"/>
        <w:rPr>
          <w:sz w:val="20"/>
          <w:szCs w:val="20"/>
          <w:color w:val="auto"/>
        </w:rPr>
      </w:pPr>
      <w:r>
        <w:rPr>
          <w:rFonts w:ascii="Arial" w:cs="Arial" w:eastAsia="Arial" w:hAnsi="Arial"/>
          <w:sz w:val="16"/>
          <w:szCs w:val="16"/>
          <w:b w:val="1"/>
          <w:bCs w:val="1"/>
          <w:color w:val="auto"/>
        </w:rPr>
        <w:t>Execution Version</w:t>
      </w:r>
    </w:p>
    <w:p>
      <w:pPr>
        <w:spacing w:after="0" w:line="252"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December 10,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Madison Avenue</w:t>
      </w:r>
    </w:p>
    <w:p>
      <w:pPr>
        <w:spacing w:after="0" w:line="192" w:lineRule="auto"/>
        <w:rPr>
          <w:sz w:val="20"/>
          <w:szCs w:val="20"/>
          <w:color w:val="auto"/>
        </w:rPr>
      </w:pPr>
      <w:r>
        <w:rPr>
          <w:rFonts w:ascii="Arial" w:cs="Arial" w:eastAsia="Arial" w:hAnsi="Arial"/>
          <w:sz w:val="18"/>
          <w:szCs w:val="18"/>
          <w:color w:val="auto"/>
        </w:rPr>
        <w:t>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WM Holding Company, LLC</w:t>
      </w:r>
    </w:p>
    <w:p>
      <w:pPr>
        <w:spacing w:after="0" w:line="23" w:lineRule="exact"/>
        <w:rPr>
          <w:sz w:val="20"/>
          <w:szCs w:val="20"/>
          <w:color w:val="auto"/>
        </w:rPr>
      </w:pPr>
    </w:p>
    <w:p>
      <w:pPr>
        <w:ind w:right="9960" w:firstLine="8"/>
        <w:spacing w:after="0" w:line="290" w:lineRule="auto"/>
        <w:tabs>
          <w:tab w:leader="none" w:pos="2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Discovery, Irvine, CA 92618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Sponsor Letter Agreement</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Reference is made to that certain Agreement and Plan of Merger, dated as of December 10, 2020 (as amended,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Silver Spike Acquisition Corp., a Cayman Island exempted company (including any successor entity thereto, including upon the Domestication (as defined in the Merger Agreement), “</w:t>
      </w:r>
      <w:r>
        <w:rPr>
          <w:rFonts w:ascii="Arial" w:cs="Arial" w:eastAsia="Arial" w:hAnsi="Arial"/>
          <w:sz w:val="18"/>
          <w:szCs w:val="18"/>
          <w:b w:val="1"/>
          <w:bCs w:val="1"/>
          <w:color w:val="auto"/>
        </w:rPr>
        <w:t>Parent</w:t>
      </w:r>
      <w:r>
        <w:rPr>
          <w:rFonts w:ascii="Arial" w:cs="Arial" w:eastAsia="Arial" w:hAnsi="Arial"/>
          <w:sz w:val="18"/>
          <w:szCs w:val="18"/>
          <w:color w:val="auto"/>
        </w:rPr>
        <w:t>”), Silver Spike Merger Sub LLC, a Delaware limited liability company and wholly owned direct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WM Holding Company, LLC, a Delaware limited liability company (including the successor entity in its merger with Merger Sub pursuant to the Merger Agreement, the “</w:t>
      </w:r>
      <w:r>
        <w:rPr>
          <w:rFonts w:ascii="Arial" w:cs="Arial" w:eastAsia="Arial" w:hAnsi="Arial"/>
          <w:sz w:val="18"/>
          <w:szCs w:val="18"/>
          <w:b w:val="1"/>
          <w:bCs w:val="1"/>
          <w:color w:val="auto"/>
        </w:rPr>
        <w:t>Company</w:t>
      </w:r>
      <w:r>
        <w:rPr>
          <w:rFonts w:ascii="Arial" w:cs="Arial" w:eastAsia="Arial" w:hAnsi="Arial"/>
          <w:sz w:val="18"/>
          <w:szCs w:val="18"/>
          <w:color w:val="auto"/>
        </w:rPr>
        <w:t>”), and Ghost Media Group, LLC, a Nevada limited liability company, solely in its capacity as the Holder Representative (as defined in the Merger Agreement). Any capitalized term used but not defined herein will have the meanings ascribed thereto in the Merger Agreement.</w:t>
      </w:r>
    </w:p>
    <w:p>
      <w:pPr>
        <w:spacing w:after="0" w:line="18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Silver Spike Sponsor, LLC, a Delaware limited liability company (“</w:t>
      </w:r>
      <w:r>
        <w:rPr>
          <w:rFonts w:ascii="Arial" w:cs="Arial" w:eastAsia="Arial" w:hAnsi="Arial"/>
          <w:sz w:val="17"/>
          <w:szCs w:val="17"/>
          <w:b w:val="1"/>
          <w:bCs w:val="1"/>
          <w:color w:val="auto"/>
        </w:rPr>
        <w:t>Sponsor</w:t>
      </w:r>
      <w:r>
        <w:rPr>
          <w:rFonts w:ascii="Arial" w:cs="Arial" w:eastAsia="Arial" w:hAnsi="Arial"/>
          <w:sz w:val="17"/>
          <w:szCs w:val="17"/>
          <w:color w:val="auto"/>
        </w:rPr>
        <w:t>”) is the record and beneficial owner of 6,250,000 shares of Silver Spike Class B Common Stock (including the shares of Surviving Pubco Class A Common Stock into which such shares are converted as a result of the Domestication and the consummation of the transactions contemplated by the Merger Agreement, the “</w:t>
      </w:r>
      <w:r>
        <w:rPr>
          <w:rFonts w:ascii="Arial" w:cs="Arial" w:eastAsia="Arial" w:hAnsi="Arial"/>
          <w:sz w:val="17"/>
          <w:szCs w:val="17"/>
          <w:b w:val="1"/>
          <w:bCs w:val="1"/>
          <w:color w:val="auto"/>
        </w:rPr>
        <w:t>Founder Shares</w:t>
      </w:r>
      <w:r>
        <w:rPr>
          <w:rFonts w:ascii="Arial" w:cs="Arial" w:eastAsia="Arial" w:hAnsi="Arial"/>
          <w:sz w:val="17"/>
          <w:szCs w:val="17"/>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good and valuable consideration, the receipt and sufficiency of which are hereby acknowledged, Sponsor, the Company and Parent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Redemption and Voting</w:t>
      </w:r>
    </w:p>
    <w:p>
      <w:pPr>
        <w:spacing w:after="0" w:line="225" w:lineRule="exact"/>
        <w:rPr>
          <w:rFonts w:ascii="Arial" w:cs="Arial" w:eastAsia="Arial" w:hAnsi="Arial"/>
          <w:sz w:val="18"/>
          <w:szCs w:val="18"/>
          <w:color w:val="auto"/>
        </w:rPr>
      </w:pPr>
    </w:p>
    <w:p>
      <w:pPr>
        <w:ind w:left="660" w:right="140" w:hanging="4"/>
        <w:spacing w:after="0" w:line="263" w:lineRule="auto"/>
        <w:tabs>
          <w:tab w:leader="none" w:pos="11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Sponsor agrees that if Parent seeks shareholder approval of the transactions contemplated by the Merger Agreement, Sponsor shall not redeem any Founder Shares owned by it in connection with shareholder approval of the transactions contemplated by the Merger Agreement (the “</w:t>
      </w:r>
      <w:r>
        <w:rPr>
          <w:rFonts w:ascii="Arial" w:cs="Arial" w:eastAsia="Arial" w:hAnsi="Arial"/>
          <w:sz w:val="18"/>
          <w:szCs w:val="18"/>
          <w:b w:val="1"/>
          <w:bCs w:val="1"/>
          <w:color w:val="auto"/>
        </w:rPr>
        <w:t>Proposed Transaction</w:t>
      </w:r>
      <w:r>
        <w:rPr>
          <w:rFonts w:ascii="Arial" w:cs="Arial" w:eastAsia="Arial" w:hAnsi="Arial"/>
          <w:sz w:val="18"/>
          <w:szCs w:val="18"/>
          <w:color w:val="auto"/>
        </w:rPr>
        <w: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 w:right="40" w:hanging="4"/>
        <w:spacing w:after="0" w:line="269" w:lineRule="auto"/>
        <w:tabs>
          <w:tab w:leader="none" w:pos="529"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to the earlier of (x) date on which this Agreement is terminated in accordance with its terms and (y) the Closing (the “</w:t>
      </w:r>
      <w:r>
        <w:rPr>
          <w:rFonts w:ascii="Arial" w:cs="Arial" w:eastAsia="Arial" w:hAnsi="Arial"/>
          <w:sz w:val="17"/>
          <w:szCs w:val="17"/>
          <w:b w:val="1"/>
          <w:bCs w:val="1"/>
          <w:color w:val="auto"/>
        </w:rPr>
        <w:t>Voting</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at each meeting of the holders of Silver Spike Common Stock (the “</w:t>
      </w:r>
      <w:r>
        <w:rPr>
          <w:rFonts w:ascii="Arial" w:cs="Arial" w:eastAsia="Arial" w:hAnsi="Arial"/>
          <w:sz w:val="17"/>
          <w:szCs w:val="17"/>
          <w:b w:val="1"/>
          <w:bCs w:val="1"/>
          <w:color w:val="auto"/>
        </w:rPr>
        <w:t>Silver Spike Shareholders</w:t>
      </w:r>
      <w:r>
        <w:rPr>
          <w:rFonts w:ascii="Arial" w:cs="Arial" w:eastAsia="Arial" w:hAnsi="Arial"/>
          <w:sz w:val="17"/>
          <w:szCs w:val="17"/>
          <w:color w:val="auto"/>
        </w:rPr>
        <w:t>”), and in each written consent or</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resolutions of any of the Silver Spike Shareholders in which Sponsor is entitled to vote or consent, Sponsor hereby unconditionally and irrevocably agrees to be present for such meeting and vote (in person or by proxy), or consent to any action by written consent or resolution with respect to, as applicable, the Founder Shares or other equity interests of Parent over which Sponsor has voting power (i) in favor of, and to adopt, the Merger Agreement, the Ancillary Agreements and the transactions contemplated thereby, (ii) in favor of the other matters set forth in the Merger Agreement to the extent required for Parent to carry out its obligations thereunder, and (iii) in opposition to: (A) any Acquisition Transaction and any and all other proposals (1) that could reasonably be expected to delay or impair the ability of Parent to consummate the transactions contemplated by the Merger Agreement or any Ancillary Agreement or (2) which are in competition with or materially inconsistent with the Merger Agreement or any Ancillary Agreement or (B) any other action or proposal involving Parent or any of its Subsidiaries that is intended, or would reasonably be expected, to prevent, impede, interfere with, delay, postpone or adversely affect in any material respect the transactions contemplated by the Merger Agreement or any Ancillary Agreement or would reasonably be expected to result in any of the conditions to Parent’s obligations under the Merger Agreement not being fulfilled.</w:t>
      </w:r>
    </w:p>
    <w:p>
      <w:pPr>
        <w:spacing w:after="0" w:line="179" w:lineRule="exact"/>
        <w:rPr>
          <w:rFonts w:ascii="Arial" w:cs="Arial" w:eastAsia="Arial" w:hAnsi="Arial"/>
          <w:sz w:val="17"/>
          <w:szCs w:val="17"/>
          <w:color w:val="auto"/>
        </w:rPr>
      </w:pPr>
    </w:p>
    <w:p>
      <w:pPr>
        <w:ind w:left="4" w:hanging="4"/>
        <w:spacing w:after="0" w:line="286" w:lineRule="auto"/>
        <w:tabs>
          <w:tab w:leader="none" w:pos="5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Sponsor agrees not to deposit, and to cause its Affiliates not to deposit, any Founder Shares in a voting trust or subject any Founder Shares to any arrangement or agreement with respect to the voting of such Founder Shares, unless specifically requested to do so by the Company and Parent in connection with the Merger Agreement, the Ancillary Agreements or the transactions contemplated thereby.</w:t>
      </w:r>
    </w:p>
    <w:p>
      <w:pPr>
        <w:spacing w:after="0" w:line="165" w:lineRule="exact"/>
        <w:rPr>
          <w:rFonts w:ascii="Arial" w:cs="Arial" w:eastAsia="Arial" w:hAnsi="Arial"/>
          <w:sz w:val="17"/>
          <w:szCs w:val="17"/>
          <w:color w:val="auto"/>
        </w:rPr>
      </w:pPr>
    </w:p>
    <w:p>
      <w:pPr>
        <w:ind w:left="4" w:right="20" w:hanging="4"/>
        <w:spacing w:after="0" w:line="293" w:lineRule="auto"/>
        <w:tabs>
          <w:tab w:leader="none" w:pos="529" w:val="left"/>
        </w:tabs>
        <w:numPr>
          <w:ilvl w:val="0"/>
          <w:numId w:val="39"/>
        </w:numPr>
        <w:rPr>
          <w:rFonts w:ascii="Arial" w:cs="Arial" w:eastAsia="Arial" w:hAnsi="Arial"/>
          <w:sz w:val="16"/>
          <w:szCs w:val="16"/>
          <w:color w:val="auto"/>
        </w:rPr>
      </w:pPr>
      <w:r>
        <w:rPr>
          <w:rFonts w:ascii="Arial" w:cs="Arial" w:eastAsia="Arial" w:hAnsi="Arial"/>
          <w:sz w:val="16"/>
          <w:szCs w:val="16"/>
          <w:color w:val="auto"/>
        </w:rPr>
        <w:t>Sponsor agrees, except as contemplated by the Merger Agreement or any Ancillary Agreement, not to make, or in any manner participate in, directly or indirectly, a “solicitation” of “proxies” or consents (as such terms are used in the rules of the SEC) or powers of attorney or similar rights to vote, or seek to advise or influence any Person with respect to the voting of, any equity interests of Parent in connection with any vote or other action with respect to transactions contemplated by the Merger Agreement or any Ancillary Agreement, other than to recommend that the Silver Spike Shareholders vote in favor of the adoption of the Merger Agreement, the Ancillary Agreements and the transactions contemplated thereby (and any actions required in furtherance thereof and otherwise as expressly provided in this Section 1).</w:t>
      </w:r>
    </w:p>
    <w:p>
      <w:pPr>
        <w:spacing w:after="0" w:line="164" w:lineRule="exact"/>
        <w:rPr>
          <w:rFonts w:ascii="Arial" w:cs="Arial" w:eastAsia="Arial" w:hAnsi="Arial"/>
          <w:sz w:val="16"/>
          <w:szCs w:val="16"/>
          <w:color w:val="auto"/>
        </w:rPr>
      </w:pPr>
    </w:p>
    <w:p>
      <w:pPr>
        <w:ind w:left="4" w:right="60" w:hanging="4"/>
        <w:spacing w:after="0" w:line="263" w:lineRule="auto"/>
        <w:tabs>
          <w:tab w:leader="none" w:pos="5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Sponsor agrees that during the Voting Period it shall not, without Parent’s and the Company’s prior written consent, (i) make or attempt to make any transfer that would not be permitted pursuant to Section 7(a) of that certain Letter Agreement, dated August 7, 2019, by and between Sponsor and Parent,</w:t>
      </w:r>
    </w:p>
    <w:p>
      <w:pPr>
        <w:spacing w:after="0" w:line="29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4"/>
          </w:cols>
          <w:pgMar w:left="976" w:top="580" w:right="419" w:bottom="1440" w:gutter="0" w:footer="0" w:header="0"/>
        </w:sectPr>
      </w:pPr>
    </w:p>
    <w:bookmarkStart w:id="39" w:name="page40"/>
    <w:bookmarkEnd w:id="39"/>
    <w:p>
      <w:pPr>
        <w:ind w:left="660" w:right="160"/>
        <w:spacing w:after="0" w:line="279" w:lineRule="auto"/>
        <w:rPr>
          <w:sz w:val="20"/>
          <w:szCs w:val="20"/>
          <w:color w:val="auto"/>
        </w:rPr>
      </w:pPr>
      <w:r>
        <w:rPr>
          <w:rFonts w:ascii="Arial" w:cs="Arial" w:eastAsia="Arial" w:hAnsi="Arial"/>
          <w:sz w:val="17"/>
          <w:szCs w:val="17"/>
          <w:color w:val="auto"/>
        </w:rPr>
        <w:t>except to an Affiliate who signs a joinder to this Agreement in a form reasonably acceptable to Parent and the Company agreeing to be bound by this Section 1; (ii) grant any proxies or powers of attorney with respect to any or all of the Founder Shares; or (iii) take any action with the intent to prevent, impede, interfere with or adversely affect Sponsor’s ability to perform its obligations under this Section 1. Parent hereby agrees to reasonably cooperate with the Company in enforcing the transfer restrictions set forth in this Section 1.</w:t>
      </w:r>
    </w:p>
    <w:p>
      <w:pPr>
        <w:spacing w:after="0" w:line="171" w:lineRule="exact"/>
        <w:rPr>
          <w:sz w:val="20"/>
          <w:szCs w:val="20"/>
          <w:color w:val="auto"/>
        </w:rPr>
      </w:pPr>
    </w:p>
    <w:p>
      <w:pPr>
        <w:ind w:left="660" w:right="40" w:hanging="4"/>
        <w:spacing w:after="0" w:line="279" w:lineRule="auto"/>
        <w:tabs>
          <w:tab w:leader="none" w:pos="1155" w:val="left"/>
        </w:tabs>
        <w:numPr>
          <w:ilvl w:val="1"/>
          <w:numId w:val="40"/>
        </w:numPr>
        <w:rPr>
          <w:rFonts w:ascii="Arial" w:cs="Arial" w:eastAsia="Arial" w:hAnsi="Arial"/>
          <w:sz w:val="17"/>
          <w:szCs w:val="17"/>
          <w:color w:val="auto"/>
        </w:rPr>
      </w:pPr>
      <w:r>
        <w:rPr>
          <w:rFonts w:ascii="Arial" w:cs="Arial" w:eastAsia="Arial" w:hAnsi="Arial"/>
          <w:sz w:val="17"/>
          <w:szCs w:val="17"/>
          <w:color w:val="auto"/>
        </w:rPr>
        <w:t>In the event of any equity dividend or distribution, or any change in the equity interests of Parent by reason of any equity dividend or distribution, equity split, recapitalization, combination, conversion, exchange of equity interests or the like, the term “</w:t>
      </w:r>
      <w:r>
        <w:rPr>
          <w:rFonts w:ascii="Arial" w:cs="Arial" w:eastAsia="Arial" w:hAnsi="Arial"/>
          <w:sz w:val="17"/>
          <w:szCs w:val="17"/>
          <w:b w:val="1"/>
          <w:bCs w:val="1"/>
          <w:color w:val="auto"/>
        </w:rPr>
        <w:t>Founder Shares</w:t>
      </w:r>
      <w:r>
        <w:rPr>
          <w:rFonts w:ascii="Arial" w:cs="Arial" w:eastAsia="Arial" w:hAnsi="Arial"/>
          <w:sz w:val="17"/>
          <w:szCs w:val="17"/>
          <w:color w:val="auto"/>
        </w:rPr>
        <w:t>” shall be deemed to refer to and include the Founder Shares as well as all such equity dividends and distributions and any securities into which or for which any or all of the Founder Shares may be changed or exchanged or which are received in such transaction.</w:t>
      </w:r>
    </w:p>
    <w:p>
      <w:pPr>
        <w:spacing w:after="0" w:line="171" w:lineRule="exact"/>
        <w:rPr>
          <w:rFonts w:ascii="Arial" w:cs="Arial" w:eastAsia="Arial" w:hAnsi="Arial"/>
          <w:sz w:val="17"/>
          <w:szCs w:val="17"/>
          <w:color w:val="auto"/>
        </w:rPr>
      </w:pPr>
    </w:p>
    <w:p>
      <w:pPr>
        <w:ind w:left="660" w:right="60" w:hanging="4"/>
        <w:spacing w:after="0" w:line="291" w:lineRule="auto"/>
        <w:tabs>
          <w:tab w:leader="none" w:pos="118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During the Voting Period, Sponsor agrees to provide to Parent, the Company and their respective Representatives any information regarding Sponsor or the Founder Shares that is reasonably requested by Parent, the Company or their respective Representatives and required in order for the Company and Parent to comply with Sections 9.04, 9.05 and 9.08 of the Merger Agreement. To the extent required by applicable Law, Sponsor hereby authorizes the Company and Parent to publish and disclose in any announcement or disclosure required by the SEC, Nasdaq or the Registration Statement (including all documents and schedules filed with the SEC in connection with the foregoing), Sponsor’s identity and ownership of Founder Shares and the nature of Sponsor’s commitments and agreements under this Agreement, the Merger Agreement and any other Ancillary Agreements; provided that such disclosure is made in compliance with the provisions of the Merger Agreement.</w:t>
      </w:r>
    </w:p>
    <w:p>
      <w:pPr>
        <w:spacing w:after="0" w:line="166" w:lineRule="exact"/>
        <w:rPr>
          <w:rFonts w:ascii="Arial" w:cs="Arial" w:eastAsia="Arial" w:hAnsi="Arial"/>
          <w:sz w:val="16"/>
          <w:szCs w:val="16"/>
          <w:color w:val="auto"/>
        </w:rPr>
      </w:pPr>
    </w:p>
    <w:p>
      <w:pPr>
        <w:ind w:firstLine="8"/>
        <w:spacing w:after="0" w:line="291"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Sponsor agrees that if the amount of the sum of (x) the amount of cash available to be released from the Trust Account (after giving effect to all payments made as a result of the completion of all Silver Spike Share Redemptions) and (y) the net amount of proceeds actually received by Silver Spike pursuant to the Equity Financing (the “</w:t>
      </w:r>
      <w:r>
        <w:rPr>
          <w:rFonts w:ascii="Arial" w:cs="Arial" w:eastAsia="Arial" w:hAnsi="Arial"/>
          <w:sz w:val="16"/>
          <w:szCs w:val="16"/>
          <w:b w:val="1"/>
          <w:bCs w:val="1"/>
          <w:color w:val="auto"/>
        </w:rPr>
        <w:t>Cash Proceeds</w:t>
      </w:r>
      <w:r>
        <w:rPr>
          <w:rFonts w:ascii="Arial" w:cs="Arial" w:eastAsia="Arial" w:hAnsi="Arial"/>
          <w:sz w:val="16"/>
          <w:szCs w:val="16"/>
          <w:color w:val="auto"/>
        </w:rPr>
        <w:t>”) is less than $350,000,000, then 15% of the Founder Shares shall be deemed to be “</w:t>
      </w:r>
      <w:r>
        <w:rPr>
          <w:rFonts w:ascii="Arial" w:cs="Arial" w:eastAsia="Arial" w:hAnsi="Arial"/>
          <w:sz w:val="16"/>
          <w:szCs w:val="16"/>
          <w:b w:val="1"/>
          <w:bCs w:val="1"/>
          <w:color w:val="auto"/>
        </w:rPr>
        <w:t>Deferred</w:t>
      </w:r>
      <w:r>
        <w:rPr>
          <w:rFonts w:ascii="Arial" w:cs="Arial" w:eastAsia="Arial" w:hAnsi="Arial"/>
          <w:sz w:val="16"/>
          <w:szCs w:val="16"/>
          <w:color w:val="auto"/>
        </w:rPr>
        <w:t xml:space="preserve"> </w:t>
      </w:r>
      <w:r>
        <w:rPr>
          <w:rFonts w:ascii="Arial" w:cs="Arial" w:eastAsia="Arial" w:hAnsi="Arial"/>
          <w:sz w:val="16"/>
          <w:szCs w:val="16"/>
          <w:b w:val="1"/>
          <w:bCs w:val="1"/>
          <w:color w:val="auto"/>
        </w:rPr>
        <w:t>Founder Share</w:t>
      </w:r>
      <w:r>
        <w:rPr>
          <w:rFonts w:ascii="Arial" w:cs="Arial" w:eastAsia="Arial" w:hAnsi="Arial"/>
          <w:sz w:val="16"/>
          <w:szCs w:val="16"/>
          <w:color w:val="auto"/>
        </w:rPr>
        <w:t>s” (and, for the avoidance of doubt, if the Cash Proceeds are equal to or greater than $350,000,000, then no Founder Shares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“Deferred Founder Shares” and Sections 2 through 6 of this Sponsor Letter Agreement shall be void and of no further force and effect) and a corresponding number of Surviving Company Membership Units held by the Surviving Pubco shall be deemed to be “</w:t>
      </w:r>
      <w:r>
        <w:rPr>
          <w:rFonts w:ascii="Arial" w:cs="Arial" w:eastAsia="Arial" w:hAnsi="Arial"/>
          <w:sz w:val="16"/>
          <w:szCs w:val="16"/>
          <w:b w:val="1"/>
          <w:bCs w:val="1"/>
          <w:color w:val="auto"/>
        </w:rPr>
        <w:t>Earnout Company Units</w:t>
      </w:r>
      <w:r>
        <w:rPr>
          <w:rFonts w:ascii="Arial" w:cs="Arial" w:eastAsia="Arial" w:hAnsi="Arial"/>
          <w:sz w:val="16"/>
          <w:szCs w:val="16"/>
          <w:color w:val="auto"/>
        </w:rPr>
        <w:t>”. The Sponsor agrees that it shall not Transfer any Deferred Founder Shares until (collectively, the “</w:t>
      </w:r>
      <w:r>
        <w:rPr>
          <w:rFonts w:ascii="Arial" w:cs="Arial" w:eastAsia="Arial" w:hAnsi="Arial"/>
          <w:sz w:val="16"/>
          <w:szCs w:val="16"/>
          <w:b w:val="1"/>
          <w:bCs w:val="1"/>
          <w:color w:val="auto"/>
        </w:rPr>
        <w:t>Deferred Founder Shares Lock-up Period</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180" w:hanging="524"/>
        <w:spacing w:after="0"/>
        <w:tabs>
          <w:tab w:leader="none" w:pos="11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with respect to 25% of any Deferred Founder Shares, if and until such time, in any case on or before the first (1st) anniversary of the</w:t>
      </w:r>
    </w:p>
    <w:p>
      <w:pPr>
        <w:spacing w:after="0" w:line="34" w:lineRule="exact"/>
        <w:rPr>
          <w:rFonts w:ascii="Arial" w:cs="Arial" w:eastAsia="Arial" w:hAnsi="Arial"/>
          <w:sz w:val="17"/>
          <w:szCs w:val="17"/>
          <w:color w:val="auto"/>
        </w:rPr>
      </w:pPr>
    </w:p>
    <w:p>
      <w:pPr>
        <w:ind w:left="660"/>
        <w:spacing w:after="0" w:line="260" w:lineRule="auto"/>
        <w:rPr>
          <w:rFonts w:ascii="Arial" w:cs="Arial" w:eastAsia="Arial" w:hAnsi="Arial"/>
          <w:sz w:val="17"/>
          <w:szCs w:val="17"/>
          <w:color w:val="auto"/>
        </w:rPr>
      </w:pPr>
      <w:r>
        <w:rPr>
          <w:rFonts w:ascii="Arial" w:cs="Arial" w:eastAsia="Arial" w:hAnsi="Arial"/>
          <w:sz w:val="18"/>
          <w:szCs w:val="18"/>
          <w:color w:val="auto"/>
        </w:rPr>
        <w:t>Closing, that the last sale price as reported on Nasdaq of shares of Surviving Pubco Class A Common Stock equals or exceeds $12.00 per share (as equitably adjusted for</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left="660" w:right="180"/>
        <w:spacing w:after="0" w:line="342" w:lineRule="auto"/>
        <w:rPr>
          <w:sz w:val="20"/>
          <w:szCs w:val="20"/>
          <w:color w:val="auto"/>
        </w:rPr>
      </w:pPr>
      <w:r>
        <w:rPr>
          <w:rFonts w:ascii="Arial" w:cs="Arial" w:eastAsia="Arial" w:hAnsi="Arial"/>
          <w:sz w:val="16"/>
          <w:szCs w:val="16"/>
          <w:color w:val="auto"/>
        </w:rPr>
        <w:t>stock splits, stock dividends, special cash dividends, reorganizations, combinations, recapitalizations and similar transactions affecting the Surviving Pubco Class A Common Stock) for any twenty (20) trading days within any thirty (30) trading day period occurring after the Closing;</w:t>
      </w:r>
    </w:p>
    <w:p>
      <w:pPr>
        <w:spacing w:after="0" w:line="124" w:lineRule="exact"/>
        <w:rPr>
          <w:sz w:val="20"/>
          <w:szCs w:val="20"/>
          <w:color w:val="auto"/>
        </w:rPr>
      </w:pPr>
    </w:p>
    <w:p>
      <w:pPr>
        <w:ind w:left="660" w:hanging="4"/>
        <w:spacing w:after="0" w:line="257" w:lineRule="auto"/>
        <w:tabs>
          <w:tab w:leader="none" w:pos="11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25% of any Deferred Founder Shares, if and until such time, in any case on or before the second (2nd) anniversary of the Closing, that the last sale price as reported on Nasdaq of shares of Surviving Pubco Class A Common Stock equals or exceeds $15.00 per share (as equitably adjusted for stock splits, stock dividends, special cash dividends, reorganizations, combinations, recapitalizations and similar transactions affecting the Surviving Pubco Class A Common Stock) for any twenty (20) trading days within any thirty (30) trading day period occurring after the Closing; and</w:t>
      </w:r>
    </w:p>
    <w:p>
      <w:pPr>
        <w:spacing w:after="0" w:line="187" w:lineRule="exact"/>
        <w:rPr>
          <w:rFonts w:ascii="Arial" w:cs="Arial" w:eastAsia="Arial" w:hAnsi="Arial"/>
          <w:sz w:val="18"/>
          <w:szCs w:val="18"/>
          <w:color w:val="auto"/>
        </w:rPr>
      </w:pPr>
    </w:p>
    <w:p>
      <w:pPr>
        <w:ind w:left="660" w:hanging="4"/>
        <w:spacing w:after="0" w:line="257" w:lineRule="auto"/>
        <w:tabs>
          <w:tab w:leader="none" w:pos="1175"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50% of any Deferred Founder Shares, if and until such time, in any case on or before the third (3rd) anniversary of the Closing, that the last sale price as reported on Nasdaq of shares of Surviving Pubco Class A Common Stock equals or exceeds $18.00 per share (as equitably adjusted for stock splits, stock dividends, special cash dividends, reorganizations, combinations, recapitalizations and similar transactions affecting the Surviving Pubco Class A Common Stock) for any twenty (20) trading days within any thirty (30) trading day period occurring after the Closing.</w:t>
      </w:r>
    </w:p>
    <w:p>
      <w:pPr>
        <w:spacing w:after="0" w:line="214" w:lineRule="exact"/>
        <w:rPr>
          <w:rFonts w:ascii="Arial" w:cs="Arial" w:eastAsia="Arial" w:hAnsi="Arial"/>
          <w:sz w:val="18"/>
          <w:szCs w:val="18"/>
          <w:color w:val="auto"/>
        </w:rPr>
      </w:pPr>
    </w:p>
    <w:p>
      <w:pPr>
        <w:ind w:left="200" w:hanging="192"/>
        <w:spacing w:after="0"/>
        <w:tabs>
          <w:tab w:leader="none" w:pos="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certificates evidencing the Deferred Founder Shares shall be stamped or otherwise imprinted with a legend in substantially the following form:</w:t>
      </w:r>
    </w:p>
    <w:p>
      <w:pPr>
        <w:spacing w:after="0" w:line="2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SECURITIES EVIDENCED HEREIN ARE SUBJECT TO RESTRICTIONS ON TRANSFER AND CERTAIN OTHER AGREEMENTS, SET FORTH IN THE SPONSOR LETTER AGREEMENT, DATED AS OF DECEMBER 10, 2020, BY AND AMONG THE HOLDER HEREOF AND THE OTHER PARTIES THERETO.</w:t>
      </w:r>
    </w:p>
    <w:p>
      <w:pPr>
        <w:spacing w:after="0" w:line="184" w:lineRule="exact"/>
        <w:rPr>
          <w:sz w:val="20"/>
          <w:szCs w:val="20"/>
          <w:color w:val="auto"/>
        </w:rPr>
      </w:pPr>
    </w:p>
    <w:p>
      <w:pPr>
        <w:ind w:right="200" w:firstLine="8"/>
        <w:spacing w:after="0" w:line="279"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Notwithstanding the provisions set forth in Section 2, Transfers of any Deferred Founder Shares, are permitted (a) to Parent’s officers or directors, affiliates and its employees or any family member of any of Parent’s officers or directors; and (b) to any members of the Sponsor or any affiliates of the Sponsor;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clauses (a) and (b) these permitted transferees must enter into a written agreement with Parent agreeing to be bound by the transfer restrictions in and other provisions contained in this Sponsor Letter Agreement.</w:t>
      </w:r>
    </w:p>
    <w:p>
      <w:pPr>
        <w:spacing w:after="0" w:line="171" w:lineRule="exact"/>
        <w:rPr>
          <w:rFonts w:ascii="Arial" w:cs="Arial" w:eastAsia="Arial" w:hAnsi="Arial"/>
          <w:sz w:val="17"/>
          <w:szCs w:val="17"/>
          <w:color w:val="auto"/>
        </w:rPr>
      </w:pPr>
    </w:p>
    <w:p>
      <w:pPr>
        <w:ind w:right="100" w:firstLine="8"/>
        <w:spacing w:after="0" w:line="301"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Forfeiture of Founder Shares. In the event of the failure to achieve the applicable trading price threshold set forth in Sections 2(a), 2(b) and 2(c) (each event, a “</w:t>
      </w:r>
      <w:r>
        <w:rPr>
          <w:rFonts w:ascii="Arial" w:cs="Arial" w:eastAsia="Arial" w:hAnsi="Arial"/>
          <w:sz w:val="16"/>
          <w:szCs w:val="16"/>
          <w:b w:val="1"/>
          <w:bCs w:val="1"/>
          <w:color w:val="auto"/>
        </w:rPr>
        <w:t>Deferred Founder Shares Forfeiture</w:t>
      </w:r>
      <w:r>
        <w:rPr>
          <w:rFonts w:ascii="Arial" w:cs="Arial" w:eastAsia="Arial" w:hAnsi="Arial"/>
          <w:sz w:val="16"/>
          <w:szCs w:val="16"/>
          <w:color w:val="auto"/>
        </w:rPr>
        <w:t>”) on or prior to the completion of the applicable Deferred Founder Shares Lock-up Period, as set forth in such Sections above (the first Business Day following the end of such period, the “</w:t>
      </w:r>
      <w:r>
        <w:rPr>
          <w:rFonts w:ascii="Arial" w:cs="Arial" w:eastAsia="Arial" w:hAnsi="Arial"/>
          <w:sz w:val="16"/>
          <w:szCs w:val="16"/>
          <w:b w:val="1"/>
          <w:bCs w:val="1"/>
          <w:color w:val="auto"/>
        </w:rPr>
        <w:t>Forfeiture Date</w:t>
      </w:r>
      <w:r>
        <w:rPr>
          <w:rFonts w:ascii="Arial" w:cs="Arial" w:eastAsia="Arial" w:hAnsi="Arial"/>
          <w:sz w:val="16"/>
          <w:szCs w:val="16"/>
          <w:color w:val="auto"/>
        </w:rPr>
        <w:t>”), the portion of the Deferred Founder Shares, the release of the lockup of which is subject to the achievement of the applicable threshold, shall be forfeited and transferred to Surviving Pubco by the holder</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right="60"/>
        <w:spacing w:after="0" w:line="303" w:lineRule="auto"/>
        <w:rPr>
          <w:sz w:val="20"/>
          <w:szCs w:val="20"/>
          <w:color w:val="auto"/>
        </w:rPr>
      </w:pPr>
      <w:r>
        <w:rPr>
          <w:rFonts w:ascii="Arial" w:cs="Arial" w:eastAsia="Arial" w:hAnsi="Arial"/>
          <w:sz w:val="16"/>
          <w:szCs w:val="16"/>
          <w:color w:val="auto"/>
        </w:rPr>
        <w:t>that Beneficially Owns such Deferred Founder Shares, without any consideration for such Transfer (“</w:t>
      </w:r>
      <w:r>
        <w:rPr>
          <w:rFonts w:ascii="Arial" w:cs="Arial" w:eastAsia="Arial" w:hAnsi="Arial"/>
          <w:sz w:val="16"/>
          <w:szCs w:val="16"/>
          <w:b w:val="1"/>
          <w:bCs w:val="1"/>
          <w:color w:val="auto"/>
        </w:rPr>
        <w:t>Forfeited Shares</w:t>
      </w:r>
      <w:r>
        <w:rPr>
          <w:rFonts w:ascii="Arial" w:cs="Arial" w:eastAsia="Arial" w:hAnsi="Arial"/>
          <w:sz w:val="16"/>
          <w:szCs w:val="16"/>
          <w:color w:val="auto"/>
        </w:rPr>
        <w:t>”). In event of a Deferred Founder Shares Forfeiture, a number of Earnout Company Units equal to the number of Forfeited Shares, as applicable, shall be forfeited and transferred to the Company by Surviving Pubco, without any consideration for such Transfer (a “</w:t>
      </w:r>
      <w:r>
        <w:rPr>
          <w:rFonts w:ascii="Arial" w:cs="Arial" w:eastAsia="Arial" w:hAnsi="Arial"/>
          <w:sz w:val="16"/>
          <w:szCs w:val="16"/>
          <w:b w:val="1"/>
          <w:bCs w:val="1"/>
          <w:color w:val="auto"/>
        </w:rPr>
        <w:t>Company Unit Forfeiture</w:t>
      </w:r>
      <w:r>
        <w:rPr>
          <w:rFonts w:ascii="Arial" w:cs="Arial" w:eastAsia="Arial" w:hAnsi="Arial"/>
          <w:sz w:val="16"/>
          <w:szCs w:val="16"/>
          <w:color w:val="auto"/>
        </w:rPr>
        <w:t>”). For the avoidance of doubt, prior to a Company Unit Forfeiture, Surviving Pubco shall not have the right to vote such Earnout Company Units or to receive dividends with respect to such units.</w:t>
      </w:r>
    </w:p>
    <w:p>
      <w:pPr>
        <w:spacing w:after="0" w:line="155" w:lineRule="exact"/>
        <w:rPr>
          <w:sz w:val="20"/>
          <w:szCs w:val="20"/>
          <w:color w:val="auto"/>
        </w:rPr>
      </w:pPr>
    </w:p>
    <w:p>
      <w:pPr>
        <w:ind w:right="40" w:firstLine="8"/>
        <w:spacing w:after="0" w:line="263"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 hundred percent (100%) of any Deferred Founder Shares which remain subject to the achievement of the applicable trading price threshold in Section 2 (and which have not previously been forfeited pursuant to Section 5) shall no longer be subject to Transfer restrictions or forfeiture upon the first to occur of any of the following:</w:t>
      </w:r>
    </w:p>
    <w:p>
      <w:pPr>
        <w:spacing w:after="0" w:line="183" w:lineRule="exact"/>
        <w:rPr>
          <w:rFonts w:ascii="Arial" w:cs="Arial" w:eastAsia="Arial" w:hAnsi="Arial"/>
          <w:sz w:val="18"/>
          <w:szCs w:val="18"/>
          <w:color w:val="auto"/>
        </w:rPr>
      </w:pPr>
    </w:p>
    <w:p>
      <w:pPr>
        <w:ind w:left="660" w:right="580" w:hanging="4"/>
        <w:spacing w:after="0" w:line="342" w:lineRule="auto"/>
        <w:tabs>
          <w:tab w:leader="none" w:pos="1175"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Surviving Pubco shall engage in a “going private” transaction pursuant to Rule 13e-3 under the Securities Exchange Act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otherwise cease to be subject to reporting obligations under Sections 13 or 15(d) of the Exchange Act;</w:t>
      </w:r>
    </w:p>
    <w:p>
      <w:pPr>
        <w:spacing w:after="0" w:line="123" w:lineRule="exact"/>
        <w:rPr>
          <w:rFonts w:ascii="Arial" w:cs="Arial" w:eastAsia="Arial" w:hAnsi="Arial"/>
          <w:sz w:val="16"/>
          <w:szCs w:val="16"/>
          <w:color w:val="auto"/>
        </w:rPr>
      </w:pPr>
    </w:p>
    <w:p>
      <w:pPr>
        <w:ind w:left="660" w:right="340" w:hanging="4"/>
        <w:spacing w:after="0" w:line="263" w:lineRule="auto"/>
        <w:tabs>
          <w:tab w:leader="none" w:pos="1185"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Surviving Pubco Class A Shares shall cease to be listed on a national securities exchange, other than for the failure to satisfy: (i) any applicable minimum listing requirements, including minimum round lot holder requirements, of such national securities exchange; or (ii) a minimum price per share requirement of such national securities exchange;</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any of the following shall occur:</w:t>
      </w:r>
    </w:p>
    <w:p>
      <w:pPr>
        <w:spacing w:after="0" w:line="225" w:lineRule="exact"/>
        <w:rPr>
          <w:rFonts w:ascii="Arial" w:cs="Arial" w:eastAsia="Arial" w:hAnsi="Arial"/>
          <w:sz w:val="18"/>
          <w:szCs w:val="18"/>
          <w:color w:val="auto"/>
        </w:rPr>
      </w:pPr>
    </w:p>
    <w:p>
      <w:pPr>
        <w:ind w:left="1040" w:firstLine="5"/>
        <w:spacing w:after="0" w:line="254" w:lineRule="auto"/>
        <w:tabs>
          <w:tab w:leader="none" w:pos="152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Surviving Pubco with any other corporation or other entity, and, immediately after the consummation of such merger or consolidation, either (x) the Surviving Pubco board of directors immediately prior to the merger or consolidation does not constitute at least a majority of the board of directors of the company surviving the merger or, if the surviving company is a Subsidiary, the ultimate parent thereof, or (y) the voting securities of the Surviving Pubco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94" w:lineRule="exact"/>
        <w:rPr>
          <w:rFonts w:ascii="Arial" w:cs="Arial" w:eastAsia="Arial" w:hAnsi="Arial"/>
          <w:sz w:val="18"/>
          <w:szCs w:val="18"/>
          <w:color w:val="auto"/>
        </w:rPr>
      </w:pPr>
    </w:p>
    <w:p>
      <w:pPr>
        <w:ind w:left="1040" w:right="320" w:firstLine="5"/>
        <w:spacing w:after="0" w:line="259" w:lineRule="auto"/>
        <w:tabs>
          <w:tab w:leader="none" w:pos="157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shareholders of the Surviving Pubco approve a plan of complete liquidation or dissolution of the Surviving Pubco or there is consummated an agreement or series of related agreements for the sale, lease or other disposition, directly or indirectly, by the Surviving Pubco of all or substantially all of the asset of Surviving Pubco and its Subsidiaries, taken as a whole, other than such sale or other disposition by the Surviving Pubco of all or substantially all of the assets of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 w:name="page43"/>
    <w:bookmarkEnd w:id="42"/>
    <w:p>
      <w:pPr>
        <w:jc w:val="both"/>
        <w:ind w:left="660" w:right="100"/>
        <w:spacing w:after="0" w:line="263" w:lineRule="auto"/>
        <w:rPr>
          <w:sz w:val="20"/>
          <w:szCs w:val="20"/>
          <w:color w:val="auto"/>
        </w:rPr>
      </w:pPr>
      <w:r>
        <w:rPr>
          <w:rFonts w:ascii="Arial" w:cs="Arial" w:eastAsia="Arial" w:hAnsi="Arial"/>
          <w:sz w:val="18"/>
          <w:szCs w:val="18"/>
          <w:color w:val="auto"/>
        </w:rPr>
        <w:t>Surviving Pubco and its Subsidiaries, taken as a whole, to an entity at least 50% of the combined voting power of the voting securities of which are owned by shareholders of the Surviving Pubco in substantially the same proportions as their ownership of the Surviving Pubco immediately prior to such sale; or</w:t>
      </w:r>
    </w:p>
    <w:p>
      <w:pPr>
        <w:spacing w:after="0" w:line="184" w:lineRule="exact"/>
        <w:rPr>
          <w:sz w:val="20"/>
          <w:szCs w:val="20"/>
          <w:color w:val="auto"/>
        </w:rPr>
      </w:pPr>
    </w:p>
    <w:p>
      <w:pPr>
        <w:ind w:left="660" w:right="40" w:hanging="4"/>
        <w:spacing w:after="0" w:line="257" w:lineRule="auto"/>
        <w:tabs>
          <w:tab w:leader="none" w:pos="1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or any group of Persons acting together which would constitute a “group” for purposes of Section 13(d) of the Exchange Act or any successor provisions thereto (excluding a corporation or other entity owned, directly or indirectly, by the stockholders of the Surviving Pubco in substantially the same proportions as their ownership of stock of the Surviving Pubco) is or becomes the Beneficial Owner, directly or indirectly, of securities of the Surviving Pubco representing more than 50% of the combined voting power of the Surviving Pubco’s then outstanding voting securities;</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provided that, if the price per share that would be payable to such Deferred Founder Shares in any of the foregoing transactions is less than the applicable thresholds set forth in Section 2, 100% of any such remaining Deferred Founder Shares shall be considered Forfeited Shares.</w:t>
      </w:r>
    </w:p>
    <w:p>
      <w:pPr>
        <w:spacing w:after="0" w:line="124" w:lineRule="exact"/>
        <w:rPr>
          <w:sz w:val="20"/>
          <w:szCs w:val="20"/>
          <w:color w:val="auto"/>
        </w:rPr>
      </w:pPr>
    </w:p>
    <w:p>
      <w:pPr>
        <w:ind w:firstLine="8"/>
        <w:spacing w:after="0" w:line="290"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Pursuant to Section 17.4 of the Silver Spike Governing Document, the Sponsor, in its capacity as holder of one hundred percent (100%) of the Founder Shares, hereby waives the adjustment to the Initial Conversion Ratio (as defined in the Silver Spike Governing Document) that would otherwise apply pursuant to Section 17.3 of the Silver Spike Governing Document as a result of the issuance of shares of Surviving Pubco Class A Common Stock in connection with the transactions contemplated by the Merger Agreement pursuant to the PIPE Financing such that the shares of Surviving Pubco Class A Common Stock issued pursuant to the PIPE Financing are excluded from the determination of the number of shares of Surviving Pubco Class A Common Stock issuable upon conversion of the Founder Shares pursuant to Section 17.3 of the Silver Spike Governing Document. For the avoidance of doubt, the foregoing waiver does not waive the Sponsor’s rights under Section 17.8 of the Silver Spike Governing Document, which provides that in no event may any Founder Share convert into shares of Surviving Pubco Class A Common Stock at a ratio that is less than one-for-one.</w:t>
      </w:r>
    </w:p>
    <w:p>
      <w:pPr>
        <w:spacing w:after="0" w:line="161" w:lineRule="exact"/>
        <w:rPr>
          <w:rFonts w:ascii="Arial" w:cs="Arial" w:eastAsia="Arial" w:hAnsi="Arial"/>
          <w:sz w:val="16"/>
          <w:szCs w:val="16"/>
          <w:color w:val="auto"/>
        </w:rPr>
      </w:pPr>
    </w:p>
    <w:p>
      <w:pPr>
        <w:ind w:right="40" w:firstLine="8"/>
        <w:spacing w:after="0" w:line="294"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used herein, (a) “</w:t>
      </w:r>
      <w:r>
        <w:rPr>
          <w:rFonts w:ascii="Arial" w:cs="Arial" w:eastAsia="Arial" w:hAnsi="Arial"/>
          <w:sz w:val="16"/>
          <w:szCs w:val="16"/>
          <w:b w:val="1"/>
          <w:bCs w:val="1"/>
          <w:color w:val="auto"/>
        </w:rPr>
        <w:t>Beneficially Own</w:t>
      </w:r>
      <w:r>
        <w:rPr>
          <w:rFonts w:ascii="Arial" w:cs="Arial" w:eastAsia="Arial" w:hAnsi="Arial"/>
          <w:sz w:val="16"/>
          <w:szCs w:val="16"/>
          <w:color w:val="auto"/>
        </w:rPr>
        <w:t>” has the meaning ascribed to it in the Exchange Act; and (b) “</w:t>
      </w:r>
      <w:r>
        <w:rPr>
          <w:rFonts w:ascii="Arial" w:cs="Arial" w:eastAsia="Arial" w:hAnsi="Arial"/>
          <w:sz w:val="16"/>
          <w:szCs w:val="16"/>
          <w:b w:val="1"/>
          <w:bCs w:val="1"/>
          <w:color w:val="auto"/>
        </w:rPr>
        <w:t>Transfer</w:t>
      </w:r>
      <w:r>
        <w:rPr>
          <w:rFonts w:ascii="Arial" w:cs="Arial" w:eastAsia="Arial" w:hAnsi="Arial"/>
          <w:sz w:val="16"/>
          <w:szCs w:val="16"/>
          <w:color w:val="auto"/>
        </w:rPr>
        <w:t>” shall mean the (i) direct or indirect transfer, sale of, offer to sell, contract or any agreement to sell, hypothecate, pledge, encumber grant of any option to purchase or otherwise dispose of, either voluntarily or involuntarily, or any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security, (ii) entry into any swap or other arrangement that transfers to another, in whole or in part, any of the economic consequences of ownership of any security, whether any such transaction is to be settled by delivery of such</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securities, in cash or otherwise, or (iii) public announcement of any intention to effect any transaction specified in clause (b)(i) (a)or (b)(ii).</w:t>
      </w:r>
    </w:p>
    <w:p>
      <w:pPr>
        <w:spacing w:after="0" w:line="225" w:lineRule="exact"/>
        <w:rPr>
          <w:sz w:val="20"/>
          <w:szCs w:val="20"/>
          <w:color w:val="auto"/>
        </w:rPr>
      </w:pPr>
    </w:p>
    <w:p>
      <w:pPr>
        <w:ind w:firstLine="8"/>
        <w:spacing w:after="0" w:line="25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Sponsor Letter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Sponsor Letter Agreement may not be changed, amended, modified or waived (other than to correct a typographical error) as to any particular provision, except by a written instrument executed by Parent, or after the Closing, Surviving Pubco and, before the Closing, the Company and the other parties charged with such change, amendment, modification or waiver, it being acknowledged and agreed that the Company’s execution of such an instrument will not be required after any valid termination of the Merger Agreement.</w:t>
      </w:r>
    </w:p>
    <w:p>
      <w:pPr>
        <w:spacing w:after="0" w:line="194" w:lineRule="exact"/>
        <w:rPr>
          <w:rFonts w:ascii="Arial" w:cs="Arial" w:eastAsia="Arial" w:hAnsi="Arial"/>
          <w:sz w:val="18"/>
          <w:szCs w:val="18"/>
          <w:color w:val="auto"/>
        </w:rPr>
      </w:pPr>
    </w:p>
    <w:p>
      <w:pPr>
        <w:jc w:val="both"/>
        <w:ind w:right="180" w:firstLine="8"/>
        <w:spacing w:after="0" w:line="301" w:lineRule="auto"/>
        <w:tabs>
          <w:tab w:leader="none" w:pos="2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party hereto may, except as set forth herein, assign either this Sponsor Letter Agreement or any of its rights, interests, or obligations hereunder without the prior written consent of the other parties. Any purported assignment in violation of this Section shall be void and ineffectual and shall not operate to transfer or assign any interest or title to the purported assignee. This Sponsor Letter Agreement shall be binding on, and inure to the benefit of, the Sponsor, Parent and the Company and their respective successors, heirs, personal representatives and assigns and permitted transferees.</w:t>
      </w:r>
    </w:p>
    <w:p>
      <w:pPr>
        <w:spacing w:after="0" w:line="157" w:lineRule="exact"/>
        <w:rPr>
          <w:rFonts w:ascii="Arial" w:cs="Arial" w:eastAsia="Arial" w:hAnsi="Arial"/>
          <w:sz w:val="16"/>
          <w:szCs w:val="16"/>
          <w:color w:val="auto"/>
        </w:rPr>
      </w:pPr>
    </w:p>
    <w:p>
      <w:pPr>
        <w:ind w:right="60" w:firstLine="8"/>
        <w:spacing w:after="0" w:line="263" w:lineRule="auto"/>
        <w:tabs>
          <w:tab w:leader="none" w:pos="2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Sponsor Letter Agreement shall be in writing and shall be sent or given in accordance with the terms of Section 13.03 of the Merger Agreement to the applicable party at its principal place of business. Any notice to Sponsor shall be sent to the address set forth on the signature page hereto.</w:t>
      </w:r>
    </w:p>
    <w:p>
      <w:pPr>
        <w:spacing w:after="0" w:line="183" w:lineRule="exact"/>
        <w:rPr>
          <w:rFonts w:ascii="Arial" w:cs="Arial" w:eastAsia="Arial" w:hAnsi="Arial"/>
          <w:sz w:val="18"/>
          <w:szCs w:val="18"/>
          <w:color w:val="auto"/>
        </w:rPr>
      </w:pPr>
    </w:p>
    <w:p>
      <w:pPr>
        <w:ind w:firstLine="8"/>
        <w:spacing w:after="0" w:line="259"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Sponsor Letter Agreement shall terminate at such time, if any, as the Merger Agreement is terminated in accordance with its terms prior to the Closing. In the event of a valid termination of the Merger Agreement, this Sponsor Letter Agreement shall be of no force and effect. No such termination or reversion shall relieve the Sponsor, Parent or the Company from any obligation accruing, or liability resulting from an intentional breach of this Sponsor Letter Agreement occurring prior to such termination or reversion.</w:t>
      </w:r>
    </w:p>
    <w:p>
      <w:pPr>
        <w:spacing w:after="0" w:line="186" w:lineRule="exact"/>
        <w:rPr>
          <w:rFonts w:ascii="Arial" w:cs="Arial" w:eastAsia="Arial" w:hAnsi="Arial"/>
          <w:sz w:val="18"/>
          <w:szCs w:val="18"/>
          <w:color w:val="auto"/>
        </w:rPr>
      </w:pPr>
    </w:p>
    <w:p>
      <w:pPr>
        <w:ind w:firstLine="8"/>
        <w:spacing w:after="0" w:line="257"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parties hereto represents and warrants that (a) it has the power and authority, or capacity, as the case may be, to enter into this Sponsor Letter Agreement and to carry out its obligations hereunder, (b) the execution and delivery of this Sponsor Letter Agreement and the performance of its obligations hereunder have been duly and validly authorized by all corporate or limited liability company action on its part and (c) this Sponsor Letter Agreement has been duly and validly executed and delivered by each of the parties hereto and constitutes, a legal, valid and binding obligation of each such party enforceable in accordance with its terms, except as such</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right="80"/>
        <w:spacing w:after="0" w:line="277" w:lineRule="auto"/>
        <w:rPr>
          <w:sz w:val="20"/>
          <w:szCs w:val="20"/>
          <w:color w:val="auto"/>
        </w:rPr>
      </w:pPr>
      <w:r>
        <w:rPr>
          <w:rFonts w:ascii="Arial" w:cs="Arial" w:eastAsia="Arial" w:hAnsi="Arial"/>
          <w:sz w:val="18"/>
          <w:szCs w:val="18"/>
          <w:color w:val="auto"/>
        </w:rPr>
        <w:t>enforceability may be limited by bankruptcy Laws, other similar Laws affecting creditors’ rights and general principles of equity affecting the availability of specific performance and other equitable remedies.</w:t>
      </w:r>
    </w:p>
    <w:p>
      <w:pPr>
        <w:spacing w:after="0" w:line="170" w:lineRule="exact"/>
        <w:rPr>
          <w:sz w:val="20"/>
          <w:szCs w:val="20"/>
          <w:color w:val="auto"/>
        </w:rPr>
      </w:pPr>
    </w:p>
    <w:p>
      <w:pPr>
        <w:ind w:firstLine="8"/>
        <w:spacing w:after="0" w:line="342" w:lineRule="auto"/>
        <w:tabs>
          <w:tab w:leader="none" w:pos="27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Sections 13.05, 13.07, 13.08 and 13.12 through 13.15 of the Merger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this Sponsor Letter Agreement.</w:t>
      </w:r>
    </w:p>
    <w:p>
      <w:pPr>
        <w:spacing w:after="0" w:line="232" w:lineRule="exact"/>
        <w:rPr>
          <w:rFonts w:ascii="Arial" w:cs="Arial" w:eastAsia="Arial" w:hAnsi="Arial"/>
          <w:sz w:val="17"/>
          <w:szCs w:val="17"/>
          <w:color w:val="auto"/>
        </w:rPr>
      </w:pPr>
    </w:p>
    <w:p>
      <w:pPr>
        <w:ind w:left="4720"/>
        <w:spacing w:after="0"/>
        <w:rPr>
          <w:rFonts w:ascii="Arial" w:cs="Arial" w:eastAsia="Arial" w:hAnsi="Arial"/>
          <w:sz w:val="17"/>
          <w:szCs w:val="17"/>
          <w:color w:val="auto"/>
        </w:rPr>
      </w:pPr>
      <w:r>
        <w:rPr>
          <w:rFonts w:ascii="Arial" w:cs="Arial" w:eastAsia="Arial" w:hAnsi="Arial"/>
          <w:sz w:val="18"/>
          <w:szCs w:val="18"/>
          <w:b w:val="1"/>
          <w:bCs w:val="1"/>
          <w:color w:val="auto"/>
        </w:rPr>
        <w:t>[signature page follows]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45" w:name="page46"/>
    <w:bookmarkEnd w:id="45"/>
    <w:p>
      <w:pPr>
        <w:ind w:left="620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SILVER SPIKE SPONSOR, LLC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 Gentile</w:t>
            </w:r>
          </w:p>
        </w:tc>
      </w:tr>
      <w:tr>
        <w:trPr>
          <w:trHeight w:val="195"/>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Greg Gentile</w:t>
            </w:r>
          </w:p>
        </w:tc>
      </w:tr>
      <w:tr>
        <w:trPr>
          <w:trHeight w:val="230"/>
        </w:trPr>
        <w:tc>
          <w:tcPr>
            <w:tcW w:w="40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Title:   Manager</w:t>
            </w:r>
          </w:p>
        </w:tc>
      </w:tr>
    </w:tbl>
    <w:p>
      <w:pPr>
        <w:spacing w:after="0" w:line="229" w:lineRule="exact"/>
        <w:rPr>
          <w:sz w:val="20"/>
          <w:szCs w:val="20"/>
          <w:color w:val="auto"/>
        </w:rPr>
      </w:pPr>
    </w:p>
    <w:p>
      <w:pPr>
        <w:jc w:val="right"/>
        <w:ind w:right="1280"/>
        <w:spacing w:after="0"/>
        <w:tabs>
          <w:tab w:leader="none" w:pos="3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notices@silverspikecap.com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Address: 660 Madison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New York, NY 10065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 Sponsor Letter Agreement]</w:t>
      </w:r>
    </w:p>
    <w:p>
      <w:pPr>
        <w:spacing w:after="0" w:line="140"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Gentile</w:t>
            </w:r>
          </w:p>
        </w:tc>
      </w:tr>
      <w:tr>
        <w:trPr>
          <w:trHeight w:val="195"/>
        </w:trPr>
        <w:tc>
          <w:tcPr>
            <w:tcW w:w="58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Greg Gentile</w:t>
            </w: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Sponsor Letter Agreement]</w:t>
      </w:r>
    </w:p>
    <w:p>
      <w:pPr>
        <w:spacing w:after="0" w:line="14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HOLDING COMPANY,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Beals</w:t>
            </w:r>
          </w:p>
        </w:tc>
      </w:tr>
      <w:tr>
        <w:trPr>
          <w:trHeight w:val="195"/>
        </w:trPr>
        <w:tc>
          <w:tcPr>
            <w:tcW w:w="58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Christopher Beals</w:t>
            </w: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Sponsor Letter Agreement]</w:t>
      </w:r>
    </w:p>
    <w:p>
      <w:pPr>
        <w:spacing w:after="0" w:line="14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THIS AMENDED AND RESTATED REGISTRATION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 2020, is made and entered into by and among [●],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Silver Spike Sponsor,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and the other undersigned parties listed under Holders on the signature pages hereto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the Company is entering into that certain Agreement and Plan of Merger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the Company, Silver Spike Merger Sub LLC, a Delaware limited liability company and wholly owned subsidiary of the Company, WM Holding Company, LLC, a Delaware limited liability company (“</w:t>
      </w:r>
      <w:r>
        <w:rPr>
          <w:rFonts w:ascii="Arial" w:cs="Arial" w:eastAsia="Arial" w:hAnsi="Arial"/>
          <w:sz w:val="18"/>
          <w:szCs w:val="18"/>
          <w:b w:val="1"/>
          <w:bCs w:val="1"/>
          <w:i w:val="1"/>
          <w:iCs w:val="1"/>
          <w:color w:val="auto"/>
        </w:rPr>
        <w:t>WM Holding</w:t>
      </w:r>
      <w:r>
        <w:rPr>
          <w:rFonts w:ascii="Arial" w:cs="Arial" w:eastAsia="Arial" w:hAnsi="Arial"/>
          <w:sz w:val="18"/>
          <w:szCs w:val="18"/>
          <w:color w:val="auto"/>
        </w:rPr>
        <w:t>”) and Ghost Media Group, LLC, a Nevada limited liability company, solely in its capacity as the initial holder representative under the Merger Agreement, to effect the business combination with WM Holding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3"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Sponsor are parties to that certain Registration Rights Agreement dated as of August 7, 2019 (the “</w:t>
      </w:r>
      <w:r>
        <w:rPr>
          <w:rFonts w:ascii="Arial" w:cs="Arial" w:eastAsia="Arial" w:hAnsi="Arial"/>
          <w:sz w:val="16"/>
          <w:szCs w:val="16"/>
          <w:b w:val="1"/>
          <w:bCs w:val="1"/>
          <w:i w:val="1"/>
          <w:iCs w:val="1"/>
          <w:color w:val="auto"/>
        </w:rPr>
        <w:t>Original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pursuant to which the Company granted the Sponsor certain registration rights with respect to certain securities of the Company; and</w:t>
      </w:r>
    </w:p>
    <w:p>
      <w:pPr>
        <w:spacing w:after="0" w:line="116"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of, and as a material inducement for WM Holding to enter into and consummate the transactions contemplated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the Company and the Sponsor have agreed to amend and restate the Original Agreement in order to provide certain registration rights relating to the registration of shares of Common Stock (as defined below) held by the equityholders of WM Holding as of and contingent upon the closing of the Business Combination.</w:t>
      </w:r>
    </w:p>
    <w:p>
      <w:pPr>
        <w:spacing w:after="0" w:line="180" w:lineRule="exact"/>
        <w:rPr>
          <w:sz w:val="20"/>
          <w:szCs w:val="20"/>
          <w:color w:val="auto"/>
        </w:rPr>
      </w:pPr>
    </w:p>
    <w:p>
      <w:pPr>
        <w:ind w:right="220" w:firstLine="648"/>
        <w:spacing w:after="0" w:line="314"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that the Original Agreement is hereby amended and restated in its entirety, as of and contingent upon the closing of the Business Combination,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The terms defined in this Article I shall, for all purposes of this Agreement, have the respective meanings set forth below:</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any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Class A shares of common stock, par value $[___] per share, of the Company outstanding immediately following the transactions contemplated by the Merger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shall mean any rights, warrants, options, convertible securities or indebtedness, exchangeable securities or indebtedness, or other rights, exercisable for or convertible or exchangeable into, directly or indirectly, Class A Common Stock and securities convertible or exchangeable into Class A Common Stock, whether at the time of issuance or upon the passage of time or the occurrence of such future event, including Units and the Class [V] Common Stock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 Period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 Request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Effectiveness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Filing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shall mean Form S-1 for the registration of securities under the Securities Act promulgated by the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Lock-up Period</w:t>
      </w:r>
      <w:r>
        <w:rPr>
          <w:rFonts w:ascii="Arial" w:cs="Arial" w:eastAsia="Arial" w:hAnsi="Arial"/>
          <w:sz w:val="18"/>
          <w:szCs w:val="18"/>
          <w:color w:val="auto"/>
        </w:rPr>
        <w:t>” shall mean, with respect to the Common Stock held by the Sponsor from and after the closing of the Business Combination, the period ending on the earlier of (A) one year after the date hereof or (B) subsequent to the date hereof, (x) if the last reported sale price of the Common Stock equals or exceeds $12.00 per share (as adjusted for share splits, share dividends, rights issuances, subdivisions, reorganizations, recapitalizations and the like) for any 20 trading days within any 30-trading day period commencing at least 150 days after the date of the closing of the Business Combination or (y) in any case, if, after the date hereof, the Company completes a liquidation, merger, amalgamation, share exchange, reorganization or other similar transaction that results in all of the Company’s public shareholders having the right to exchange their shares of common stock for cash, securities or other property.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August 7, 2019, by and among the Company, the Sponsor and each of the Company’s officers, directors and director nominees.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Demand Threshold</w:t>
      </w:r>
      <w:r>
        <w:rPr>
          <w:rFonts w:ascii="Arial" w:cs="Arial" w:eastAsia="Arial" w:hAnsi="Arial"/>
          <w:sz w:val="18"/>
          <w:szCs w:val="18"/>
          <w:color w:val="auto"/>
        </w:rPr>
        <w:t>” shall mean $10.0 million.</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the Sponsor is permitted to transfer such Registrable Securities prior to the expiration of the Founder Shares Lock-up Period or Private Placement Lock-up Period, as the case may be, under the Insider Letter and any other applicable agreement between the Sponsor and the Company and to any transferee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and any of the shares of Common Stock issued or issuable upon the exercise or conversion of the Private Placement Warrants and that are held by the initial purchasers of the Private Placement Warrants or their Permitted Transferees, the period ending 30 days after the completion of the Business Combination.</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mean the 7,000,000 warrants purchased on a private placement occurring simultaneously with the closing of the Company’s initial public offering.</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shares of Common Stock, (b) the Private Placement Warrants (including any shares of Common Stock issued or issuable upon the exercise of any such Private Placement Warrants), (c) any shares of Common Stock issuable upon the exercise, conversion or exchange of Common Stock Equivalents, and (d) any other equity security of the Company issued or issuable with respect to any such shares of Common Stock or Common Stock Equivalents by way of a share dividend or share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or book entries credits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manner of sale or other restrictions or limitations); or (E) such securities have been sold to, or through, a broker, dealer or underwriter in a public distribution or other public securities transaction.</w:t>
      </w:r>
    </w:p>
    <w:p>
      <w:pPr>
        <w:spacing w:after="0" w:line="16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left="660" w:right="480" w:firstLine="644"/>
        <w:spacing w:after="0" w:line="277" w:lineRule="auto"/>
        <w:tabs>
          <w:tab w:leader="none" w:pos="16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left="660" w:right="360" w:firstLine="644"/>
        <w:spacing w:after="0" w:line="277" w:lineRule="auto"/>
        <w:tabs>
          <w:tab w:leader="none" w:pos="15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660" w:right="780" w:firstLine="644"/>
        <w:spacing w:after="0" w:line="277" w:lineRule="auto"/>
        <w:tabs>
          <w:tab w:leader="none" w:pos="15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660" w:right="140" w:firstLine="644"/>
        <w:spacing w:after="0" w:line="277" w:lineRule="auto"/>
        <w:tabs>
          <w:tab w:leader="none" w:pos="15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fees and expenses of one legal counsel selected by the holders of a majority-in-interest of the Registrable Securities to be registered for offer and sale in the applicable Registration.</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3.6.1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w:t>
      </w:r>
      <w:r>
        <w:rPr>
          <w:rFonts w:ascii="Arial" w:cs="Arial" w:eastAsia="Arial" w:hAnsi="Arial"/>
          <w:sz w:val="18"/>
          <w:szCs w:val="18"/>
          <w:i w:val="1"/>
          <w:iCs w:val="1"/>
          <w:color w:val="auto"/>
        </w:rPr>
        <w:t>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shall mean Surviving Company Membership Units as defined in the Merger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2.1.1 Request for Registration.</w:t>
      </w:r>
    </w:p>
    <w:p>
      <w:pPr>
        <w:spacing w:after="0" w:line="225" w:lineRule="exact"/>
        <w:rPr>
          <w:sz w:val="20"/>
          <w:szCs w:val="20"/>
          <w:color w:val="auto"/>
        </w:rPr>
      </w:pPr>
    </w:p>
    <w:p>
      <w:pPr>
        <w:jc w:val="both"/>
        <w:ind w:right="100" w:firstLine="1952"/>
        <w:spacing w:after="0" w:line="263" w:lineRule="auto"/>
        <w:tabs>
          <w:tab w:leader="none" w:pos="21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the provisions of subsection 2.1.4, subsection 2.1.6 and Section 2.4, at any time and from time to time on or after the date the Company consummates the initial Business Combination, either (i) one or more Holders (other than the Sponsor or its affiliates or transferees) or (ii) the Sponsor or its affiliates or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spacing w:after="0" w:line="282" w:lineRule="auto"/>
        <w:rPr>
          <w:sz w:val="20"/>
          <w:szCs w:val="20"/>
          <w:color w:val="auto"/>
        </w:rPr>
      </w:pPr>
      <w:r>
        <w:rPr>
          <w:rFonts w:ascii="Arial" w:cs="Arial" w:eastAsia="Arial" w:hAnsi="Arial"/>
          <w:sz w:val="16"/>
          <w:szCs w:val="16"/>
          <w:color w:val="auto"/>
        </w:rPr>
        <w:t>transferees, in either case of clause (i) or (ii) representing Registrable Securities with a total offering price reasonably expected to exceed, in the aggregate, the Minimum Demand Threshold,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and such persons making such written demand,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(i) file a Registration Statement in respect of all Registrable Securities requested by the Demanding Holders and Requesting Holder(s) pursuant such Demand Registration, not more than forty five (45) days immediately after the Company’s receipt of the Demand Registration, and (ii) shall effect the registration thereof as soon as practicable thereafter. Under no circumstances shall the Company be obligated to effect more than an (x) aggregate of three (3) Registrations pursuant to a Demand Registration initiated by one or more Holders (other than the Sponsor or its affiliates or transferees) and (y) an aggregate of three (3) Registrations pursuant to a Demand Registration initiated by the Sponsor or its affiliates or transferees, in each case under this subsection 2.1.1 with respect to any or all Registrable Securities; provided, however,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has become effective and all of the Registrable Securities requested by the Requesting Holders to be registered on behalf of the Requesting Holders in such Form S-1 Registration have been sold, in accordance with Section 3.1 of this Agreement. For the avoidance of doubt, each of</w:t>
      </w:r>
    </w:p>
    <w:p>
      <w:pPr>
        <w:spacing w:after="0" w:line="11" w:lineRule="exact"/>
        <w:rPr>
          <w:sz w:val="20"/>
          <w:szCs w:val="20"/>
          <w:color w:val="auto"/>
        </w:rPr>
      </w:pPr>
    </w:p>
    <w:p>
      <w:pPr>
        <w:ind w:right="480" w:firstLine="8"/>
        <w:spacing w:after="0" w:line="260"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holders of a majority-in-interest of the Registrable Securities held by the Holders and (ii) the Sponsor shall be permitted to exercise a Demand Registration Statement pursuant to this subsection 2.1.1 with respect to their Registrable Securities.</w:t>
      </w:r>
    </w:p>
    <w:p>
      <w:pPr>
        <w:spacing w:after="0" w:line="18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elects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2.1.4, subsection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if a majority-in-interest of the Demanding Holders so elect and such Demanding Holders advise the Company as part of its Demand Registration that the offering of the Registrable Securities pursuant to such Demand Registration shall be in the form of an Underwritten Offering, then the right of each Demanding Holder and Requesting Holder to include its Registrable Securities in such Registration shall be conditioned upon such Holder’s participation in such Underwritten Offering and the inclusion of such Holder’s Registrable Securities in such Underwritten Offering to the extent provided herein; provided that such Demanding Holder(s) (a) reasonably expect aggregate gross proceeds in excess of the Minimum Demand Threshold from such Underwritten Offerings (it being understood that the Company shall not be required to conduct more than two Underwritten Offerings where the expected aggregate proceeds are below $25,000,000 but in excess of the Minimum Demand Threshold in any 12-month period) or (b) reasonably expects to sell all of the Registrable Securities held by such Holder in such Underwritten Offering but in no event less than $5,000,000 in aggregate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3" w:name="page54"/>
    <w:bookmarkEnd w:id="53"/>
    <w:p>
      <w:pPr>
        <w:jc w:val="both"/>
        <w:ind w:right="280"/>
        <w:spacing w:after="0" w:line="263" w:lineRule="auto"/>
        <w:rPr>
          <w:sz w:val="20"/>
          <w:szCs w:val="20"/>
          <w:color w:val="auto"/>
        </w:rPr>
      </w:pPr>
      <w:r>
        <w:rPr>
          <w:rFonts w:ascii="Arial" w:cs="Arial" w:eastAsia="Arial" w:hAnsi="Arial"/>
          <w:sz w:val="18"/>
          <w:szCs w:val="18"/>
          <w:color w:val="auto"/>
        </w:rPr>
        <w:t xml:space="preserve">gross proceeds. All such Holders proposing to distribute their Registrable Securities through an Underwritten Offering under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shall enter into an underwriting agreement in customary form with the Underwriter(s) selected for such Underwritten Offering by a majority-in-interest of the holders initiating the Demand Registration.</w:t>
      </w:r>
    </w:p>
    <w:p>
      <w:pPr>
        <w:spacing w:after="0" w:line="184"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and the Requesting Holders in writing that the dollar amount or number of Registrable Securities that such Holders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Requesting 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respective number of Registrable Securities that each Demanding Holder and Requesting Holder has requested be included in such Underwritten Registration and the aggregate number of Registrable Securities that the Demanding Holders and Requesting Holders have requested be included in such Underwritten Registration) that can be sold without exceeding the Maximum Number of Securities; (ii) 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0" w:lineRule="exact"/>
        <w:rPr>
          <w:sz w:val="20"/>
          <w:szCs w:val="20"/>
          <w:color w:val="auto"/>
        </w:rPr>
      </w:pPr>
    </w:p>
    <w:p>
      <w:pPr>
        <w:ind w:right="80" w:firstLine="1296"/>
        <w:spacing w:after="0" w:line="270"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Demand Registration Withdrawal</w:t>
      </w:r>
      <w:r>
        <w:rPr>
          <w:rFonts w:ascii="Arial" w:cs="Arial" w:eastAsia="Arial" w:hAnsi="Arial"/>
          <w:sz w:val="17"/>
          <w:szCs w:val="17"/>
          <w:color w:val="auto"/>
        </w:rPr>
        <w:t xml:space="preserve">. Any Demanding Holder or Requesting Holder shall have the right to withdraw from a Registration pursuant to such Demand Registration for any or no reason whatsoever upon written notification to the Company and the Underwriter or Underwriters (if any) of their intention to withdraw from such Registration prior (x) in the case of a Demand Registration not involving an Underwritten Offering, to the effectiveness of the Registration Statement filed with the Commission with respect to the Registration of their Registrable Securities pursuant to such Demand Registration or (y) in the case of a Demand Registration involving an Underwritten Offering, the pricing of such Underwritten Offering; provided, however, that upon withdrawal by a majority-in-interest of the Demanding Holders initiating a Demand Registration, the Company shall cease all efforts to secure effectiveness of the applicable Registration Statement or complete the Underwritten Offering, as applicable.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8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Shelf Registration</w:t>
      </w:r>
      <w:r>
        <w:rPr>
          <w:rFonts w:ascii="Arial" w:cs="Arial" w:eastAsia="Arial" w:hAnsi="Arial"/>
          <w:sz w:val="17"/>
          <w:szCs w:val="17"/>
          <w:color w:val="auto"/>
        </w:rPr>
        <w:t>. The Company shall file within 45 days of the Closing, and use commercially reasonable efforts to cause to be declared effective as soon as practicable thereafter, a Registration Statement for a Shelf Registration on Form S-1 (the “</w:t>
      </w:r>
      <w:r>
        <w:rPr>
          <w:rFonts w:ascii="Arial" w:cs="Arial" w:eastAsia="Arial" w:hAnsi="Arial"/>
          <w:sz w:val="17"/>
          <w:szCs w:val="17"/>
          <w:u w:val="single" w:color="auto"/>
          <w:color w:val="auto"/>
        </w:rPr>
        <w:t>Form S-1 Shelf</w:t>
      </w:r>
      <w:r>
        <w:rPr>
          <w:rFonts w:ascii="Arial" w:cs="Arial" w:eastAsia="Arial" w:hAnsi="Arial"/>
          <w:sz w:val="17"/>
          <w:szCs w:val="17"/>
          <w:color w:val="auto"/>
        </w:rPr>
        <w:t>”) or, if the Company is eligible to use a Registration Statement on Form S-3, a Shelf Registration on Form S-3 (the “</w:t>
      </w:r>
      <w:r>
        <w:rPr>
          <w:rFonts w:ascii="Arial" w:cs="Arial" w:eastAsia="Arial" w:hAnsi="Arial"/>
          <w:sz w:val="17"/>
          <w:szCs w:val="17"/>
          <w:u w:val="single" w:color="auto"/>
          <w:color w:val="auto"/>
        </w:rPr>
        <w:t>Form S-3 Shelf</w:t>
      </w:r>
      <w:r>
        <w:rPr>
          <w:rFonts w:ascii="Arial" w:cs="Arial" w:eastAsia="Arial" w:hAnsi="Arial"/>
          <w:sz w:val="17"/>
          <w:szCs w:val="17"/>
          <w:color w:val="auto"/>
        </w:rPr>
        <w:t>” and together with the Form S-1 Shelf, each a “</w:t>
      </w:r>
      <w:r>
        <w:rPr>
          <w:rFonts w:ascii="Arial" w:cs="Arial" w:eastAsia="Arial" w:hAnsi="Arial"/>
          <w:sz w:val="17"/>
          <w:szCs w:val="17"/>
          <w:u w:val="single" w:color="auto"/>
          <w:color w:val="auto"/>
        </w:rPr>
        <w:t>Shelf</w:t>
      </w:r>
      <w:r>
        <w:rPr>
          <w:rFonts w:ascii="Arial" w:cs="Arial" w:eastAsia="Arial" w:hAnsi="Arial"/>
          <w:sz w:val="17"/>
          <w:szCs w:val="17"/>
          <w:color w:val="auto"/>
        </w:rPr>
        <w:t xml:space="preserve">”), in each case, covering the resale of all the Registrable Securities (determined as of two business days prior to such filing) on a delayed or continuous basis. Such Shelf shall provide for the resale of the Registrable Securities included therein pursuant to any method or combination of methods legally available to, and requested by, any Holder named therein. Notwithstanding anything to the contrary herein, to the extent there is an active Shelf under this </w:t>
      </w:r>
      <w:r>
        <w:rPr>
          <w:rFonts w:ascii="Arial" w:cs="Arial" w:eastAsia="Arial" w:hAnsi="Arial"/>
          <w:sz w:val="17"/>
          <w:szCs w:val="17"/>
          <w:u w:val="single" w:color="auto"/>
          <w:color w:val="auto"/>
        </w:rPr>
        <w:t>subsection 2.1.6</w:t>
      </w:r>
      <w:r>
        <w:rPr>
          <w:rFonts w:ascii="Arial" w:cs="Arial" w:eastAsia="Arial" w:hAnsi="Arial"/>
          <w:sz w:val="17"/>
          <w:szCs w:val="17"/>
          <w:color w:val="auto"/>
        </w:rPr>
        <w:t xml:space="preserve">, covering a Holder’s or Holders’ Registrable Securities, such Holder shall not have rights to make a Demand Registration with respect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Notwithstanding anything to the contrary herein, to the extent there is an active Shelf under this </w:t>
      </w:r>
      <w:r>
        <w:rPr>
          <w:rFonts w:ascii="Arial" w:cs="Arial" w:eastAsia="Arial" w:hAnsi="Arial"/>
          <w:sz w:val="17"/>
          <w:szCs w:val="17"/>
          <w:u w:val="single" w:color="auto"/>
          <w:color w:val="auto"/>
        </w:rPr>
        <w:t>subsection 2.1.6</w:t>
      </w:r>
      <w:r>
        <w:rPr>
          <w:rFonts w:ascii="Arial" w:cs="Arial" w:eastAsia="Arial" w:hAnsi="Arial"/>
          <w:sz w:val="17"/>
          <w:szCs w:val="17"/>
          <w:color w:val="auto"/>
        </w:rPr>
        <w:t xml:space="preserve">, covering a Holder’s or Holders’ Registrable Securities, and such Holder or Holders qualify as Demanding Holders pursuant to subsection 2.1.1 and wish to request an Underwritten Offering from such Shelf, such Underwritten Offering shall follow the procedures of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but such Underwritten Offering shall be made from the Shelf and shall count against the number of Demand Registrations that may be made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jc w:val="both"/>
        <w:ind w:firstLine="1296"/>
        <w:spacing w:after="0" w:line="286"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Holder Information Required for Participation in Underwritten Offering</w:t>
      </w:r>
      <w:r>
        <w:rPr>
          <w:rFonts w:ascii="Arial" w:cs="Arial" w:eastAsia="Arial" w:hAnsi="Arial"/>
          <w:sz w:val="16"/>
          <w:szCs w:val="16"/>
          <w:color w:val="auto"/>
        </w:rPr>
        <w:t xml:space="preserve">. At least five (5) business days prior to the first anticipated filing date of a Registration Statement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the Company shall use reasonable best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Company has not received such information, and received any other reasonably requested agreements or certificates, on or prior to the second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67"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at any time on or after the date hereof,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191"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shareholders of the Company, exceeds the Maximum Number of Securities, then:</w:t>
      </w:r>
    </w:p>
    <w:p>
      <w:pPr>
        <w:spacing w:after="0" w:line="177" w:lineRule="exact"/>
        <w:rPr>
          <w:sz w:val="20"/>
          <w:szCs w:val="20"/>
          <w:color w:val="auto"/>
        </w:rPr>
      </w:pPr>
    </w:p>
    <w:p>
      <w:pPr>
        <w:ind w:right="40" w:firstLine="1952"/>
        <w:spacing w:after="0" w:line="271" w:lineRule="auto"/>
        <w:tabs>
          <w:tab w:leader="none" w:pos="2189"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the shares of Common Stock, if any, as to which Registration has been requested pursuant to written contractual piggy-back registration rights of other shareholders of the Company, which can be sold without exceeding the Maximum Number of Securities; and</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ind w:right="120" w:firstLine="1952"/>
        <w:spacing w:after="0" w:line="287" w:lineRule="auto"/>
        <w:tabs>
          <w:tab w:leader="none" w:pos="219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68"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provided, however,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Section 2.3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$25,000,000.</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Restrictions on Registration Rights</w:t>
      </w:r>
      <w:r>
        <w:rPr>
          <w:rFonts w:ascii="Arial" w:cs="Arial" w:eastAsia="Arial" w:hAnsi="Arial"/>
          <w:sz w:val="18"/>
          <w:szCs w:val="18"/>
          <w:color w:val="auto"/>
        </w:rPr>
        <w:t>. If (A) during the period starting with the date sixty (60) days prior to the Company’s good faith estimate of the date of the filing of, and ending on a date one hundred and twenty (120) days after the effective date of, a Company-initiated Registration and provided that the Company has delivered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spacing w:after="0" w:line="253" w:lineRule="auto"/>
        <w:rPr>
          <w:sz w:val="20"/>
          <w:szCs w:val="20"/>
          <w:color w:val="auto"/>
        </w:rPr>
      </w:pPr>
      <w:r>
        <w:rPr>
          <w:rFonts w:ascii="Arial" w:cs="Arial" w:eastAsia="Arial" w:hAnsi="Arial"/>
          <w:sz w:val="18"/>
          <w:szCs w:val="18"/>
          <w:color w:val="auto"/>
        </w:rPr>
        <w:t xml:space="preserve">written notice to the Holders prior to receipt of a Demand Registration pursuant to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defer its obligation in this manner more than once in any 12-month period.</w:t>
      </w:r>
    </w:p>
    <w:p>
      <w:pPr>
        <w:spacing w:after="0" w:line="19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Lock-Up</w:t>
      </w:r>
      <w:r>
        <w:rPr>
          <w:rFonts w:ascii="Arial" w:cs="Arial" w:eastAsia="Arial" w:hAnsi="Arial"/>
          <w:sz w:val="17"/>
          <w:szCs w:val="17"/>
          <w:color w:val="auto"/>
        </w:rPr>
        <w:t>. Notwithstanding anything to the contrary in this Agreement, the Company shall not be obligated to effect any Demand Registration or Piggyback Registration of (i) any shares of Common Stock subject to the Founder Shares Lock-Up Period prior to the Founder Shares Lock-Up Period applicable to such shares of Common Stock or (ii) any Private Placement Warrants during the Private Placement Lock-Up Period. Nothing in this Section 2.4 shall limit the Company’s obligation to register all of the Registrable Securities, including such shares of Common Stock subject to the Founder Shares Lock-Up Period and Private Placement Warrants, on the Shelf Registration Statement pursuant to Section 2.4.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at any time on or after the date hereof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84"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ind w:right="220" w:firstLine="1296"/>
        <w:spacing w:after="0" w:line="273"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8"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3.1.4 prior to any public offering of Registrable Securities, use its best efforts to (i) register or qualify the Registrable Securities covered by the Registration Statement under such securities or “blue sky” laws of</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7" w:name="page58"/>
    <w:bookmarkEnd w:id="57"/>
    <w:p>
      <w:pPr>
        <w:ind w:right="160"/>
        <w:spacing w:after="0" w:line="272" w:lineRule="auto"/>
        <w:rPr>
          <w:sz w:val="20"/>
          <w:szCs w:val="20"/>
          <w:color w:val="auto"/>
        </w:rPr>
      </w:pPr>
      <w:r>
        <w:rPr>
          <w:rFonts w:ascii="Arial" w:cs="Arial" w:eastAsia="Arial" w:hAnsi="Arial"/>
          <w:sz w:val="17"/>
          <w:szCs w:val="17"/>
          <w:color w:val="auto"/>
        </w:rPr>
        <w:t xml:space="preserve">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7" w:lineRule="exact"/>
        <w:rPr>
          <w:sz w:val="20"/>
          <w:szCs w:val="20"/>
          <w:color w:val="auto"/>
        </w:rPr>
      </w:pPr>
    </w:p>
    <w:p>
      <w:pPr>
        <w:ind w:right="520"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firstLine="1296"/>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ind w:right="580" w:firstLine="1296"/>
        <w:spacing w:after="0" w:line="308" w:lineRule="auto"/>
        <w:rPr>
          <w:sz w:val="20"/>
          <w:szCs w:val="20"/>
          <w:color w:val="auto"/>
        </w:rPr>
      </w:pPr>
      <w:r>
        <w:rPr>
          <w:rFonts w:ascii="Arial" w:cs="Arial" w:eastAsia="Arial" w:hAnsi="Arial"/>
          <w:sz w:val="17"/>
          <w:szCs w:val="17"/>
          <w:color w:val="auto"/>
        </w:rPr>
        <w:t>3.1.8 at least five (5) days prior to the filing of any Registration Statement or Prospectus or any amendment or supplement to such Registration Statement or Prospectus furnish a copy thereof to each seller of such Registrable Securities or its counsel;</w:t>
      </w:r>
    </w:p>
    <w:p>
      <w:pPr>
        <w:spacing w:after="0" w:line="146" w:lineRule="exact"/>
        <w:rPr>
          <w:sz w:val="20"/>
          <w:szCs w:val="20"/>
          <w:color w:val="auto"/>
        </w:rPr>
      </w:pPr>
    </w:p>
    <w:p>
      <w:pPr>
        <w:jc w:val="both"/>
        <w:ind w:right="500"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jc w:val="both"/>
        <w:ind w:right="340" w:firstLine="1296"/>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ind w:right="200" w:firstLine="1296"/>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49"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ind w:right="520"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reasonable fees and expenses of legal counsel representing the Holders.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the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Company shall deliver to such Holder a written certification of a duly authorized officer as to whether it has complied with such requirements.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Lock-Up Restrictions</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3.6.1 During the applicable Lock-Up Periods, none of the Holders shall offer, sell, contract to sell, pledge, grant any option to purchase, make any short sale or otherwise dispose of or distribute any shares of Common Stock that are subject to an applicable Lock-Up Period or any securities convertible into, exercisable for, exchangeable for or that represent the right to receive shares of Common Stock that are subject to an applicable Lock-Up Period, whether now owned or hereinafter acquired, that is owned directly by such Holder (including securities held as a custodian) or with respect to which such Holder has beneficial ownership within the rules and regulations of the Commission (such securities that are subject to an applicable Lock-Up Period, the “</w:t>
      </w: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other than any transfer to an affiliate of a Holder or to a Permitted Transferee, as applicable. The foregoing restriction is expressly agreed to preclude each Holder, as applicable, from engaging in any hedging or other transaction with respect to Restricted Securities which is designed to or which reasonably could be expected to lead to or result in a sale or disposition of the Restricted Securities even if such Restricted Securities would be disposed of by someone other than such Holder. Such prohibited hedging or other transactions include any short sale or any purchase, sale or grant of any right (including any put or call option) with respect to any of the Restricted Securities of the applicable Holder, or with respect to any security that includes, relates to, or derives any significant part of its value from such Restricted Securities.</w:t>
      </w:r>
    </w:p>
    <w:p>
      <w:pPr>
        <w:spacing w:after="0" w:line="172"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 xml:space="preserve">3.6.2 Each Holder hereby represents and warrants that it now has and, except as contemplated by this </w:t>
      </w:r>
      <w:r>
        <w:rPr>
          <w:rFonts w:ascii="Arial" w:cs="Arial" w:eastAsia="Arial" w:hAnsi="Arial"/>
          <w:sz w:val="16"/>
          <w:szCs w:val="16"/>
          <w:u w:val="single" w:color="auto"/>
          <w:color w:val="auto"/>
        </w:rPr>
        <w:t>subsection 3.6.2</w:t>
      </w:r>
      <w:r>
        <w:rPr>
          <w:rFonts w:ascii="Arial" w:cs="Arial" w:eastAsia="Arial" w:hAnsi="Arial"/>
          <w:sz w:val="16"/>
          <w:szCs w:val="16"/>
          <w:color w:val="auto"/>
        </w:rPr>
        <w:t xml:space="preserve"> for the duration of the applicable Lock-Up Period, will have good and marketable title to its Restricted Securities, free and clear of all liens, encumbrances, and claims that could impact the ability of such Existing Holder to comply with the foregoing restrictions Each Existing Holder agrees and consents to the entry of stop transfer instructions with the Company’s transfer agent and registrar against the transfer of any Restricted Securities during the applicable Lock-Up Period.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40"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 to indemnify shall be several, not joint and several, among such Holders of Registrable Securities, and the</w:t>
      </w: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right="180"/>
        <w:spacing w:after="0" w:line="259" w:lineRule="auto"/>
        <w:rPr>
          <w:sz w:val="20"/>
          <w:szCs w:val="20"/>
          <w:color w:val="auto"/>
        </w:rPr>
      </w:pPr>
      <w:r>
        <w:rPr>
          <w:rFonts w:ascii="Arial" w:cs="Arial" w:eastAsia="Arial" w:hAnsi="Arial"/>
          <w:sz w:val="18"/>
          <w:szCs w:val="18"/>
          <w:color w:val="auto"/>
        </w:rPr>
        <w:t>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87"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right="40" w:firstLine="1296"/>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1114 6th Ave, 41st Floor, New York, New York, 10036, Attention: Chief Financial Officer with a copy to Cooley LLP, Attention: Dave Peinsipp, Kristin Vanderpas, Garth</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Osterman and Peter Byrne, 101 California Street,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San Francisco, CA 94111, ,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right="200" w:firstLine="1296"/>
        <w:spacing w:after="0" w:line="254"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the Sponsor may not assign or delegate the Sponsor’s rights, duties or obligations under this Agreement, in whole or in part, except in connection with a transfer of Registrable Securities by the Sponsor to a Permitted Transferee, but only if such Permitted Transferee agrees to become bound by the transfer restrictions set forth in this Agreement and other applicable agreements. Any other Holder may assign or delegate such Holder’s rights, duties or obligations under this Agreement, in whole or in part, if (i) the transferee receives Registrable Securities that constitute at least 1% of the Company’s Common Stock and/or Common Stock Equivalents, (ii) such transfer is not pursuant to Rule 144 under the Securities Act or a registration statement filed pursuant to this Agreement and (iii) the transferee agrees to become bound by the transfer restrictions set forth in this Agreement and other applicable agreements.</w:t>
      </w:r>
    </w:p>
    <w:p>
      <w:pPr>
        <w:spacing w:after="0" w:line="192" w:lineRule="exact"/>
        <w:rPr>
          <w:sz w:val="20"/>
          <w:szCs w:val="20"/>
          <w:color w:val="auto"/>
        </w:rPr>
      </w:pPr>
    </w:p>
    <w:p>
      <w:pPr>
        <w:ind w:right="720" w:firstLine="1296"/>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ind w:right="60"/>
        <w:spacing w:after="0" w:line="254" w:lineRule="auto"/>
        <w:rPr>
          <w:sz w:val="20"/>
          <w:szCs w:val="20"/>
          <w:color w:val="auto"/>
        </w:rPr>
      </w:pPr>
      <w:r>
        <w:rPr>
          <w:rFonts w:ascii="Arial" w:cs="Arial" w:eastAsia="Arial" w:hAnsi="Arial"/>
          <w:sz w:val="18"/>
          <w:szCs w:val="18"/>
          <w:color w:val="auto"/>
        </w:rPr>
        <w:t>NEW YORK AS APPLIED TO AGREEMENTS AMONG NEW YORK RESIDENTS ENTERED INTO AND TO BE PERFORMED ENTIRELY WITHIN NEW YORK AND (II) THE VENUE FOR ANY ACTION TAKEN WITH RESPECT TO THE AGREEMENT SHALL BE ANY STATE OR FEDERAL COURT IN NEW YORK COUNTY IN THE STATE OF NEW YORK.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9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any amendment hereto or waiver hereof that adversely affects one Holder, solely in his, her or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no person, other than a Holder of Registrable Securities or those certain investors that agreed on or about the date hereof to purchase shares of Common Stock in a transaction exempt from registration under the Securities Act pursuant to those certain Subscription Agreements dated on or about the date hereof,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9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terminate upon the earlier of (i) the tenth anniversary of the date hereof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without limitation on the amount of securities sold or the manner of sale.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Article IV shall survive any termination.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PAGES FOLLOW]</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 WITNESS WHEREOF, the undersigned have caused this Agreement to be executed as of the date first written above.</w:t>
      </w:r>
    </w:p>
    <w:p>
      <w:pPr>
        <w:spacing w:after="0" w:line="221" w:lineRule="exact"/>
        <w:rPr>
          <w:sz w:val="20"/>
          <w:szCs w:val="20"/>
          <w:color w:val="auto"/>
        </w:rPr>
      </w:pPr>
    </w:p>
    <w:p>
      <w:pPr>
        <w:ind w:left="4980"/>
        <w:spacing w:after="0" w:line="282" w:lineRule="auto"/>
        <w:rPr>
          <w:sz w:val="20"/>
          <w:szCs w:val="20"/>
          <w:color w:val="auto"/>
        </w:rPr>
      </w:pPr>
      <w:r>
        <w:rPr>
          <w:rFonts w:ascii="Arial" w:cs="Arial" w:eastAsia="Arial" w:hAnsi="Arial"/>
          <w:sz w:val="18"/>
          <w:szCs w:val="18"/>
          <w:b w:val="1"/>
          <w:bCs w:val="1"/>
          <w:color w:val="auto"/>
        </w:rPr>
        <w:t>SILVER SPIKE ACQUISITION CORP.</w:t>
      </w:r>
      <w:r>
        <w:rPr>
          <w:rFonts w:ascii="Arial" w:cs="Arial" w:eastAsia="Arial" w:hAnsi="Arial"/>
          <w:sz w:val="18"/>
          <w:szCs w:val="18"/>
          <w:color w:val="auto"/>
        </w:rPr>
        <w:t>, a Cayman Islands exempted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Gregory Gentile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Chief Financial Officer</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HOLDERS:</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SILVER SPIKE SPONSOR, LLC</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[________]</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[_____]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[_____]</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[_____]</w:t>
      </w: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349250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80"/>
      </w:cols>
      <w:pgMar w:left="980" w:top="544"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lowerLetter"/>
      <w:start w:val="2"/>
    </w:lvl>
  </w:abstractNum>
  <w:abstractNum w:abstractNumId="3">
    <w:nsid w:val="2901D82"/>
    <w:multiLevelType w:val="hybridMultilevel"/>
    <w:lvl w:ilvl="0">
      <w:lvlJc w:val="left"/>
      <w:lvlText w:val="%1"/>
      <w:numFmt w:val="lowerRoman"/>
      <w:start w:val="1"/>
    </w:lvl>
    <w:lvl w:ilvl="1">
      <w:lvlJc w:val="left"/>
      <w:lvlText w:val="(%2)"/>
      <w:numFmt w:val="lowerRoman"/>
      <w:start w:val="1"/>
    </w:lvl>
  </w:abstractNum>
  <w:abstractNum w:abstractNumId="4">
    <w:nsid w:val="3A95F874"/>
    <w:multiLevelType w:val="hybridMultilevel"/>
    <w:lvl w:ilvl="0">
      <w:lvlJc w:val="left"/>
      <w:lvlText w:val="(%1)"/>
      <w:numFmt w:val="lowerRoman"/>
      <w:start w:val="2"/>
    </w:lvl>
    <w:lvl w:ilvl="1">
      <w:lvlJc w:val="left"/>
      <w:lvlText w:val="(%2)"/>
      <w:numFmt w:val="lowerRoman"/>
      <w:start w:val="3"/>
    </w:lvl>
  </w:abstractNum>
  <w:abstractNum w:abstractNumId="5">
    <w:nsid w:val="8138641"/>
    <w:multiLevelType w:val="hybridMultilevel"/>
    <w:lvl w:ilvl="0">
      <w:lvlJc w:val="left"/>
      <w:lvlText w:val="(%1)"/>
      <w:numFmt w:val="decimal"/>
      <w:start w:val="5"/>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lowerLetter"/>
      <w:start w:val="2"/>
    </w:lvl>
  </w:abstractNum>
  <w:abstractNum w:abstractNumId="8">
    <w:nsid w:val="737B8DDC"/>
    <w:multiLevelType w:val="hybridMultilevel"/>
    <w:lvl w:ilvl="0">
      <w:lvlJc w:val="left"/>
      <w:lvlText w:val="(%1)"/>
      <w:numFmt w:val="lowerLetter"/>
      <w:start w:val="1"/>
    </w:lvl>
  </w:abstractNum>
  <w:abstractNum w:abstractNumId="9">
    <w:nsid w:val="6CEAF087"/>
    <w:multiLevelType w:val="hybridMultilevel"/>
    <w:lvl w:ilvl="0">
      <w:lvlJc w:val="left"/>
      <w:lvlText w:val="(%1)"/>
      <w:numFmt w:val="lowerLetter"/>
      <w:start w:val="4"/>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4"/>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3"/>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Letter"/>
      <w:start w:val="2"/>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lvl w:ilvl="1">
      <w:lvlJc w:val="left"/>
      <w:lvlText w:val="["/>
      <w:numFmt w:val="bullet"/>
      <w:start w:val="1"/>
    </w:lvl>
  </w:abstractNum>
  <w:abstractNum w:abstractNumId="18">
    <w:nsid w:val="3804823E"/>
    <w:multiLevelType w:val="hybridMultilevel"/>
    <w:lvl w:ilvl="0">
      <w:lvlJc w:val="left"/>
      <w:lvlText w:val="%1"/>
      <w:numFmt w:val="lowerLetter"/>
      <w:start w:val="1"/>
    </w:lvl>
    <w:lvl w:ilvl="1">
      <w:lvlJc w:val="left"/>
      <w:lvlText w:val="%2"/>
      <w:numFmt w:val="decimal"/>
      <w:start w:val="41"/>
    </w:lvl>
  </w:abstractNum>
  <w:abstractNum w:abstractNumId="19">
    <w:nsid w:val="77465F01"/>
    <w:multiLevelType w:val="hybridMultilevel"/>
    <w:lvl w:ilvl="0">
      <w:lvlJc w:val="left"/>
      <w:lvlText w:val="(%1)"/>
      <w:numFmt w:val="lowerLetter"/>
      <w:start w:val="3"/>
    </w:lvl>
    <w:lvl w:ilvl="1">
      <w:lvlJc w:val="left"/>
      <w:lvlText w:val="%2"/>
      <w:numFmt w:val="decimal"/>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2"/>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6"/>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1"/>
    </w:lvl>
    <w:lvl w:ilvl="1">
      <w:lvlJc w:val="left"/>
      <w:lvlText w:val="(%2)"/>
      <w:numFmt w:val="lowerLetter"/>
      <w:start w:val="2"/>
    </w:lvl>
  </w:abstractNum>
  <w:abstractNum w:abstractNumId="27">
    <w:nsid w:val="153EA438"/>
    <w:multiLevelType w:val="hybridMultilevel"/>
    <w:lvl w:ilvl="0">
      <w:lvlJc w:val="left"/>
      <w:lvlText w:val="(%1)"/>
      <w:numFmt w:val="lowerLetter"/>
      <w:start w:val="9"/>
    </w:lvl>
    <w:lvl w:ilvl="1">
      <w:lvlJc w:val="left"/>
      <w:lvlText w:val="%2"/>
      <w:numFmt w:val="lowerLetter"/>
      <w:start w:val="1"/>
    </w:lvl>
  </w:abstractNum>
  <w:abstractNum w:abstractNumId="28">
    <w:nsid w:val="3855585C"/>
    <w:multiLevelType w:val="hybridMultilevel"/>
    <w:lvl w:ilvl="0">
      <w:lvlJc w:val="left"/>
      <w:lvlText w:val="(%1)"/>
      <w:numFmt w:val="lowerLetter"/>
      <w:start w:val="4"/>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4"/>
    </w:lvl>
  </w:abstractNum>
  <w:abstractNum w:abstractNumId="31">
    <w:nsid w:val="2A487CB0"/>
    <w:multiLevelType w:val="hybridMultilevel"/>
    <w:lvl w:ilvl="0">
      <w:lvlJc w:val="left"/>
      <w:lvlText w:val="(%1)"/>
      <w:numFmt w:val="lowerRoman"/>
      <w:start w:val="2"/>
    </w:lvl>
  </w:abstractNum>
  <w:abstractNum w:abstractNumId="32">
    <w:nsid w:val="1D4ED43B"/>
    <w:multiLevelType w:val="hybridMultilevel"/>
    <w:lvl w:ilvl="0">
      <w:lvlJc w:val="left"/>
      <w:lvlText w:val="(%1)"/>
      <w:numFmt w:val="lowerRoman"/>
      <w:start w:val="1"/>
    </w:lvl>
  </w:abstractNum>
  <w:abstractNum w:abstractNumId="33">
    <w:nsid w:val="725A06FB"/>
    <w:multiLevelType w:val="hybridMultilevel"/>
    <w:lvl w:ilvl="0">
      <w:lvlJc w:val="left"/>
      <w:lvlText w:val="(%1)"/>
      <w:numFmt w:val="lowerRoman"/>
      <w:start w:val="2"/>
    </w:lvl>
  </w:abstractNum>
  <w:abstractNum w:abstractNumId="34">
    <w:nsid w:val="2CD89A32"/>
    <w:multiLevelType w:val="hybridMultilevel"/>
    <w:lvl w:ilvl="0">
      <w:lvlJc w:val="left"/>
      <w:lvlText w:val="%1"/>
      <w:numFmt w:val="decimal"/>
      <w:start w:val="41"/>
    </w:lvl>
  </w:abstractNum>
  <w:abstractNum w:abstractNumId="35">
    <w:nsid w:val="57E4CCAF"/>
    <w:multiLevelType w:val="hybridMultilevel"/>
    <w:lvl w:ilvl="0">
      <w:lvlJc w:val="left"/>
      <w:lvlText w:val="(%1)"/>
      <w:numFmt w:val="lowerRoman"/>
      <w:start w:val="3"/>
    </w:lvl>
  </w:abstractNum>
  <w:abstractNum w:abstractNumId="36">
    <w:nsid w:val="7A6D8D3C"/>
    <w:multiLevelType w:val="hybridMultilevel"/>
    <w:lvl w:ilvl="0">
      <w:lvlJc w:val="left"/>
      <w:lvlText w:val="%1"/>
      <w:numFmt w:val="decimal"/>
      <w:start w:val="41"/>
    </w:lvl>
  </w:abstractNum>
  <w:abstractNum w:abstractNumId="37">
    <w:nsid w:val="4B588F54"/>
    <w:multiLevelType w:val="hybridMultilevel"/>
    <w:lvl w:ilvl="0">
      <w:lvlJc w:val="left"/>
      <w:lvlText w:val="%1."/>
      <w:numFmt w:val="decimal"/>
      <w:start w:val="1"/>
    </w:lvl>
    <w:lvl w:ilvl="1">
      <w:lvlJc w:val="left"/>
      <w:lvlText w:val="(%2)"/>
      <w:numFmt w:val="lowerLetter"/>
      <w:start w:val="1"/>
    </w:lvl>
  </w:abstractNum>
  <w:abstractNum w:abstractNumId="38">
    <w:nsid w:val="542289EC"/>
    <w:multiLevelType w:val="hybridMultilevel"/>
    <w:lvl w:ilvl="0">
      <w:lvlJc w:val="left"/>
      <w:lvlText w:val="(%1)"/>
      <w:numFmt w:val="lowerLetter"/>
      <w:start w:val="2"/>
    </w:lvl>
  </w:abstractNum>
  <w:abstractNum w:abstractNumId="39">
    <w:nsid w:val="6DE91B18"/>
    <w:multiLevelType w:val="hybridMultilevel"/>
    <w:lvl w:ilvl="0">
      <w:lvlJc w:val="left"/>
      <w:lvlText w:val="%1"/>
      <w:numFmt w:val="decimal"/>
      <w:start w:val="1"/>
    </w:lvl>
    <w:lvl w:ilvl="1">
      <w:lvlJc w:val="left"/>
      <w:lvlText w:val="(%2)"/>
      <w:numFmt w:val="lowerLetter"/>
      <w:start w:val="6"/>
    </w:lvl>
  </w:abstractNum>
  <w:abstractNum w:abstractNumId="40">
    <w:nsid w:val="38437FDB"/>
    <w:multiLevelType w:val="hybridMultilevel"/>
    <w:lvl w:ilvl="0">
      <w:lvlJc w:val="left"/>
      <w:lvlText w:val="%1."/>
      <w:numFmt w:val="decimal"/>
      <w:start w:val="2"/>
    </w:lvl>
    <w:lvl w:ilvl="1">
      <w:lvlJc w:val="left"/>
      <w:lvlText w:val="(%2)"/>
      <w:numFmt w:val="lowerLetter"/>
      <w:start w:val="1"/>
    </w:lvl>
  </w:abstractNum>
  <w:abstractNum w:abstractNumId="41">
    <w:nsid w:val="7644A45C"/>
    <w:multiLevelType w:val="hybridMultilevel"/>
    <w:lvl w:ilvl="0">
      <w:lvlJc w:val="left"/>
      <w:lvlText w:val="%1"/>
      <w:numFmt w:val="decimal"/>
      <w:start w:val="1"/>
    </w:lvl>
    <w:lvl w:ilvl="1">
      <w:lvlJc w:val="left"/>
      <w:lvlText w:val="(%2)"/>
      <w:numFmt w:val="lowerLetter"/>
      <w:start w:val="2"/>
    </w:lvl>
  </w:abstractNum>
  <w:abstractNum w:abstractNumId="42">
    <w:nsid w:val="32FFF902"/>
    <w:multiLevelType w:val="hybridMultilevel"/>
    <w:lvl w:ilvl="0">
      <w:lvlJc w:val="left"/>
      <w:lvlText w:val="%1."/>
      <w:numFmt w:val="decimal"/>
      <w:start w:val="3"/>
    </w:lvl>
    <w:lvl w:ilvl="1">
      <w:lvlJc w:val="left"/>
      <w:lvlText w:val="%2"/>
      <w:numFmt w:val="lowerLetter"/>
      <w:start w:val="1"/>
    </w:lvl>
  </w:abstractNum>
  <w:abstractNum w:abstractNumId="43">
    <w:nsid w:val="684A481A"/>
    <w:multiLevelType w:val="hybridMultilevel"/>
    <w:lvl w:ilvl="0">
      <w:lvlJc w:val="left"/>
      <w:lvlText w:val="%1."/>
      <w:numFmt w:val="decimal"/>
      <w:start w:val="4"/>
    </w:lvl>
  </w:abstractNum>
  <w:abstractNum w:abstractNumId="44">
    <w:nsid w:val="579478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5">
    <w:nsid w:val="749ABB43"/>
    <w:multiLevelType w:val="hybridMultilevel"/>
    <w:lvl w:ilvl="0">
      <w:lvlJc w:val="left"/>
      <w:lvlText w:val="(%1)"/>
      <w:numFmt w:val="lowerRoman"/>
      <w:start w:val="3"/>
    </w:lvl>
  </w:abstractNum>
  <w:abstractNum w:abstractNumId="46">
    <w:nsid w:val="3DC240FB"/>
    <w:multiLevelType w:val="hybridMultilevel"/>
    <w:lvl w:ilvl="0">
      <w:lvlJc w:val="left"/>
      <w:lvlText w:val="%1."/>
      <w:numFmt w:val="decimal"/>
      <w:start w:val="7"/>
    </w:lvl>
  </w:abstractNum>
  <w:abstractNum w:abstractNumId="47">
    <w:nsid w:val="1BA026FA"/>
    <w:multiLevelType w:val="hybridMultilevel"/>
    <w:lvl w:ilvl="0">
      <w:lvlJc w:val="left"/>
      <w:lvlText w:val="%1."/>
      <w:numFmt w:val="decimal"/>
      <w:start w:val="9"/>
    </w:lvl>
  </w:abstractNum>
  <w:abstractNum w:abstractNumId="48">
    <w:nsid w:val="79A1DEAA"/>
    <w:multiLevelType w:val="hybridMultilevel"/>
    <w:lvl w:ilvl="0">
      <w:lvlJc w:val="left"/>
      <w:lvlText w:val="%1."/>
      <w:numFmt w:val="decimal"/>
      <w:start w:val="14"/>
    </w:lvl>
  </w:abstractNum>
  <w:abstractNum w:abstractNumId="49">
    <w:nsid w:val="75C6C33A"/>
    <w:multiLevelType w:val="hybridMultilevel"/>
    <w:lvl w:ilvl="0">
      <w:lvlJc w:val="left"/>
      <w:lvlText w:val="(%1)"/>
      <w:numFmt w:val="upperLetter"/>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Roman"/>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2020-12-16T15:54:15Z</dcterms:created>
  <dcterms:modified xsi:type="dcterms:W3CDTF">2020-12-16T15:54:15Z</dcterms:modified>
</cp:coreProperties>
</file>