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Beals Christopher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08/23/2022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45,655</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2.6513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656,638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6,166,819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in a bulk lot beginning on August 22, 2022 (but not allocated until August 23, 2022) on behalf of certain employees of the Issuer, including the Reporting Person, at prices ranging from $2.52 to $2.88.</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in footnote 4 below) held by such Class V Common Stock holder at the time of such vote.</w:t>
      </w:r>
    </w:p>
    <w:p>
      <w:pPr>
        <w:spacing w:after="0" w:line="20" w:lineRule="exact"/>
        <w:rPr>
          <w:rFonts w:ascii="Times New Roman" w:cs="Times New Roman" w:eastAsia="Times New Roman" w:hAnsi="Times New Roman"/>
          <w:sz w:val="13"/>
          <w:szCs w:val="13"/>
          <w:color w:val="008000"/>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Post-Merger Class A Units represent non-voting limited liability company interests of WM Holding Company, LLC. Pursuant to the terms of an exchange agreement, these Class A units and an equivalent number of shares of Class V Common Stock are exchangeable on a one-for-one basis for shares of Class A Common Stock. These exchange rights do not expire.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Christopher Beals, by /s/ Ron</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08/24/2022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 Metzger, Attorney-in-Fact</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gridSpan w:val="2"/>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244"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2022-08-24T19:22:43Z</dcterms:created>
  <dcterms:modified xsi:type="dcterms:W3CDTF">2022-08-24T19:22:43Z</dcterms:modified>
</cp:coreProperties>
</file>