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33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182880</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4"/>
          <w:szCs w:val="24"/>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4"/>
          <w:szCs w:val="24"/>
          <w:color w:val="auto"/>
        </w:rPr>
      </w:pPr>
    </w:p>
    <w:p>
      <w:pPr>
        <w:jc w:val="both"/>
        <w:ind w:left="400" w:right="419" w:firstLine="360"/>
        <w:spacing w:after="0" w:line="27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9"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May 4, 2022, the closing price of our Class A Common Stock was $6.26 and the closing price for our Public Warrants was $1.38.</w:t>
      </w:r>
    </w:p>
    <w:p>
      <w:pPr>
        <w:spacing w:after="0" w:line="68" w:lineRule="exact"/>
        <w:rPr>
          <w:sz w:val="24"/>
          <w:szCs w:val="24"/>
          <w:color w:val="auto"/>
        </w:rPr>
      </w:pPr>
    </w:p>
    <w:p>
      <w:pPr>
        <w:jc w:val="both"/>
        <w:ind w:left="40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9</w:t>
      </w:r>
      <w:r>
        <w:rPr>
          <w:rFonts w:ascii="Times New Roman" w:cs="Times New Roman" w:eastAsia="Times New Roman" w:hAnsi="Times New Roman"/>
          <w:sz w:val="18"/>
          <w:szCs w:val="18"/>
          <w:color w:val="auto"/>
        </w:rPr>
        <w:t xml:space="preserve"> of this prospectus to read about factors you should consider before buying our securities.</w:t>
      </w:r>
    </w:p>
    <w:p>
      <w:pPr>
        <w:spacing w:after="0" w:line="54"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46</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DETERMINATION OF OFFERING PRICE</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47</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48</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SELECTED HISTORICAL FINANCIAL AND OPERATING DATA</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49</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97</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PRINCIPAL SECURITYHOLDERS</w:t>
            </w:r>
          </w:p>
        </w:tc>
        <w:tc>
          <w:tcPr>
            <w:tcW w:w="3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103</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105</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112</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120</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125</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127</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128</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F-1</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have identified a material weakness in our internal control over financial reporting which, if not corrected, could affect the reliability of our consolidated financial statements;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42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79" w:firstLine="360"/>
        <w:spacing w:after="0" w:line="252" w:lineRule="auto"/>
        <w:rPr>
          <w:sz w:val="20"/>
          <w:szCs w:val="20"/>
          <w:color w:val="auto"/>
        </w:rPr>
      </w:pPr>
      <w:r>
        <w:rPr>
          <w:rFonts w:ascii="Times New Roman" w:cs="Times New Roman" w:eastAsia="Times New Roman" w:hAnsi="Times New Roman"/>
          <w:sz w:val="18"/>
          <w:szCs w:val="18"/>
          <w:color w:val="auto"/>
        </w:rPr>
        <w:t>We were originally known as Silver Spike Acquisition Corp. 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Prior to the Closing Date, each of Silver Spike’s then currently issued and outstanding Class A Ordinary Shares and Class B ordinary shares (“Class B Ordinary Shares”) automatically converted by operation of law, on a one-for-one basis, into shares of Class A Common Stock of Silver Spike. Similarly, all of Silver Spike’s outstanding warrants became warrants to acquire shares of Class A Common Stock of Silver Spike, and no other changes were made to the terms of any outstanding warrants.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88"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Class A Units and Class P Units and provides potential future tax benefits for both us and the Unit holders when they ultimately exchange their pass-through interests for shares of Class A Common Stock. The Paired Interests are exchangeable on a one-for-one basis for shares of Class A common stock and the Class P Units, upon vesting, are exchangeable into shares of Class A Common Stock at a variable exchange ratio, of up to a one-for-one basis, that accounts for the participation threshold of the exchanged Class P Units. We are a holding company, and immediately after the consummation of the Business Combination, our principal asset is our ownership interest and managing member interest in WMH LLC.</w:t>
      </w:r>
    </w:p>
    <w:p>
      <w:pPr>
        <w:spacing w:after="0" w:line="84"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In December 2020, a number of purchasers subscribed to purchase from Silver Spike an aggregate of 32,500,000 shares of the Silver Spike’s Class A Common Stock (the “PIPE Shares”), for a purchase price of $10.00 per share and an aggregate purchase price of $325,000,000, pursuant to separate subscription agreements (each, a “Subscription Agreement”). The sale of PIPE Shares was consummated concurrently with the Closing.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8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w:t>
      </w:r>
    </w:p>
    <w:p>
      <w:pPr>
        <w:spacing w:after="0" w:line="54"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The rights of holders of our Class A Common Stock and Warrants are governed by our certificate of incorporation (our “Certificate of Incorporation”), our amended and restated bylaws (our “Bylaws”) and the Delaware General Corporation Law (the “DGCL”), and, in the case of the Warrants, the Warrant Agreement, dated as of August 7, 2019 (the “Warrant Agreement”), between Silver Spike and the Continental Stock Transfer &amp; Trust Company, as the warrant agent (in such capacity, the “Warrant Agent”). See the sections entitled “Description of our Securities” and “Certain Relationships and Related Party Transactions.”</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maintain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 and Canadian federal and provincial laws and regulations pertaining to the cannabis industry.</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637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3405" cy="63734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brand, business and operating results could be harmed.</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Warrants have been, and may continue to be, volatile, and the value of our Class A Common Stock and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027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WM Technology, Inc. (f/k/a Silver Spike Acquisition</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11020"/>
          </w:cols>
          <w:pgMar w:left="440" w:top="263" w:right="439" w:bottom="1440" w:gutter="0" w:footer="0" w:header="0"/>
        </w:sectPr>
      </w:pP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103"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firstLine="6"/>
        <w:spacing w:after="0" w:line="25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70,399,067 shares (as of February 18, 2022).</w:t>
      </w:r>
    </w:p>
    <w:p>
      <w:pPr>
        <w:spacing w:after="0" w:line="200" w:lineRule="exact"/>
        <w:rPr>
          <w:sz w:val="20"/>
          <w:szCs w:val="20"/>
          <w:color w:val="auto"/>
        </w:rPr>
      </w:pPr>
    </w:p>
    <w:p>
      <w:pPr>
        <w:spacing w:after="0" w:line="349"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181,297,449 shares (based on total shares outstanding as of February 18, 2022).</w:t>
      </w:r>
    </w:p>
    <w:p>
      <w:pPr>
        <w:spacing w:after="0" w:line="90" w:lineRule="exact"/>
        <w:rPr>
          <w:sz w:val="20"/>
          <w:szCs w:val="20"/>
          <w:color w:val="auto"/>
        </w:rPr>
      </w:pPr>
    </w:p>
    <w:p>
      <w:pPr>
        <w:sectPr>
          <w:pgSz w:w="11900" w:h="16838" w:orient="portrait"/>
          <w:cols w:equalWidth="0" w:num="2">
            <w:col w:w="5520" w:space="320"/>
            <w:col w:w="5180"/>
          </w:cols>
          <w:pgMar w:left="440" w:top="263" w:right="439" w:bottom="1440" w:gutter="0" w:footer="0" w:header="0"/>
          <w:type w:val="continuous"/>
        </w:sect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Exercise Price of Warrants</w:t>
      </w:r>
      <w:r>
        <w:rPr>
          <w:sz w:val="20"/>
          <w:szCs w:val="20"/>
          <w:color w:val="auto"/>
        </w:rPr>
        <w:tab/>
      </w:r>
      <w:r>
        <w:rPr>
          <w:rFonts w:ascii="Times New Roman" w:cs="Times New Roman" w:eastAsia="Times New Roman" w:hAnsi="Times New Roman"/>
          <w:sz w:val="18"/>
          <w:szCs w:val="18"/>
          <w:color w:val="auto"/>
        </w:rPr>
        <w:t>$11.50 per share, subject to adjustment as described</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herein.</w:t>
      </w:r>
    </w:p>
    <w:p>
      <w:pPr>
        <w:spacing w:after="0" w:line="122"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$224.3 million from the exercise of the Warrants,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assuming the exercise in full of all of the Warrants for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cash. We expect to use the net proceeds from the</w:t>
      </w:r>
    </w:p>
    <w:p>
      <w:pPr>
        <w:spacing w:after="0" w:line="9" w:lineRule="exact"/>
        <w:rPr>
          <w:sz w:val="20"/>
          <w:szCs w:val="20"/>
          <w:color w:val="auto"/>
        </w:rPr>
      </w:pPr>
    </w:p>
    <w:p>
      <w:pPr>
        <w:ind w:left="5840"/>
        <w:spacing w:after="0"/>
        <w:tabs>
          <w:tab w:leader="none" w:pos="6560" w:val="left"/>
          <w:tab w:leader="none" w:pos="6860" w:val="left"/>
          <w:tab w:leader="none" w:pos="7220" w:val="left"/>
          <w:tab w:leader="none" w:pos="8000" w:val="left"/>
          <w:tab w:leader="none" w:pos="8360" w:val="left"/>
          <w:tab w:leader="none" w:pos="9040" w:val="left"/>
        </w:tabs>
        <w:rPr>
          <w:sz w:val="20"/>
          <w:szCs w:val="20"/>
          <w:color w:val="auto"/>
        </w:rPr>
      </w:pPr>
      <w:r>
        <w:rPr>
          <w:rFonts w:ascii="Times New Roman" w:cs="Times New Roman" w:eastAsia="Times New Roman" w:hAnsi="Times New Roman"/>
          <w:sz w:val="18"/>
          <w:szCs w:val="18"/>
          <w:color w:val="auto"/>
        </w:rPr>
        <w:t>exercise</w:t>
        <w:tab/>
        <w:t>of</w:t>
        <w:tab/>
        <w:t>the</w:t>
        <w:tab/>
        <w:t>Warrants</w:t>
        <w:tab/>
        <w:t>for</w:t>
        <w:tab/>
        <w:t>general</w:t>
        <w:tab/>
        <w:t>corporate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purposes. See the section entitled “Use of Proceeds.”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the</w:t>
      </w:r>
    </w:p>
    <w:p>
      <w:pPr>
        <w:spacing w:after="0" w:line="31" w:lineRule="exact"/>
        <w:rPr>
          <w:sz w:val="20"/>
          <w:szCs w:val="20"/>
          <w:color w:val="auto"/>
        </w:rPr>
      </w:pPr>
    </w:p>
    <w:p>
      <w:pPr>
        <w:ind w:left="14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Selling Securityholders</w:t>
      </w:r>
      <w:r>
        <w:rPr>
          <w:sz w:val="20"/>
          <w:szCs w:val="20"/>
          <w:color w:val="auto"/>
        </w:rPr>
        <w:tab/>
      </w:r>
      <w:r>
        <w:rPr>
          <w:rFonts w:ascii="Times New Roman" w:cs="Times New Roman" w:eastAsia="Times New Roman" w:hAnsi="Times New Roman"/>
          <w:sz w:val="18"/>
          <w:szCs w:val="18"/>
          <w:color w:val="auto"/>
        </w:rPr>
        <w:t>Up to (i) 105,014,011 shares of Class A Common</w:t>
      </w:r>
    </w:p>
    <w:p>
      <w:pPr>
        <w:spacing w:after="0" w:line="9" w:lineRule="exact"/>
        <w:rPr>
          <w:sz w:val="20"/>
          <w:szCs w:val="20"/>
          <w:color w:val="auto"/>
        </w:rPr>
      </w:pPr>
    </w:p>
    <w:p>
      <w:pPr>
        <w:jc w:val="right"/>
        <w:ind w:right="1280"/>
        <w:spacing w:after="0"/>
        <w:tabs>
          <w:tab w:leader="none" w:pos="3280" w:val="left"/>
          <w:tab w:leader="none" w:pos="2400" w:val="left"/>
          <w:tab w:leader="none" w:pos="2100" w:val="left"/>
          <w:tab w:leader="none" w:pos="1800" w:val="left"/>
          <w:tab w:leader="none" w:pos="840" w:val="left"/>
          <w:tab w:leader="none" w:pos="240" w:val="left"/>
        </w:tabs>
        <w:rPr>
          <w:sz w:val="20"/>
          <w:szCs w:val="20"/>
          <w:color w:val="auto"/>
        </w:rPr>
      </w:pPr>
      <w:r>
        <w:rPr>
          <w:rFonts w:ascii="Times New Roman" w:cs="Times New Roman" w:eastAsia="Times New Roman" w:hAnsi="Times New Roman"/>
          <w:sz w:val="18"/>
          <w:szCs w:val="18"/>
          <w:color w:val="auto"/>
        </w:rPr>
        <w:t>Stock,</w:t>
        <w:tab/>
        <w:t>consisting</w:t>
        <w:tab/>
        <w:t>of</w:t>
        <w:tab/>
        <w:t>(i)</w:t>
        <w:tab/>
        <w:t>38,750,000</w:t>
        <w:tab/>
        <w:t>issued</w:t>
        <w:tab/>
        <w:t>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outstanding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 59,264,011 shares of Class A Common Stock</w:t>
      </w:r>
    </w:p>
    <w:p>
      <w:pPr>
        <w:spacing w:after="0" w:line="9" w:lineRule="exact"/>
        <w:rPr>
          <w:sz w:val="20"/>
          <w:szCs w:val="20"/>
          <w:color w:val="auto"/>
        </w:rPr>
      </w:pPr>
    </w:p>
    <w:p>
      <w:pPr>
        <w:ind w:left="5840"/>
        <w:spacing w:after="0"/>
        <w:tabs>
          <w:tab w:leader="none" w:pos="6660" w:val="left"/>
          <w:tab w:leader="none" w:pos="7280" w:val="left"/>
          <w:tab w:leader="none" w:pos="8220" w:val="left"/>
          <w:tab w:leader="none" w:pos="8620" w:val="left"/>
          <w:tab w:leader="none" w:pos="9200" w:val="left"/>
        </w:tabs>
        <w:rPr>
          <w:sz w:val="20"/>
          <w:szCs w:val="20"/>
          <w:color w:val="auto"/>
        </w:rPr>
      </w:pPr>
      <w:r>
        <w:rPr>
          <w:rFonts w:ascii="Times New Roman" w:cs="Times New Roman" w:eastAsia="Times New Roman" w:hAnsi="Times New Roman"/>
          <w:sz w:val="18"/>
          <w:szCs w:val="18"/>
          <w:color w:val="auto"/>
        </w:rPr>
        <w:t>issuable</w:t>
        <w:tab/>
        <w:t>upon</w:t>
        <w:tab/>
        <w:t>exchange</w:t>
        <w:tab/>
        <w:t>of</w:t>
        <w:tab/>
        <w:t>such</w:t>
        <w:tab/>
        <w:t>Selling</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Securityholder’s Paired Interests or Class P Units 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(iii) 7,000,000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issuable  upon  exercise  of  the  Private  Placement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Warrants.</w:t>
      </w:r>
    </w:p>
    <w:p>
      <w:pPr>
        <w:sectPr>
          <w:pgSz w:w="11900" w:h="16838" w:orient="portrait"/>
          <w:cols w:equalWidth="0" w:num="1">
            <w:col w:w="11020"/>
          </w:cols>
          <w:pgMar w:left="440" w:top="263" w:right="439" w:bottom="1440" w:gutter="0" w:footer="0" w:header="0"/>
          <w:type w:val="continuous"/>
        </w:sectPr>
      </w:pPr>
    </w:p>
    <w:p>
      <w:pPr>
        <w:spacing w:after="0" w:line="135" w:lineRule="exact"/>
        <w:rPr>
          <w:sz w:val="20"/>
          <w:szCs w:val="20"/>
          <w:color w:val="auto"/>
        </w:rPr>
      </w:pPr>
    </w:p>
    <w:p>
      <w:pPr>
        <w:ind w:left="1320" w:right="80"/>
        <w:spacing w:after="0" w:line="490" w:lineRule="auto"/>
        <w:rPr>
          <w:sz w:val="20"/>
          <w:szCs w:val="20"/>
          <w:color w:val="auto"/>
        </w:rPr>
      </w:pPr>
      <w:r>
        <w:rPr>
          <w:rFonts w:ascii="Times New Roman" w:cs="Times New Roman" w:eastAsia="Times New Roman" w:hAnsi="Times New Roman"/>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 Private Placement Warrants.</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The Warrants are redeemable in certain circumstances. See the section entitled “Description of our Securities—Warrants” for further discussion.</w:t>
      </w:r>
    </w:p>
    <w:p>
      <w:pPr>
        <w:spacing w:after="0" w:line="104" w:lineRule="exact"/>
        <w:rPr>
          <w:sz w:val="20"/>
          <w:szCs w:val="20"/>
          <w:color w:val="auto"/>
        </w:rPr>
      </w:pPr>
    </w:p>
    <w:p>
      <w:pPr>
        <w:sectPr>
          <w:pgSz w:w="11900" w:h="16838" w:orient="portrait"/>
          <w:cols w:equalWidth="0" w:num="2">
            <w:col w:w="5120" w:space="720"/>
            <w:col w:w="51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29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0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We will not receive any proceeds from the sale of</w:t>
            </w:r>
          </w:p>
        </w:tc>
      </w:tr>
      <w:tr>
        <w:trPr>
          <w:trHeight w:val="216"/>
        </w:trPr>
        <w:tc>
          <w:tcPr>
            <w:tcW w:w="1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70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shares of Class A Common Stock or Warrants by the</w:t>
            </w:r>
          </w:p>
        </w:tc>
      </w:tr>
      <w:tr>
        <w:trPr>
          <w:trHeight w:val="234"/>
        </w:trPr>
        <w:tc>
          <w:tcPr>
            <w:tcW w:w="1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70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Selling Securityholders.</w:t>
            </w:r>
          </w:p>
        </w:tc>
      </w:tr>
      <w:tr>
        <w:trPr>
          <w:trHeight w:val="213"/>
        </w:trPr>
        <w:tc>
          <w:tcPr>
            <w:tcW w:w="1080" w:type="dxa"/>
            <w:vAlign w:val="bottom"/>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600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00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42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Lock-Up Restrictions</w:t>
            </w:r>
          </w:p>
        </w:tc>
        <w:tc>
          <w:tcPr>
            <w:tcW w:w="468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Certain of our stockholders are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restrictions  on  transfer  until  the  termination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applicable lock-up periods. See the section entitled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“Certain   Relationships   and   Related   Party</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Transactions” for further discussion.</w:t>
            </w:r>
          </w:p>
        </w:tc>
        <w:tc>
          <w:tcPr>
            <w:tcW w:w="1040" w:type="dxa"/>
            <w:vAlign w:val="bottom"/>
          </w:tcPr>
          <w:p>
            <w:pPr>
              <w:spacing w:after="0"/>
              <w:rPr>
                <w:sz w:val="20"/>
                <w:szCs w:val="20"/>
                <w:color w:val="auto"/>
              </w:rPr>
            </w:pPr>
          </w:p>
        </w:tc>
      </w:tr>
      <w:tr>
        <w:trPr>
          <w:trHeight w:val="333"/>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currently  traded  on  Nasdaq  under  the  symbols</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“MAPS” and “MAPSW,” respectively.</w:t>
            </w:r>
          </w:p>
        </w:tc>
        <w:tc>
          <w:tcPr>
            <w:tcW w:w="1040" w:type="dxa"/>
            <w:vAlign w:val="bottom"/>
          </w:tcPr>
          <w:p>
            <w:pPr>
              <w:spacing w:after="0"/>
              <w:rPr>
                <w:sz w:val="20"/>
                <w:szCs w:val="20"/>
                <w:color w:val="auto"/>
              </w:rPr>
            </w:pPr>
          </w:p>
        </w:tc>
      </w:tr>
      <w:tr>
        <w:trPr>
          <w:trHeight w:val="346"/>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information  included  in  this  prospectus  for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discussion of factors you should consider before</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investing in our 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any of which could have an adverse effect on our business financial condition, operating results, or prospects:</w:t>
      </w:r>
    </w:p>
    <w:p>
      <w:pPr>
        <w:spacing w:after="0" w:line="54"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maintain profitability in the future.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 and Canadian federal and provincial laws and regulations pertaining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brand, business and operating results could be harmed.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Warrants have been, and may continue to be, volatile, and the value of our Class A Common Stock and Warrants may decline.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44" w:lineRule="exact"/>
        <w:rPr>
          <w:sz w:val="20"/>
          <w:szCs w:val="20"/>
          <w:color w:val="auto"/>
        </w:rPr>
      </w:pPr>
    </w:p>
    <w:p>
      <w:pPr>
        <w:ind w:left="66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maintain profitability in the future.</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79"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our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6"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6"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 and Canadian federal and provincial laws and regulations pertaining to the cannabis industry.</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8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50"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expands significantly beyond a regulated model, and commodification of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201"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9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68"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w:t>
      </w:r>
    </w:p>
    <w:p>
      <w:pPr>
        <w:spacing w:after="0" w:line="99"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brand, business and operating results could be harmed.</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19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6"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continue successfully improving and enhancing our platform, our business could be adversely affected.</w:t>
      </w:r>
    </w:p>
    <w:p>
      <w:pPr>
        <w:spacing w:after="0" w:line="320"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2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platform could adversely affect our operating results and growth prospects.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72"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7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9"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1" w:lineRule="exact"/>
        <w:rPr>
          <w:sz w:val="20"/>
          <w:szCs w:val="20"/>
          <w:color w:val="auto"/>
        </w:rPr>
      </w:pPr>
    </w:p>
    <w:p>
      <w:pPr>
        <w:jc w:val="both"/>
        <w:ind w:left="300" w:right="299" w:hanging="8"/>
        <w:spacing w:after="0" w:line="252" w:lineRule="auto"/>
        <w:tabs>
          <w:tab w:leader="none" w:pos="5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80"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75"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15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8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82"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76"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6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79"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06"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5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1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Acquisitions by us of common units in the Business Combination and future taxable redemptions or exchanges of the Class A Units by the WMH LLC equity holders for shares of Class A Common Stock or cash pursuant to the exchange agreement are expected to result in favorable tax attributes for us.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31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35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4"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3" w:lineRule="exact"/>
        <w:rPr>
          <w:sz w:val="20"/>
          <w:szCs w:val="20"/>
          <w:color w:val="auto"/>
        </w:rPr>
      </w:pPr>
    </w:p>
    <w:p>
      <w:pPr>
        <w:jc w:val="both"/>
        <w:ind w:left="300" w:right="299" w:hanging="8"/>
        <w:spacing w:after="0" w:line="255" w:lineRule="auto"/>
        <w:tabs>
          <w:tab w:leader="none" w:pos="4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2"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8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Telephone Consumer Protections Act (TCPA) risks for our communications with consumers.</w:t>
      </w:r>
    </w:p>
    <w:p>
      <w:pPr>
        <w:spacing w:after="0" w:line="51"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69"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Warrants will be in the money at the time they become exercisable, and they may expire worthless.</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72"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8"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Warrants prior to their exercise at a time that is disadvantageous to warrantholders, thereby making such Warrants worthless.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183"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72"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8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1"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5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79"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88"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5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and these expenses may increase even more now that we are no longer an emerging growth company,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36"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6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68" w:lineRule="exact"/>
        <w:rPr>
          <w:sz w:val="20"/>
          <w:szCs w:val="20"/>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auditor attestation requirements in the assessment of our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disclosure obligations regarding executive compensation;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requirements of holding a nonbinding advisory vote on executive compensation and shareholder approval of any golden parachute payments not previously approved.</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30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5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6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offering price of the shares of Class A Common Stock underlying the Warrants offered hereby is determined by reference to the exercise price of the Warrants of $11.50 per share. The Public Warrants are listed on Nasdaq under the symbol “MAPSW.”</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cannot currently determine the price or prices at which shares of our Class A Common Stock or Warrants may be sold by the Selling Securityholders under this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June 16, 2021, we did not have any securities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68"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HISTORICAL FINANCIAL AND OPERATING DATA</w:t>
      </w:r>
    </w:p>
    <w:p>
      <w:pPr>
        <w:spacing w:after="0" w:line="121"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(in thousands, except unit and share data)</w:t>
            </w: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30,716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27,142</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51,127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137,945</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120,593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41,198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(8,178)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(5,341)</w:t>
            </w:r>
          </w:p>
        </w:tc>
        <w:tc>
          <w:tcPr>
            <w:tcW w:w="11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(2,368)</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946</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208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$ 38,830</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0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Earnings (Loss) Per Share of Class A Common Stock</w:t>
            </w:r>
          </w:p>
        </w:tc>
        <w:tc>
          <w:tcPr>
            <w:tcW w:w="14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-5674360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-5862955</wp:posOffset>
            </wp:positionV>
            <wp:extent cx="154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-5862955</wp:posOffset>
            </wp:positionV>
            <wp:extent cx="154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770890</wp:posOffset>
            </wp:positionV>
            <wp:extent cx="534924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Earnings (Loss) Per Unit</w:t>
      </w:r>
    </w:p>
    <w:p>
      <w:pPr>
        <w:spacing w:after="0" w:line="121" w:lineRule="exact"/>
        <w:rPr>
          <w:sz w:val="20"/>
          <w:szCs w:val="20"/>
          <w:color w:val="auto"/>
        </w:rPr>
      </w:pPr>
    </w:p>
    <w:p>
      <w:pPr>
        <w:ind w:left="1480" w:hanging="179"/>
        <w:spacing w:after="0" w:line="282" w:lineRule="auto"/>
        <w:rPr>
          <w:sz w:val="20"/>
          <w:szCs w:val="20"/>
          <w:color w:val="auto"/>
        </w:rPr>
      </w:pPr>
      <w:r>
        <w:rPr>
          <w:rFonts w:ascii="Times New Roman" w:cs="Times New Roman" w:eastAsia="Times New Roman" w:hAnsi="Times New Roman"/>
          <w:sz w:val="18"/>
          <w:szCs w:val="18"/>
          <w:color w:val="auto"/>
        </w:rPr>
        <w:t>Basic and diluted earnings (loss) per Class A-1, A-2 and A-3 units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36830</wp:posOffset>
            </wp:positionV>
            <wp:extent cx="5349240" cy="394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9240" cy="394335"/>
                    </a:xfrm>
                    <a:prstGeom prst="rect">
                      <a:avLst/>
                    </a:prstGeom>
                    <a:noFill/>
                  </pic:spPr>
                </pic:pic>
              </a:graphicData>
            </a:graphic>
          </wp:anchor>
        </w:drawing>
      </w:r>
    </w:p>
    <w:p>
      <w:pPr>
        <w:spacing w:after="0" w:line="115" w:lineRule="exact"/>
        <w:rPr>
          <w:sz w:val="20"/>
          <w:szCs w:val="20"/>
          <w:color w:val="auto"/>
        </w:rPr>
      </w:pPr>
    </w:p>
    <w:p>
      <w:pPr>
        <w:ind w:left="1480" w:right="460" w:hanging="179"/>
        <w:spacing w:after="0" w:line="282" w:lineRule="auto"/>
        <w:rPr>
          <w:sz w:val="20"/>
          <w:szCs w:val="20"/>
          <w:color w:val="auto"/>
        </w:rPr>
      </w:pPr>
      <w:r>
        <w:rPr>
          <w:rFonts w:ascii="Times New Roman" w:cs="Times New Roman" w:eastAsia="Times New Roman" w:hAnsi="Times New Roman"/>
          <w:sz w:val="18"/>
          <w:szCs w:val="18"/>
          <w:color w:val="auto"/>
        </w:rPr>
        <w:t>Basic and diluted earnings per Class A-1, A-2 and A-3 units from discontinued operations</w:t>
      </w:r>
    </w:p>
    <w:p>
      <w:pPr>
        <w:spacing w:after="0" w:line="135" w:lineRule="exact"/>
        <w:rPr>
          <w:sz w:val="20"/>
          <w:szCs w:val="20"/>
          <w:color w:val="auto"/>
        </w:rPr>
      </w:pPr>
    </w:p>
    <w:p>
      <w:pPr>
        <w:ind w:left="1300" w:right="400"/>
        <w:spacing w:after="0" w:line="544" w:lineRule="auto"/>
        <w:rPr>
          <w:sz w:val="20"/>
          <w:szCs w:val="20"/>
          <w:color w:val="auto"/>
        </w:rPr>
      </w:pPr>
      <w:r>
        <w:rPr>
          <w:rFonts w:ascii="Times New Roman" w:cs="Times New Roman" w:eastAsia="Times New Roman" w:hAnsi="Times New Roman"/>
          <w:sz w:val="17"/>
          <w:szCs w:val="17"/>
          <w:color w:val="auto"/>
        </w:rPr>
        <w:t>Basic and diluted earnings (loss) per Class A-1, A-2 and A-3 units Basic and diluted weighted-average number of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-353060</wp:posOffset>
            </wp:positionV>
            <wp:extent cx="5349240" cy="2317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Balance Sheet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50800</wp:posOffset>
            </wp:positionV>
            <wp:extent cx="534924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Cash</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-21590</wp:posOffset>
            </wp:positionV>
            <wp:extent cx="5349240" cy="205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Total assets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51435</wp:posOffset>
            </wp:positionV>
            <wp:extent cx="534924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205740</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1640" w:hanging="348"/>
        <w:spacing w:after="0"/>
        <w:tabs>
          <w:tab w:leader="none" w:pos="1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is defined as current assets less current liabilities.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17748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98" w:lineRule="exact"/>
        <w:rPr>
          <w:sz w:val="20"/>
          <w:szCs w:val="20"/>
          <w:color w:val="auto"/>
        </w:rPr>
      </w:pPr>
    </w:p>
    <w:p>
      <w:pPr>
        <w:ind w:left="220"/>
        <w:spacing w:after="0"/>
        <w:tabs>
          <w:tab w:leader="none" w:pos="1160" w:val="left"/>
          <w:tab w:leader="none" w:pos="218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50800</wp:posOffset>
            </wp:positionV>
            <wp:extent cx="17748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 thousands, except unit and share data)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899,160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899,160</w:t>
            </w: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6"/>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As of the</w:t>
      </w:r>
    </w:p>
    <w:p>
      <w:pPr>
        <w:spacing w:after="0" w:line="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39370</wp:posOffset>
            </wp:positionV>
            <wp:extent cx="16973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6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$ 4,968</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$19,919</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$ 67,777</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61,134</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53,894</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365,144</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24,623</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233,204</w:t>
            </w:r>
          </w:p>
        </w:tc>
      </w:tr>
      <w:tr>
        <w:trPr>
          <w:trHeight w:val="324"/>
        </w:trPr>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131,940</w:t>
            </w:r>
          </w:p>
        </w:tc>
      </w:tr>
    </w:tbl>
    <w:p>
      <w:pPr>
        <w:spacing w:after="0" w:line="702" w:lineRule="exact"/>
        <w:rPr>
          <w:sz w:val="20"/>
          <w:szCs w:val="20"/>
          <w:color w:val="auto"/>
        </w:rPr>
      </w:pPr>
    </w:p>
    <w:p>
      <w:pPr>
        <w:sectPr>
          <w:pgSz w:w="11900" w:h="16838" w:orient="portrait"/>
          <w:cols w:equalWidth="0" w:num="2">
            <w:col w:w="6460" w:space="460"/>
            <w:col w:w="4100"/>
          </w:cols>
          <w:pgMar w:left="440" w:top="263" w:right="439" w:bottom="1440" w:gutter="0" w:footer="0" w:header="0"/>
        </w:sectPr>
      </w:pP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Historical Cash Flow: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3"/>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90"/>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6,295</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$ 38,620</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(21,969)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(22,358)</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were founded in 2008 and operate a leading online marketplace with a comprehensive set of eCommerce and compliance software solutions sold to retailers and brands in the U.S. state-legal and Canadian cannabis markets. Our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6"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3" w:lineRule="exact"/>
        <w:rPr>
          <w:sz w:val="20"/>
          <w:szCs w:val="20"/>
          <w:color w:val="auto"/>
        </w:rPr>
      </w:pPr>
    </w:p>
    <w:p>
      <w:pPr>
        <w:jc w:val="both"/>
        <w:ind w:left="300" w:right="299" w:hanging="8"/>
        <w:spacing w:after="0" w:line="253" w:lineRule="auto"/>
        <w:tabs>
          <w:tab w:leader="none" w:pos="5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5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$144,232</w:t>
            </w:r>
          </w:p>
        </w:tc>
      </w:tr>
      <w:tr>
        <w:trPr>
          <w:trHeight w:val="270"/>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$152,218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38,830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$156,042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42,808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6,232</w:t>
            </w:r>
          </w:p>
        </w:tc>
      </w:tr>
      <w:tr>
        <w:trPr>
          <w:trHeight w:val="324"/>
        </w:trPr>
        <w:tc>
          <w:tcPr>
            <w:tcW w:w="45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31,698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42,808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13,828</w:t>
            </w: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3,711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3,256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2,558</w:t>
            </w:r>
          </w:p>
        </w:tc>
      </w:tr>
      <w:tr>
        <w:trPr>
          <w:trHeight w:val="324"/>
        </w:trPr>
        <w:tc>
          <w:tcPr>
            <w:tcW w:w="452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4,699</w:t>
            </w:r>
          </w:p>
        </w:tc>
      </w:tr>
      <w:tr>
        <w:trPr>
          <w:trHeight w:val="324"/>
        </w:trPr>
        <w:tc>
          <w:tcPr>
            <w:tcW w:w="452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MAUs (in thousands)</w:t>
            </w:r>
            <w:r>
              <w:rPr>
                <w:rFonts w:ascii="Times New Roman" w:cs="Times New Roman" w:eastAsia="Times New Roman" w:hAnsi="Times New Roman"/>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-1739900</wp:posOffset>
            </wp:positionV>
            <wp:extent cx="1289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-1739900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1" w:lineRule="exact"/>
        <w:rPr>
          <w:sz w:val="20"/>
          <w:szCs w:val="20"/>
          <w:color w:val="auto"/>
        </w:rPr>
      </w:pPr>
    </w:p>
    <w:p>
      <w:pPr>
        <w:ind w:left="640" w:right="29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see “—EBITDA and Adjusted EBITDA” below.</w:t>
      </w:r>
    </w:p>
    <w:p>
      <w:pPr>
        <w:jc w:val="both"/>
        <w:ind w:left="640" w:right="319" w:hanging="348"/>
        <w:spacing w:after="0" w:line="236"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and our other GAAP results.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1"/>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8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80" w:type="dxa"/>
            <w:vAlign w:val="bottom"/>
          </w:tcPr>
          <w:p>
            <w:pPr>
              <w:spacing w:after="0"/>
              <w:rPr>
                <w:sz w:val="19"/>
                <w:szCs w:val="19"/>
                <w:color w:val="auto"/>
              </w:rPr>
            </w:pPr>
          </w:p>
        </w:tc>
      </w:tr>
      <w:tr>
        <w:trPr>
          <w:trHeight w:val="50"/>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$38,830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1,321</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156,042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(166,518)</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fees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4,202</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13,828</w:t>
            </w:r>
          </w:p>
        </w:tc>
      </w:tr>
      <w:tr>
        <w:trPr>
          <w:trHeight w:val="27"/>
        </w:trPr>
        <w:tc>
          <w:tcPr>
            <w:tcW w:w="4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-3316605</wp:posOffset>
            </wp:positionV>
            <wp:extent cx="1885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-3316605</wp:posOffset>
            </wp:positionV>
            <wp:extent cx="188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Current definition:</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4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7"/>
        </w:trPr>
        <w:tc>
          <w:tcPr>
            <w:tcW w:w="4640" w:type="dxa"/>
            <w:vAlign w:val="bottom"/>
          </w:tcPr>
          <w:p>
            <w:pPr>
              <w:spacing w:after="0"/>
              <w:rPr>
                <w:sz w:val="19"/>
                <w:szCs w:val="19"/>
                <w:color w:val="auto"/>
              </w:rPr>
            </w:pPr>
          </w:p>
        </w:tc>
        <w:tc>
          <w:tcPr>
            <w:tcW w:w="2040" w:type="dxa"/>
            <w:vAlign w:val="bottom"/>
            <w:gridSpan w:val="3"/>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464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2040" w:type="dxa"/>
            <w:vAlign w:val="bottom"/>
            <w:tcBorders>
              <w:bottom w:val="single" w:sz="8" w:color="CCEEFF"/>
            </w:tcBorders>
            <w:gridSpan w:val="3"/>
            <w:shd w:val="clear" w:color="auto" w:fill="CCEEFF"/>
          </w:tcPr>
          <w:p>
            <w:pPr>
              <w:jc w:val="center"/>
              <w:ind w:left="1459"/>
              <w:spacing w:after="0"/>
              <w:rPr>
                <w:sz w:val="20"/>
                <w:szCs w:val="20"/>
                <w:color w:val="auto"/>
              </w:rPr>
            </w:pPr>
            <w:r>
              <w:rPr>
                <w:rFonts w:ascii="Times New Roman" w:cs="Times New Roman" w:eastAsia="Times New Roman" w:hAnsi="Times New Roman"/>
                <w:sz w:val="18"/>
                <w:szCs w:val="18"/>
                <w:color w:val="auto"/>
              </w:rPr>
              <w:t>$3,711</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$3,256</w:t>
            </w: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$2,558</w:t>
            </w:r>
          </w:p>
        </w:tc>
      </w:tr>
      <w:tr>
        <w:trPr>
          <w:trHeight w:val="355"/>
        </w:trPr>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9"/>
          </w:tcPr>
          <w:p>
            <w:pPr>
              <w:ind w:lef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46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r>
      <w:tr>
        <w:trPr>
          <w:trHeight w:val="226"/>
        </w:trPr>
        <w:tc>
          <w:tcPr>
            <w:tcW w:w="4640" w:type="dxa"/>
            <w:vAlign w:val="bottom"/>
          </w:tcPr>
          <w:p>
            <w:pPr>
              <w:spacing w:after="0"/>
              <w:rPr>
                <w:sz w:val="19"/>
                <w:szCs w:val="19"/>
                <w:color w:val="auto"/>
              </w:rPr>
            </w:pPr>
          </w:p>
        </w:tc>
        <w:tc>
          <w:tcPr>
            <w:tcW w:w="2040" w:type="dxa"/>
            <w:vAlign w:val="bottom"/>
            <w:gridSpan w:val="3"/>
          </w:tcPr>
          <w:p>
            <w:pPr>
              <w:jc w:val="center"/>
              <w:ind w:left="15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1"/>
        </w:trPr>
        <w:tc>
          <w:tcPr>
            <w:tcW w:w="464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CCEEFF"/>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77"/>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revenue per paying client</w:t>
            </w:r>
          </w:p>
        </w:tc>
        <w:tc>
          <w:tcPr>
            <w:tcW w:w="2080" w:type="dxa"/>
            <w:vAlign w:val="bottom"/>
            <w:gridSpan w:val="4"/>
            <w:shd w:val="clear" w:color="auto" w:fill="CCEEFF"/>
          </w:tcPr>
          <w:p>
            <w:pPr>
              <w:jc w:val="center"/>
              <w:ind w:left="1459"/>
              <w:spacing w:after="0"/>
              <w:rPr>
                <w:sz w:val="20"/>
                <w:szCs w:val="20"/>
                <w:color w:val="auto"/>
              </w:rPr>
            </w:pPr>
            <w:r>
              <w:rPr>
                <w:rFonts w:ascii="Times New Roman" w:cs="Times New Roman" w:eastAsia="Times New Roman" w:hAnsi="Times New Roman"/>
                <w:sz w:val="18"/>
                <w:szCs w:val="18"/>
                <w:color w:val="auto"/>
              </w:rPr>
              <w:t>$3,781</w:t>
            </w:r>
          </w:p>
        </w:tc>
        <w:tc>
          <w:tcPr>
            <w:tcW w:w="32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54"/>
        </w:trPr>
        <w:tc>
          <w:tcPr>
            <w:tcW w:w="46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-890905</wp:posOffset>
            </wp:positionV>
            <wp:extent cx="2228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-890905</wp:posOffset>
            </wp:positionV>
            <wp:extent cx="2228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-890905</wp:posOffset>
            </wp:positionV>
            <wp:extent cx="111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-222250</wp:posOffset>
            </wp:positionV>
            <wp:extent cx="2228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-222250</wp:posOffset>
            </wp:positionV>
            <wp:extent cx="2228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-222250</wp:posOffset>
            </wp:positionV>
            <wp:extent cx="120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68" w:lineRule="exact"/>
        <w:rPr>
          <w:sz w:val="20"/>
          <w:szCs w:val="20"/>
          <w:color w:val="auto"/>
        </w:rPr>
      </w:pPr>
    </w:p>
    <w:p>
      <w:pPr>
        <w:jc w:val="both"/>
        <w:ind w:left="560" w:right="299" w:hanging="268"/>
        <w:spacing w:after="0" w:line="209" w:lineRule="auto"/>
        <w:tabs>
          <w:tab w:leader="none" w:pos="560"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-523875</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Current definition:</w:t>
      </w:r>
    </w:p>
    <w:p>
      <w:pPr>
        <w:spacing w:after="0" w:line="194"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50800</wp:posOffset>
            </wp:positionV>
            <wp:extent cx="13887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50800</wp:posOffset>
            </wp:positionV>
            <wp:extent cx="2228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50800</wp:posOffset>
            </wp:positionV>
            <wp:extent cx="2228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Prior definition¹:</w:t>
      </w:r>
    </w:p>
    <w:p>
      <w:pPr>
        <w:spacing w:after="0" w:line="180"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50800</wp:posOffset>
            </wp:positionV>
            <wp:extent cx="13887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50800</wp:posOffset>
            </wp:positionV>
            <wp:extent cx="2228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50800</wp:posOffset>
            </wp:positionV>
            <wp:extent cx="2228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50800</wp:posOffset>
            </wp:positionV>
            <wp:extent cx="1111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88" w:lineRule="exact"/>
        <w:rPr>
          <w:sz w:val="20"/>
          <w:szCs w:val="20"/>
          <w:color w:val="auto"/>
        </w:rPr>
      </w:pPr>
    </w:p>
    <w:p>
      <w:pPr>
        <w:jc w:val="both"/>
        <w:ind w:left="560" w:right="299" w:hanging="268"/>
        <w:spacing w:after="0" w:line="206" w:lineRule="auto"/>
        <w:tabs>
          <w:tab w:leader="none" w:pos="56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-428625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Monthly Active Users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as we increase MAUs, we increase the value of our bundled SaaS solutions to business customers.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Current definition:</w:t>
      </w:r>
    </w:p>
    <w:p>
      <w:pPr>
        <w:spacing w:after="0" w:line="194"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50800</wp:posOffset>
            </wp:positionV>
            <wp:extent cx="8318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50800</wp:posOffset>
            </wp:positionV>
            <wp:extent cx="1200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50800</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Prior definition¹:</w:t>
      </w:r>
    </w:p>
    <w:p>
      <w:pPr>
        <w:spacing w:after="0" w:line="194" w:lineRule="exact"/>
        <w:rPr>
          <w:sz w:val="20"/>
          <w:szCs w:val="20"/>
          <w:color w:val="auto"/>
        </w:rPr>
      </w:pPr>
    </w:p>
    <w:p>
      <w:pPr>
        <w:jc w:val="center"/>
        <w:ind w:left="71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50800</wp:posOffset>
            </wp:positionV>
            <wp:extent cx="8318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50800</wp:posOffset>
            </wp:positionV>
            <wp:extent cx="12001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50800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14,904   10,000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74" w:lineRule="exact"/>
        <w:rPr>
          <w:sz w:val="20"/>
          <w:szCs w:val="20"/>
          <w:color w:val="auto"/>
        </w:rPr>
      </w:pPr>
    </w:p>
    <w:p>
      <w:pPr>
        <w:jc w:val="both"/>
        <w:ind w:left="640" w:right="319" w:hanging="348"/>
        <w:spacing w:after="0" w:line="202" w:lineRule="auto"/>
        <w:tabs>
          <w:tab w:leader="none" w:pos="64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-335280</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Quarterly Key Operating Metrics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Current definition:</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50"/>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6"/>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0"/>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$3,789</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$3,825</w:t>
            </w:r>
          </w:p>
        </w:tc>
      </w:tr>
      <w:tr>
        <w:trPr>
          <w:trHeight w:val="25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4,766</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3,863</w:t>
            </w:r>
          </w:p>
        </w:tc>
      </w:tr>
      <w:tr>
        <w:trPr>
          <w:trHeight w:val="486"/>
        </w:trPr>
        <w:tc>
          <w:tcPr>
            <w:tcW w:w="6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Prior definition: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5"/>
        </w:trPr>
        <w:tc>
          <w:tcPr>
            <w:tcW w:w="6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50"/>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0"/>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$3,781</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$3,609</w:t>
            </w:r>
          </w:p>
        </w:tc>
      </w:tr>
      <w:tr>
        <w:trPr>
          <w:trHeight w:val="25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Paying clients</w:t>
            </w: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4,870</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-1508125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-1508125</wp:posOffset>
            </wp:positionV>
            <wp:extent cx="342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-376555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-376555</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2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720" w:type="dxa"/>
            <w:vAlign w:val="bottom"/>
            <w:gridSpan w:val="9"/>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4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$144,232</w:t>
            </w:r>
          </w:p>
        </w:tc>
        <w:tc>
          <w:tcPr>
            <w:tcW w:w="130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97,447</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120,593</w:t>
            </w:r>
          </w:p>
        </w:tc>
        <w:tc>
          <w:tcPr>
            <w:tcW w:w="16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32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3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(loss) income</w:t>
            </w:r>
          </w:p>
        </w:tc>
        <w:tc>
          <w:tcPr>
            <w:tcW w:w="35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(8,178)</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41,198</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300" w:type="dxa"/>
            <w:vAlign w:val="bottom"/>
          </w:tcPr>
          <w:p>
            <w:pPr>
              <w:spacing w:after="0"/>
              <w:rPr>
                <w:sz w:val="24"/>
                <w:szCs w:val="24"/>
                <w:color w:val="auto"/>
              </w:rPr>
            </w:pPr>
          </w:p>
        </w:tc>
      </w:tr>
      <w:tr>
        <w:trPr>
          <w:trHeight w:val="486"/>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6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59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-2691130</wp:posOffset>
            </wp:positionV>
            <wp:extent cx="1028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-2691130</wp:posOffset>
            </wp:positionV>
            <wp:extent cx="1028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161"/>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0"/>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10"/>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060" w:type="dxa"/>
            <w:vAlign w:val="bottom"/>
            <w:gridSpan w:val="10"/>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(2,368)</w:t>
            </w:r>
          </w:p>
        </w:tc>
        <w:tc>
          <w:tcPr>
            <w:tcW w:w="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(5,341)</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$ 60,383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9"/>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38,830</w:t>
            </w:r>
          </w:p>
        </w:tc>
        <w:tc>
          <w:tcPr>
            <w:tcW w:w="280" w:type="dxa"/>
            <w:vAlign w:val="bottom"/>
          </w:tcPr>
          <w:p>
            <w:pPr>
              <w:spacing w:after="0"/>
              <w:rPr>
                <w:sz w:val="23"/>
                <w:szCs w:val="23"/>
                <w:color w:val="auto"/>
              </w:rPr>
            </w:pPr>
          </w:p>
        </w:tc>
        <w:tc>
          <w:tcPr>
            <w:tcW w:w="6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50"/>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5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(loss) income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2021, 2020 and 2019</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6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13"/>
          </w:tcPr>
          <w:p>
            <w:pPr>
              <w:ind w:lef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1"/>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2020 vs.</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6"/>
                <w:szCs w:val="16"/>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4"/>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$193,146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$144,232</w:t>
            </w:r>
          </w:p>
        </w:tc>
        <w:tc>
          <w:tcPr>
            <w:tcW w:w="100" w:type="dxa"/>
            <w:vAlign w:val="bottom"/>
            <w:shd w:val="clear" w:color="auto" w:fill="CCEEFF"/>
          </w:tcPr>
          <w:p>
            <w:pPr>
              <w:spacing w:after="0"/>
              <w:rPr>
                <w:sz w:val="24"/>
                <w:szCs w:val="24"/>
                <w:color w:val="auto"/>
              </w:rPr>
            </w:pPr>
          </w:p>
        </w:tc>
        <w:tc>
          <w:tcPr>
            <w:tcW w:w="6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$31,355</w:t>
            </w:r>
          </w:p>
        </w:tc>
        <w:tc>
          <w:tcPr>
            <w:tcW w:w="680" w:type="dxa"/>
            <w:vAlign w:val="bottom"/>
            <w:gridSpan w:val="8"/>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$17,559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-7791450</wp:posOffset>
            </wp:positionV>
            <wp:extent cx="1028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-7791450</wp:posOffset>
            </wp:positionV>
            <wp:extent cx="1028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-5451475</wp:posOffset>
            </wp:positionV>
            <wp:extent cx="2228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-5451475</wp:posOffset>
            </wp:positionV>
            <wp:extent cx="2228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-5451475</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-401955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-401955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-401955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-401955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-401955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Total revenues increased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569"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Total revenue increased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6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2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96"/>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Times New Roman" w:cs="Times New Roman" w:eastAsia="Times New Roman" w:hAnsi="Times New Roman"/>
                <w:sz w:val="18"/>
                <w:szCs w:val="18"/>
                <w:color w:val="auto"/>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96%</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Cost of revenue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$7.9 million for the year ended December 31, 2021 compared to $7.6 million for the same period in 2020. There were no material changes to the drivers of our cost of revenue.</w:t>
      </w:r>
    </w:p>
    <w:p>
      <w:pPr>
        <w:spacing w:after="0" w:line="6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Cost of revenue increased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0"/>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5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95"/>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w w:val="95"/>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Sales and marketing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Sales and marketing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by $9.0 million, or 23%, for the year ended December 31, 2020, compared to the same period in 2019.</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4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58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w w:val="96"/>
              </w:rPr>
              <w:t>2021 vs.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w w:val="95"/>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8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0"/>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95"/>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-574040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-574040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-574040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-574040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1"/>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72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6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3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92"/>
              </w:rPr>
              <w:t>$4,425</w:t>
            </w: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$3,978</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$5,162</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-574040</wp:posOffset>
            </wp:positionV>
            <wp:extent cx="1200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-574040</wp:posOffset>
            </wp:positionV>
            <wp:extent cx="1200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-574040</wp:posOffset>
            </wp:positionV>
            <wp:extent cx="1111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-574040</wp:posOffset>
            </wp:positionV>
            <wp:extent cx="10287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-574040</wp:posOffset>
            </wp:positionV>
            <wp:extent cx="1028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-574040</wp:posOffset>
            </wp:positionV>
            <wp:extent cx="1028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increased by $0.4 million, or 11%, for the year ended December 31, 2021, compared to the same period in 2020.</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700" w:type="dxa"/>
            <w:vAlign w:val="bottom"/>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w w:val="98"/>
              </w:rPr>
              <w:t>$Change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50"/>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980" w:type="dxa"/>
            <w:vAlign w:val="bottom"/>
          </w:tcPr>
          <w:p>
            <w:pPr>
              <w:spacing w:after="0"/>
              <w:rPr>
                <w:sz w:val="16"/>
                <w:szCs w:val="16"/>
                <w:color w:val="auto"/>
              </w:rPr>
            </w:pPr>
          </w:p>
        </w:tc>
        <w:tc>
          <w:tcPr>
            <w:tcW w:w="8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6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6"/>
                <w:szCs w:val="16"/>
                <w:color w:val="auto"/>
              </w:rPr>
            </w:pPr>
          </w:p>
        </w:tc>
        <w:tc>
          <w:tcPr>
            <w:tcW w:w="62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2021 vs.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 vs.</w:t>
            </w: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50"/>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7"/>
              </w:rPr>
              <w:t>$166,518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rPr>
              <w:t>$166,518</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(6,723)</w:t>
            </w:r>
          </w:p>
        </w:tc>
        <w:tc>
          <w:tcPr>
            <w:tcW w:w="9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(2,368)</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184%</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97"/>
              </w:rPr>
              <w:t>$159,795</w:t>
            </w:r>
          </w:p>
        </w:tc>
        <w:tc>
          <w:tcPr>
            <w:tcW w:w="9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$(2,368)</w:t>
            </w:r>
          </w:p>
        </w:tc>
        <w:tc>
          <w:tcPr>
            <w:tcW w:w="8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$(5,341)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Times New Roman" w:cs="Times New Roman" w:eastAsia="Times New Roman" w:hAnsi="Times New Roman"/>
                <w:sz w:val="18"/>
                <w:szCs w:val="18"/>
                <w:color w:val="auto"/>
              </w:rPr>
              <w:t>$162,163</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$2,973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(56)%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-985520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-985520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-985520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-985520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-985520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6"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2021 compared to year ended December 31, 2020. </w:t>
      </w:r>
      <w:r>
        <w:rPr>
          <w:rFonts w:ascii="Times New Roman" w:cs="Times New Roman" w:eastAsia="Times New Roman" w:hAnsi="Times New Roman"/>
          <w:sz w:val="18"/>
          <w:szCs w:val="18"/>
          <w:color w:val="auto"/>
        </w:rPr>
        <w:t>Other income, net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2020 compared to year ended December 31, 2019. </w:t>
      </w:r>
      <w:r>
        <w:rPr>
          <w:rFonts w:ascii="Times New Roman" w:cs="Times New Roman" w:eastAsia="Times New Roman" w:hAnsi="Times New Roman"/>
          <w:sz w:val="18"/>
          <w:szCs w:val="18"/>
          <w:color w:val="auto"/>
        </w:rPr>
        <w:t>Other expenses decreased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0"/>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7"/>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1"/>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7"/>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w:t>
            </w:r>
          </w:p>
        </w:tc>
      </w:tr>
      <w:tr>
        <w:trPr>
          <w:trHeight w:val="27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17,550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61,134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7"/>
        </w:trPr>
        <w:tc>
          <w:tcPr>
            <w:tcW w:w="4820" w:type="dxa"/>
            <w:vAlign w:val="bottom"/>
          </w:tcPr>
          <w:p>
            <w:pPr>
              <w:spacing w:after="0"/>
              <w:rPr>
                <w:sz w:val="19"/>
                <w:szCs w:val="19"/>
                <w:color w:val="auto"/>
              </w:rPr>
            </w:pPr>
          </w:p>
        </w:tc>
        <w:tc>
          <w:tcPr>
            <w:tcW w:w="1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9"/>
                <w:szCs w:val="19"/>
                <w:color w:val="auto"/>
              </w:rPr>
            </w:pPr>
          </w:p>
        </w:tc>
        <w:tc>
          <w:tcPr>
            <w:tcW w:w="7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7"/>
        </w:trPr>
        <w:tc>
          <w:tcPr>
            <w:tcW w:w="4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0"/>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$ 23,092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38,620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r>
      <w:tr>
        <w:trPr>
          <w:trHeight w:val="27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$(30,435)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54"/>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r>
      <w:tr>
        <w:trPr>
          <w:trHeight w:val="27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9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$ 55,201</w:t>
            </w:r>
          </w:p>
        </w:tc>
        <w:tc>
          <w:tcPr>
            <w:tcW w:w="9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$(22,358)</w:t>
            </w:r>
          </w:p>
        </w:tc>
        <w:tc>
          <w:tcPr>
            <w:tcW w:w="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$(21,969)</w:t>
            </w:r>
          </w:p>
        </w:tc>
      </w:tr>
      <w:tr>
        <w:trPr>
          <w:trHeight w:val="54"/>
        </w:trPr>
        <w:tc>
          <w:tcPr>
            <w:tcW w:w="48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-813435</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-813435</wp:posOffset>
            </wp:positionV>
            <wp:extent cx="857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2021 was $23.1 million, which resulted from net income of $152.2 million, together with a net cash outflows of $3.4 million from changes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2020 was $1.3 million for purchases of property and equipment.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2020 was $22.4 million, which resulted from $22.0 million distributions to members and $0.4 million paid for the repurchase of Class B Units.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81"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a Tax Receivable Agreement (“TRA”) with continuing members that provides for a payment to the continuing members of 85% of the amount of tax</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(together, the “Warrants”). All of the warrants remained outstanding as of December 31, 2021. The warrants are measured at fair value under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fair value of the Public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Warrants is classified as Level 1 financial instruments and is based on the publicly listed trading price of our Public Warrants. The fair value of the Private Placement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in this prospectus.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consolidated financial statements included in this prospectus.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8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completed the Business Combination on June 16, 2021. Prior to the Business Combination, we were a special purpose acquisition company formed for the purpose of effecting a merger, capital stock exchange, asset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200" w:lineRule="exact"/>
        <w:rPr>
          <w:sz w:val="20"/>
          <w:szCs w:val="20"/>
          <w:color w:val="auto"/>
        </w:rPr>
      </w:pPr>
    </w:p>
    <w:p>
      <w:pPr>
        <w:spacing w:after="0" w:line="362" w:lineRule="exact"/>
        <w:rPr>
          <w:sz w:val="20"/>
          <w:szCs w:val="20"/>
          <w:color w:val="auto"/>
        </w:rPr>
      </w:pPr>
    </w:p>
    <w:p>
      <w:pPr>
        <w:ind w:left="300" w:right="699"/>
        <w:spacing w:after="0" w:line="286" w:lineRule="auto"/>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 and Internal Controls over Financial Reporting</w:t>
      </w:r>
    </w:p>
    <w:p>
      <w:pPr>
        <w:spacing w:after="0" w:line="5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7"/>
          <w:szCs w:val="17"/>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768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2806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2" w:lineRule="exact"/>
        <w:rPr>
          <w:sz w:val="20"/>
          <w:szCs w:val="20"/>
          <w:color w:val="auto"/>
        </w:rPr>
      </w:pPr>
    </w:p>
    <w:p>
      <w:pPr>
        <w:jc w:val="both"/>
        <w:ind w:left="300" w:right="299" w:firstLine="360"/>
        <w:spacing w:after="0"/>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is expected to double between 2020 and 2025 (according to Arcview Market Research/BDS Analytics</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9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8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 (vi) analytics dashboards, (vii) a WM-owned point-of-sale system (where available) and (viii) access to our online</w:t>
      </w:r>
    </w:p>
    <w:p>
      <w:pPr>
        <w:spacing w:after="0" w:line="41" w:lineRule="exact"/>
        <w:rPr>
          <w:sz w:val="20"/>
          <w:szCs w:val="20"/>
          <w:color w:val="auto"/>
        </w:rPr>
      </w:pPr>
    </w:p>
    <w:p>
      <w:pPr>
        <w:ind w:left="460" w:hanging="168"/>
        <w:spacing w:after="0"/>
        <w:tabs>
          <w:tab w:leader="none" w:pos="460"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 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are less than 13% of the U.S. adult population today without a “typical” user profile.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innings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49" w:lineRule="exact"/>
        <w:rPr>
          <w:sz w:val="20"/>
          <w:szCs w:val="20"/>
          <w:color w:val="auto"/>
        </w:rPr>
      </w:pPr>
    </w:p>
    <w:p>
      <w:pPr>
        <w:ind w:left="1000" w:right="319" w:hanging="348"/>
        <w:spacing w:after="0" w:line="28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WM Business subscription offering. </w:t>
      </w:r>
      <w:r>
        <w:rPr>
          <w:rFonts w:ascii="Times New Roman" w:cs="Times New Roman" w:eastAsia="Times New Roman" w:hAnsi="Times New Roman"/>
          <w:sz w:val="18"/>
          <w:szCs w:val="18"/>
          <w:color w:val="auto"/>
        </w:rPr>
        <w:t>Our WM Business monthly subscription package consists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solutions, the availability of which depends on the client’s market:</w:t>
      </w:r>
    </w:p>
    <w:p>
      <w:pPr>
        <w:spacing w:after="0" w:line="8" w:lineRule="exact"/>
        <w:rPr>
          <w:rFonts w:ascii="Times New Roman" w:cs="Times New Roman" w:eastAsia="Times New Roman" w:hAnsi="Times New Roman"/>
          <w:sz w:val="18"/>
          <w:szCs w:val="18"/>
          <w:color w:val="auto"/>
        </w:rPr>
      </w:pPr>
    </w:p>
    <w:p>
      <w:pPr>
        <w:jc w:val="both"/>
        <w:ind w:left="1360" w:right="319" w:hanging="348"/>
        <w:spacing w:after="0"/>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WM Pages</w:t>
      </w:r>
      <w:r>
        <w:rPr>
          <w:rFonts w:ascii="Times New Roman" w:cs="Times New Roman" w:eastAsia="Times New Roman" w:hAnsi="Times New Roman"/>
          <w:sz w:val="18"/>
          <w:szCs w:val="18"/>
          <w:color w:val="auto"/>
        </w:rPr>
        <w:t>. Listing page with product menu, which allows clients to disclose their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hours of operation, contact information, discount policies, and other information that may be required under applicable state law.</w:t>
      </w:r>
    </w:p>
    <w:p>
      <w:pPr>
        <w:spacing w:after="0" w:line="48"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WM Orders. </w:t>
      </w:r>
      <w:r>
        <w:rPr>
          <w:rFonts w:ascii="Times New Roman" w:cs="Times New Roman" w:eastAsia="Times New Roman" w:hAnsi="Times New Roman"/>
          <w:sz w:val="18"/>
          <w:szCs w:val="18"/>
          <w:color w:val="auto"/>
        </w:rPr>
        <w:t>Transmission of requests for reservation of products for pick-up by consumers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to consumers, allowing retailers to confirm product availability (and to complete orders and process payments - both of which only occur outside the Weedmaps marketplace). Weedmaps serves only as 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60" w:lineRule="exact"/>
        <w:rPr>
          <w:rFonts w:ascii="Times New Roman" w:cs="Times New Roman" w:eastAsia="Times New Roman" w:hAnsi="Times New Roman"/>
          <w:sz w:val="22"/>
          <w:szCs w:val="22"/>
          <w:color w:val="auto"/>
          <w:vertAlign w:val="superscript"/>
        </w:rPr>
      </w:pPr>
    </w:p>
    <w:p>
      <w:pPr>
        <w:jc w:val="both"/>
        <w:ind w:left="1360" w:right="319" w:hanging="348"/>
        <w:spacing w:after="0" w:line="243"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WM Dispatch. </w:t>
      </w:r>
      <w:r>
        <w:rPr>
          <w:rFonts w:ascii="Times New Roman" w:cs="Times New Roman" w:eastAsia="Times New Roman" w:hAnsi="Times New Roman"/>
          <w:sz w:val="18"/>
          <w:szCs w:val="18"/>
          <w:color w:val="auto"/>
        </w:rPr>
        <w:t>Together with Cannveya (described below), WM Dispatch provides logistics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46" w:lineRule="exact"/>
        <w:rPr>
          <w:rFonts w:ascii="Times New Roman" w:cs="Times New Roman" w:eastAsia="Times New Roman" w:hAnsi="Times New Roman"/>
          <w:sz w:val="22"/>
          <w:szCs w:val="22"/>
          <w:color w:val="auto"/>
          <w:vertAlign w:val="superscript"/>
        </w:rPr>
      </w:pPr>
    </w:p>
    <w:p>
      <w:pPr>
        <w:ind w:left="1360" w:right="319" w:hanging="348"/>
        <w:spacing w:after="0" w:line="236"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WM Dashboard. </w:t>
      </w:r>
      <w:r>
        <w:rPr>
          <w:rFonts w:ascii="Times New Roman" w:cs="Times New Roman" w:eastAsia="Times New Roman" w:hAnsi="Times New Roman"/>
          <w:sz w:val="18"/>
          <w:szCs w:val="18"/>
          <w:color w:val="auto"/>
        </w:rPr>
        <w:t>Insights dashboard, which provides data and analytics on user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traffic trends to a client’s listing page.</w:t>
      </w:r>
    </w:p>
    <w:p>
      <w:pPr>
        <w:spacing w:after="0" w:line="47"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WM Store. </w:t>
      </w:r>
      <w:r>
        <w:rPr>
          <w:rFonts w:ascii="Times New Roman" w:cs="Times New Roman" w:eastAsia="Times New Roman" w:hAnsi="Times New Roman"/>
          <w:sz w:val="18"/>
          <w:szCs w:val="18"/>
          <w:color w:val="auto"/>
        </w:rPr>
        <w:t>Orders and menu embed, which allows retailers and brands to import their Weedmaps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56" w:lineRule="exact"/>
        <w:rPr>
          <w:rFonts w:ascii="Times New Roman" w:cs="Times New Roman" w:eastAsia="Times New Roman" w:hAnsi="Times New Roman"/>
          <w:sz w:val="22"/>
          <w:szCs w:val="22"/>
          <w:color w:val="auto"/>
          <w:vertAlign w:val="superscript"/>
        </w:rPr>
      </w:pPr>
    </w:p>
    <w:p>
      <w:pPr>
        <w:jc w:val="both"/>
        <w:ind w:left="1360" w:right="319" w:hanging="348"/>
        <w:spacing w:after="0" w:line="243"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Integrations and APIs. </w:t>
      </w:r>
      <w:r>
        <w:rPr>
          <w:rFonts w:ascii="Times New Roman" w:cs="Times New Roman" w:eastAsia="Times New Roman" w:hAnsi="Times New Roman"/>
          <w:sz w:val="18"/>
          <w:szCs w:val="18"/>
          <w:color w:val="auto"/>
        </w:rPr>
        <w:t>A platform of integrations and API tools or bespoke solutioning to integrate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48" w:lineRule="exact"/>
        <w:rPr>
          <w:rFonts w:ascii="Times New Roman" w:cs="Times New Roman" w:eastAsia="Times New Roman" w:hAnsi="Times New Roman"/>
          <w:sz w:val="22"/>
          <w:szCs w:val="22"/>
          <w:color w:val="auto"/>
          <w:vertAlign w:val="superscript"/>
        </w:rPr>
      </w:pPr>
    </w:p>
    <w:p>
      <w:pPr>
        <w:jc w:val="both"/>
        <w:ind w:left="1360" w:right="319" w:hanging="348"/>
        <w:spacing w:after="0" w:line="247" w:lineRule="auto"/>
        <w:tabs>
          <w:tab w:leader="none" w:pos="1360" w:val="left"/>
        </w:tabs>
        <w:numPr>
          <w:ilvl w:val="1"/>
          <w:numId w:val="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42" w:lineRule="exact"/>
        <w:rPr>
          <w:rFonts w:ascii="Times New Roman" w:cs="Times New Roman" w:eastAsia="Times New Roman" w:hAnsi="Times New Roman"/>
          <w:sz w:val="22"/>
          <w:szCs w:val="22"/>
          <w:color w:val="auto"/>
          <w:vertAlign w:val="superscript"/>
        </w:rPr>
      </w:pPr>
    </w:p>
    <w:p>
      <w:pPr>
        <w:ind w:left="1000" w:right="319" w:hanging="348"/>
        <w:spacing w:after="0" w:line="28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offerings for subscription clients. </w:t>
      </w:r>
      <w:r>
        <w:rPr>
          <w:rFonts w:ascii="Times New Roman" w:cs="Times New Roman" w:eastAsia="Times New Roman" w:hAnsi="Times New Roman"/>
          <w:sz w:val="18"/>
          <w:szCs w:val="18"/>
          <w:color w:val="auto"/>
        </w:rPr>
        <w:t>We offer several add-on and upsell solutions only to paying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subscription clients, including:</w:t>
      </w:r>
    </w:p>
    <w:p>
      <w:pPr>
        <w:sectPr>
          <w:pgSz w:w="11900" w:h="16838" w:orient="portrait"/>
          <w:cols w:equalWidth="0" w:num="1">
            <w:col w:w="9019"/>
          </w:cols>
          <w:pgMar w:left="1440" w:top="263" w:right="1440" w:bottom="1440" w:gutter="0" w:footer="0" w:header="0"/>
        </w:sectPr>
      </w:pPr>
    </w:p>
    <w:p>
      <w:pPr>
        <w:spacing w:after="0" w:line="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Featured listings on our weedmaps.com marketplace; and</w:t>
      </w:r>
    </w:p>
    <w:p>
      <w:pPr>
        <w:spacing w:after="0" w:line="77"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Promoted deals, which allows retailers to showcase discounts (as is required by applicable law in some jurisdictions) and promotions on products to assist price-conscious consumers.</w:t>
      </w:r>
    </w:p>
    <w:p>
      <w:pPr>
        <w:spacing w:after="0" w:line="162"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3" w:right="1440" w:bottom="1440" w:gutter="0" w:footer="0" w:header="0"/>
          <w:type w:val="continuous"/>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000" w:hanging="348"/>
        <w:spacing w:after="0"/>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Additional a la carte products.</w:t>
      </w:r>
    </w:p>
    <w:p>
      <w:pPr>
        <w:sectPr>
          <w:pgSz w:w="11900" w:h="16838" w:orient="portrait"/>
          <w:cols w:equalWidth="0" w:num="1">
            <w:col w:w="9019"/>
          </w:cols>
          <w:pgMar w:left="1440" w:top="263" w:right="1440" w:bottom="1440" w:gutter="0" w:footer="0" w:header="0"/>
        </w:sectPr>
      </w:pPr>
    </w:p>
    <w:p>
      <w:pPr>
        <w:spacing w:after="0" w:line="1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Advertising solutions. </w:t>
      </w:r>
      <w:r>
        <w:rPr>
          <w:rFonts w:ascii="Times New Roman" w:cs="Times New Roman" w:eastAsia="Times New Roman" w:hAnsi="Times New Roman"/>
          <w:sz w:val="18"/>
          <w:szCs w:val="18"/>
          <w:color w:val="auto"/>
        </w:rPr>
        <w:t>We also provide several a la carte advertising solutions including banner 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74" w:lineRule="exact"/>
        <w:rPr>
          <w:sz w:val="20"/>
          <w:szCs w:val="20"/>
          <w:color w:val="auto"/>
        </w:rPr>
      </w:pPr>
    </w:p>
    <w:p>
      <w:pPr>
        <w:jc w:val="both"/>
        <w:ind w:right="31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Sprout. </w:t>
      </w:r>
      <w:r>
        <w:rPr>
          <w:rFonts w:ascii="Times New Roman" w:cs="Times New Roman" w:eastAsia="Times New Roman" w:hAnsi="Times New Roman"/>
          <w:sz w:val="18"/>
          <w:szCs w:val="18"/>
          <w:color w:val="auto"/>
        </w:rPr>
        <w:t>In September 2021, we acquired certain assets of the Sprout business (“Sprout”). Sprout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cloud-based customer relationship management (“CRM”) and marketing platform with the ability to run text messaging, email, and loyalty campaigns to retarget and reengage cannabis consumers.</w:t>
      </w:r>
    </w:p>
    <w:p>
      <w:pPr>
        <w:spacing w:after="0" w:line="6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360" w:right="319" w:hanging="348"/>
        <w:spacing w:after="0" w:line="245" w:lineRule="auto"/>
        <w:tabs>
          <w:tab w:leader="none" w:pos="1360" w:val="left"/>
        </w:tabs>
        <w:numPr>
          <w:ilvl w:val="0"/>
          <w:numId w:val="3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 xml:space="preserve">Cannveya. </w:t>
      </w:r>
      <w:r>
        <w:rPr>
          <w:rFonts w:ascii="Times New Roman" w:cs="Times New Roman" w:eastAsia="Times New Roman" w:hAnsi="Times New Roman"/>
          <w:sz w:val="18"/>
          <w:szCs w:val="18"/>
          <w:color w:val="auto"/>
        </w:rPr>
        <w:t>In September 2021, we acquired Transport Logistics Holding Company, LLC,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We estimate that approximately 55%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Only Fully-Integrated Business-in-a-Box SaaS Solution Specific to the Cannabis Industry. </w:t>
      </w:r>
      <w:r>
        <w:rPr>
          <w:rFonts w:ascii="Times New Roman" w:cs="Times New Roman" w:eastAsia="Times New Roman" w:hAnsi="Times New Roman"/>
          <w:sz w:val="18"/>
          <w:szCs w:val="18"/>
          <w:color w:val="auto"/>
        </w:rPr>
        <w:t>Our WM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Given our established presence, scale, and the breadth of product offerings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7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Capital-Efficient Business Model with Strong Cashflow Generation. </w:t>
      </w:r>
      <w:r>
        <w:rPr>
          <w:rFonts w:ascii="Times New Roman" w:cs="Times New Roman" w:eastAsia="Times New Roman" w:hAnsi="Times New Roman"/>
          <w:sz w:val="18"/>
          <w:szCs w:val="18"/>
          <w:color w:val="auto"/>
        </w:rPr>
        <w:t>We operate a cloud-based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 over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WM Business SaaS solution and grow Gross Merchandise Value (“GMV”). </w:t>
      </w:r>
      <w:r>
        <w:rPr>
          <w:rFonts w:ascii="Times New Roman" w:cs="Times New Roman" w:eastAsia="Times New Roman" w:hAnsi="Times New Roman"/>
          <w:sz w:val="18"/>
          <w:szCs w:val="18"/>
          <w:color w:val="auto"/>
        </w:rPr>
        <w:t>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preferring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t>
      </w:r>
      <w:r>
        <w:rPr>
          <w:rFonts w:ascii="Times New Roman" w:cs="Times New Roman" w:eastAsia="Times New Roman" w:hAnsi="Times New Roman"/>
          <w:sz w:val="18"/>
          <w:szCs w:val="18"/>
          <w:i w:val="1"/>
          <w:iCs w:val="1"/>
          <w:color w:val="auto"/>
        </w:rPr>
        <w:t>We currently face intense competition in the market, and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 competition to further intensify as the cannabis industry continues to evolve</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consumer marketing efforts focus on driving awareness of the platform, acquiring new users who may be interested in the platform and increasing engagement of existing users. To augment the engagement of our platform,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3" w:lineRule="exact"/>
        <w:rPr>
          <w:sz w:val="20"/>
          <w:szCs w:val="20"/>
          <w:color w:val="auto"/>
        </w:rPr>
      </w:pPr>
    </w:p>
    <w:p>
      <w:pPr>
        <w:jc w:val="both"/>
        <w:ind w:left="300" w:right="299" w:hanging="8"/>
        <w:spacing w:after="0" w:line="255" w:lineRule="auto"/>
        <w:tabs>
          <w:tab w:leader="none" w:pos="4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84"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(as of December 31, 2021) of our directors and executive officers: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1"/>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Dean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Arden Lee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24"/>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and 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-3274060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-3274060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Beals. </w:t>
      </w:r>
      <w:r>
        <w:rPr>
          <w:rFonts w:ascii="Times New Roman" w:cs="Times New Roman" w:eastAsia="Times New Roman" w:hAnsi="Times New Roman"/>
          <w:sz w:val="18"/>
          <w:szCs w:val="18"/>
          <w:color w:val="auto"/>
        </w:rPr>
        <w:t>Mr. Beals has served as our Chief Executive Officer and as a member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Brian Camire. </w:t>
      </w:r>
      <w:r>
        <w:rPr>
          <w:rFonts w:ascii="Times New Roman" w:cs="Times New Roman" w:eastAsia="Times New Roman" w:hAnsi="Times New Roman"/>
          <w:sz w:val="18"/>
          <w:szCs w:val="18"/>
          <w:color w:val="auto"/>
        </w:rPr>
        <w:t>Mr. Camire has served as our General Counsel and Secretary since June 2021. Mr. Camire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Justin Dean. </w:t>
      </w:r>
      <w:r>
        <w:rPr>
          <w:rFonts w:ascii="Times New Roman" w:cs="Times New Roman" w:eastAsia="Times New Roman" w:hAnsi="Times New Roman"/>
          <w:sz w:val="18"/>
          <w:szCs w:val="18"/>
          <w:color w:val="auto"/>
        </w:rPr>
        <w:t>Mr. Dean has served as our Chief Technology Officer and Chief Information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Juanjo Feijoo. </w:t>
      </w:r>
      <w:r>
        <w:rPr>
          <w:rFonts w:ascii="Times New Roman" w:cs="Times New Roman" w:eastAsia="Times New Roman" w:hAnsi="Times New Roman"/>
          <w:sz w:val="18"/>
          <w:szCs w:val="18"/>
          <w:color w:val="auto"/>
        </w:rPr>
        <w:t>Mr. Feijoo has served as our Chief Operating Officer since July 2021 and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Officer from June 2021 to July 2021. Mr. Feijoo served as Legacy WMH’s Chief Marketing Officer from May 2019 to June 2021. Previously, Mr. Feijoo served as Senior Director of Customer Engagement for Creative Cloud at Adobe,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publicly-held global technology company, from 2017 to 2019. Prior to that, from 2015 to 2017, Mr. Feijoo served 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73"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Arden Lee. </w:t>
      </w:r>
      <w:r>
        <w:rPr>
          <w:rFonts w:ascii="Times New Roman" w:cs="Times New Roman" w:eastAsia="Times New Roman" w:hAnsi="Times New Roman"/>
          <w:sz w:val="18"/>
          <w:szCs w:val="18"/>
          <w:color w:val="auto"/>
        </w:rPr>
        <w:t>Mr. Lee served as our Chief Financial Officer since June 2021. Mr. Lee served as Legacy WMH’s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has served as a member of our board of directors since June 2021. In June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Mr. Aquila is qualified to serve on our board of directors based on his business experience as a founder, inventor, chief executive officer and director of publicly-listed companies and his investing experience.</w:t>
      </w:r>
    </w:p>
    <w:p>
      <w:pPr>
        <w:spacing w:after="0" w:line="5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has served as a member of our board of directors since March 2022. Since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Mr. Bay has served as the Founder and Chief Executive Officer of Techquity, a technology advisory firm helping innovative companies leverage software and cloud operations to scale faster with less risk. In addition, from 2013 to 2016, he served as Chief Executive Officer of Rdio, a leading global music subscription streaming service in 85 countries, dramatically expanding its customer base from 15 million to 40 million before it was sold to Pandora. In November 2015, Rdio filed for Chapter 11 bankruptcy relief as a condition of its sale to Pandora. Prior to that, Mr. Bay served as a Vice President for Amazon, as Global head for Digital Video, and in various leadership roles at Microsoft and Apple. Mr. Bay holds an MBA from San Jose State University and undergraduate degree in Economics from the University of California, Los Angeles.</w:t>
      </w:r>
    </w:p>
    <w:p>
      <w:pPr>
        <w:spacing w:after="0" w:line="8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Mr. Bay was selected to serve on the Board based on his business experience as a founder, chief executive officer and various leadership positions of technology companies, and as a director of private and publicly-listed companies.</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has served as a member of our board of directors since June 2021. Mr. Francis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7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Mr. Francis is qualified to serve on our board of directors based on his perspective, experience and institutional knowledge as our co-founder and his long tenure as Legacy WMH's President and Chief Executive Officer.</w:t>
      </w:r>
    </w:p>
    <w:p>
      <w:pPr>
        <w:spacing w:after="0" w:line="5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has served as a member of our board of directors since June 2021.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Ms. Freeman is qualified to serve on our board of directors based on her business experience and technology industry expertise.</w:t>
      </w:r>
    </w:p>
    <w:p>
      <w:pPr>
        <w:spacing w:after="0" w:line="5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has served as a member of our board of directors since June 2021.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86"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Ms. Gonzalez is qualified to serve on our board of directors based on her business experience and financial expertise.</w:t>
      </w:r>
    </w:p>
    <w:p>
      <w:pPr>
        <w:spacing w:after="0" w:line="5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Scott Gordon. </w:t>
      </w:r>
      <w:r>
        <w:rPr>
          <w:rFonts w:ascii="Times New Roman" w:cs="Times New Roman" w:eastAsia="Times New Roman" w:hAnsi="Times New Roman"/>
          <w:sz w:val="18"/>
          <w:szCs w:val="18"/>
          <w:color w:val="auto"/>
        </w:rPr>
        <w:t>Mr. Gordon has served as a member of our board of directors since June 2021. Mr. Gordon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Mr. Gordon is qualified to serve on our board of directors based on his experience in emerging markets and in the cannabis sector.</w:t>
      </w:r>
    </w:p>
    <w:p>
      <w:pPr>
        <w:spacing w:after="0" w:line="5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Justin Hartfield</w:t>
      </w:r>
      <w:r>
        <w:rPr>
          <w:rFonts w:ascii="Times New Roman" w:cs="Times New Roman" w:eastAsia="Times New Roman" w:hAnsi="Times New Roman"/>
          <w:sz w:val="18"/>
          <w:szCs w:val="18"/>
          <w:color w:val="auto"/>
        </w:rPr>
        <w:t>. Mr. Hartfield has served as a member of our board of directors since June 2021. Mr. Hartfield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7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Hartfield is qualified to serve on our board of directors based on his perspective, experience and institutional knowledge as our co-founder and his long tenure as Legacy WMH's President and Chief Executive Officer.</w:t>
      </w:r>
    </w:p>
    <w:p>
      <w:pPr>
        <w:spacing w:after="0" w:line="6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Fiona Tan</w:t>
      </w:r>
      <w:r>
        <w:rPr>
          <w:rFonts w:ascii="Times New Roman" w:cs="Times New Roman" w:eastAsia="Times New Roman" w:hAnsi="Times New Roman"/>
          <w:sz w:val="18"/>
          <w:szCs w:val="18"/>
          <w:color w:val="auto"/>
        </w:rPr>
        <w:t>. Ms. Tan has served as a member of our board of directors since June 2021. Since September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Ms. Tan is qualified to serve on our board of directors based on her business experience and technology industry expertise.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Messrs. Beals and Bay and Ms. Tan, whose terms will expire at our first annual meeting of stockholders to be held after the Business Combination;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Mr. Aquila, Mses. Gonzalez and Freeman, whose terms will expire at our second annual meeting of stockholders to be held after the Business Combination;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Messrs. Francis, Gordon, and Hartfield, whose terms will expire at our third annual meeting of stockholders to be held after the Business Combination.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board of directors determined that each of the directors on our board of directors other than Messrs. Beals, Hartfield and Mr. Francis are independent directors, as defined under the listing rules of The Nasdaq Stock Market 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Mr. Bay has served as Chairman of our board of directors since March 2022. Our board of directors also believes, however, that Mr. Bay's independence is an essential complement to his familiarity with the Company and management representation on our board of directors, helping to foster an environment that is conducive to objective evaluation and oversight of management's performance.</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Mr. Bay has the authority, among other things, to call and preside over our board of directors meetings and set meeting agendas, as well as to preside over and establish agendas for executive sessions of the independent directors, giving him substantial authority to shape the work of our board of directors. Our board of directors believes that his independence, coupled with his substantial business expertise and experience in public company management, enhances the effectiveness of our board of directors as a whole and makes him chairman in the best interests of us, our board of directors and our stockholders.</w:t>
      </w:r>
    </w:p>
    <w:p>
      <w:pPr>
        <w:spacing w:after="0" w:line="1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audit committee consists of Mses. Gonzalez, Freeman and Messrs. Bay and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77" w:lineRule="exact"/>
        <w:rPr>
          <w:sz w:val="20"/>
          <w:szCs w:val="20"/>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2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9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 and any exchanges of Units pursuant to the exchange agreement that are proposed to be settled in cash;</w:t>
      </w:r>
    </w:p>
    <w:p>
      <w:pPr>
        <w:spacing w:after="0" w:line="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Messrs. Aquila, Bay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the committee include, among other things:</w:t>
      </w:r>
    </w:p>
    <w:p>
      <w:pPr>
        <w:spacing w:after="0" w:line="77"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76"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77" w:lineRule="exact"/>
        <w:rPr>
          <w:sz w:val="20"/>
          <w:szCs w:val="20"/>
          <w:color w:val="auto"/>
        </w:rPr>
      </w:pPr>
    </w:p>
    <w:p>
      <w:pPr>
        <w:ind w:left="1000" w:right="29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our board of directors and its committees;</w:t>
      </w:r>
    </w:p>
    <w:p>
      <w:pPr>
        <w:spacing w:after="0" w:line="1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our board of directors and make recommendations regarding committee and chair assignments;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of directors membership and conduct searches for potential members of our board of directors;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believe these provisions in our charter are necessary to attract and retain qualified persons as our directors and officers.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named executive officers, including our principal executive officer and the next two most highly compensated executive officers, as of December 31, 2021, were:</w:t>
      </w:r>
    </w:p>
    <w:p>
      <w:pPr>
        <w:spacing w:after="0" w:line="54"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Beals,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Arden Lee, Chief Financial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Juanjo Feijoo, Chief Operating Officer.</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or paid to our named executive officers with respect to December 31, 2021.</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20" w:type="dxa"/>
            <w:vAlign w:val="bottom"/>
            <w:gridSpan w:val="2"/>
            <w:vMerge w:val="continue"/>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gridSpan w:val="2"/>
            <w:vMerge w:val="continue"/>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21"/>
                <w:szCs w:val="21"/>
                <w:color w:val="auto"/>
              </w:rPr>
            </w:pPr>
          </w:p>
        </w:tc>
        <w:tc>
          <w:tcPr>
            <w:tcW w:w="600" w:type="dxa"/>
            <w:vAlign w:val="bottom"/>
          </w:tcPr>
          <w:p>
            <w:pPr>
              <w:jc w:val="right"/>
              <w:ind w:right="56"/>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1"/>
                <w:szCs w:val="21"/>
                <w:color w:val="auto"/>
              </w:rPr>
            </w:pPr>
          </w:p>
        </w:tc>
        <w:tc>
          <w:tcPr>
            <w:tcW w:w="84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100" w:type="dxa"/>
            <w:vAlign w:val="bottom"/>
          </w:tcPr>
          <w:p>
            <w:pPr>
              <w:spacing w:after="0"/>
              <w:rPr>
                <w:sz w:val="21"/>
                <w:szCs w:val="21"/>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1"/>
                <w:szCs w:val="21"/>
                <w:color w:val="auto"/>
              </w:rPr>
            </w:pP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7"/>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10,614,467</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600,000</w:t>
            </w:r>
          </w:p>
        </w:tc>
        <w:tc>
          <w:tcPr>
            <w:tcW w:w="100" w:type="dxa"/>
            <w:vAlign w:val="bottom"/>
          </w:tcPr>
          <w:p>
            <w:pPr>
              <w:spacing w:after="0"/>
              <w:rPr>
                <w:sz w:val="23"/>
                <w:szCs w:val="2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Arden Lee</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500,000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667,081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13,716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9,180,797</w:t>
            </w: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Juanjo Feijoo</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6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436,923</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252,478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6,702,158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-1216660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-1216660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-1216660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-1216660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-1216660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-1216660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-1216660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29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bonuses, and in the case of Mr. Lee, a one-time discretionary cash bonus of $450,000 in connection with the completion of the Business Combination.</w:t>
      </w:r>
    </w:p>
    <w:p>
      <w:pPr>
        <w:jc w:val="both"/>
        <w:ind w:left="640" w:right="299" w:hanging="348"/>
        <w:spacing w:after="0" w:line="226"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restricted stock unit (“RSU”) awards and for the performance-vesting restricted stock unit (“PRSU”) awards at the target number of PRSUs granted in 2021, in accordance with ASC 718. The grant date fair value of each RSU award was measured based on the closing price of our shares of our Class A Common Stock on the date prior to the date of grant. Because the PRSU awards are subject to specified company performance metrics, the grant date fair value reported was based upon the probable outcome of such conditions. For information regarding assumptions underlying the value of equity awards, see Note 12 to our financial statements included elsewhere in this prospectus. The actual vesting of the PRSU awards will be between 0% and 200% of the target number of PRSU awards granted. These amounts do not necessarily correspond to the actual value recognized or that may be recognized by our named executive officers. The value of the PRSU awards on the date of grant assuming the highest level of performance conditions will be achieved is $10,000,000 for Mr. Beals, $8,000,000 for Mr. Lee, and $6,000,000 for Mr. Feijoo, which is based on maximum vesting of the PRSU awards multiplied by the closing price of our Class A Common Stock on the the date prior to grant date. For additional information regarding the specific terms of the PRSU awards granted to our named executive officers in 2021, see “Outstanding Equity Awards at December 31, 2021” below.</w:t>
      </w:r>
    </w:p>
    <w:p>
      <w:pPr>
        <w:spacing w:after="0" w:line="16"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includes (i) group term life insurance premiums in excess of the broad-based benefit level of $540, $810 and $486 and (ii) matching contributions under our 401(k) plan of $9,312, $11,883 and $12,248 for Messrs. Beals, Lee and Feijoo, respectively.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2021, the compensation programs for our named executive officers consisted of base salary and incentive compensation delivered in the form of Plan units.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Base salary is set at a level that is intended to reflect the executive’s duties, authorities, contributions, prior experience and performance.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Bonus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2021, Mr. Lee and Mr. Feijoo were each eligible for annual discretionary cash bonus awards of up to 50% and 70%, respectively, of their annual salary subject to the attainment of performance goals set by our board of directors and our compensation committee. In addition, Mr. Lee received a one-time discretionary cash bonus of $450,000 in connection with the completion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all of the equity awards Legacy WMH has granted were made pursuant to the 2018 Plan. The terms of our equity plans are described under the section titled “—Employee Benefit Plans” below.</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we awarded our named executive officers RSUs and PRSUs under our 2021 Plan.</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number of RSUs granted to each of our named executive officers was 781,250, 625,000 and 468,750 for Mr. Beals, Mr. Lee and Mr. Feijoo, respectively. The RSUs vest in equal quarterly installments over three years following the vesting commencement date, and vesting terminates upon the named executive officer’s termination of continuous service with us.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target number of PRSUs granted to each of our named executive officers was 781,250, 625,000 and 468,750 for Mr. Beals, Mr. Lee and Mr. Feijoo, respectively. The PRSUs vest only if we achieve specified performance goals during the performance period beginning on January 1, 2022 and ending on December 31, 2023. The actual number of PRSUs that vest will be determined based upon the following calculation: (i) the sum of (A) the Revenue CAGR Percentage (as defined in the PRSU award agreement) multiplied by 0.75, plus (B) the Adjusted EBITDA Margin Percentage (as defined in the PRSU award agreement) multiplied by 0.25, then multiplied by</w:t>
      </w:r>
    </w:p>
    <w:p>
      <w:pPr>
        <w:spacing w:after="0" w:line="5" w:lineRule="exact"/>
        <w:rPr>
          <w:sz w:val="20"/>
          <w:szCs w:val="20"/>
          <w:color w:val="auto"/>
        </w:rPr>
      </w:pPr>
    </w:p>
    <w:p>
      <w:pPr>
        <w:ind w:left="300" w:right="299" w:hanging="8"/>
        <w:spacing w:after="0" w:line="260" w:lineRule="auto"/>
        <w:tabs>
          <w:tab w:leader="none" w:pos="5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 Number of PRSUs granted to the named executive officer, with the resulting number of PRSUs rounded down to the nearest whole unit.</w:t>
      </w:r>
    </w:p>
    <w:p>
      <w:pPr>
        <w:spacing w:after="0" w:line="73"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number of PRSUs that vest will be determined by our compensation committee within 90 days following the end of the performance period, which is referred to as the determination date. Each named executive officer must remain employed by us through the determination date for the PRSU award to vest.</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will result in a 50% Revenue CAGR Percentage, target achievement of the Revenue CAGR performance metric will result in a 100% Revenue CAGR Percentage, and maximum achievement of the Revenue CAGR performance metric will result in a 200% Revenue CAGR Percentage, with the Revenue CAGR Percentage interpolated linearly and rounded up the nearest percentage point between these level after threshold performance is attained.</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will result in a 50% Adjusted EBITDA Margin Percentage, target achievement of the Adjusted EBITDA Margin performance metric will result in a 100% Adjusted EBITDA Margin Percentage, and maximum achievement of the Adjusted EBITDA Margin performance metric will result in a 200% Adjusted EBITDA Margin Percentage, with the Adjusted EBITDA Margin Percentage interpolated linearly and rounded up the nearest percentage point between these level after threshold performance is attained.</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Benefits and Perquisites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1% of such participant’s eligible compensation plus 50% of each participant’s elective deferrals of the next 2% to 6% of such participant’s eligible compensation, up to a maximum matching contribution of 3.5% of eligible compensation.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 for employment on an at-will basis, and each of our named executive officers is eligible to receive the severance and change in control benefits described under the section titled “—Potential Payments and Benefits upon Termination or Change in Control” below.</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Christopher Beals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Beals previously entered into an offer letter with Ghost Management Group, LLC, dated July 31, 2015. Pursuant to the terms of the offer letter, Mr. Beals’s current annual base salary is $600,000. Mr. Beals also is eligible to participate in the employee benefit plans generally available to our employees and maintained by us.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Arden Lee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Mr. Lee previously entered into an offer letter with Ghost Management Group, LLC, dated February 5, 2019. Pursuant to the terms of the offer letter, Mr. Lee’s current annual base salary is $500,000. Mr. Dean also is eligible to participate in the employee benefit plans generally available to our employees and maintained by 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Juanjo Feijoo</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Mr. Feijoo previously entered into an offer letter with Ghost Management Group, LLC, dated April 30, 2019. Pursuant to the terms of the offer letter, Mr. Feijoo’s annual base salary was $400,000, which increased to $440,000 following his promotion to Chief Operating Officer. Mr. Feijoo also is eligible to participate in the employee benefit plans generally available to our employees and maintained by us.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and Benefits upon Termination or Change in Control</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December 2021, we adopted a Severance and Change in Control Plan (the “Severance Plan”). Each of our named executive officers is eligible to receive certain benefits under the terms of the Severance Plan.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our named executive officers is entitled to (i) a lump sum payment equal to a number of months of his base salary (18 months for Mr. Beals and 12 months for our other named executive officers), (ii) a lump sum payment equal to a percentage of the named executive officer’s annual target cash bonus (150% for Mr. Beals and 100% for our other named executive officers), (iii) full vesting acceleration of all outstanding equity awards (with any performance-based vesting awards deemed achieved at target level), and (iv) payment of group health insurance premiums for a number of months (18 months for Mr. Beals and 12 months for our other named executive officers). Upon a regular termination, each of our named executive officers is entitled to (i) continued payment of the named executive officer’s base salary for a number of months (12 months for Mr. Beals and nine months for our other named executive officers), (ii) a lump sum payment equal to a percentage of the named executive officer’s annual target cash bonus (100% for Mr. Beals and 75% for our other named executive officers), and (iii) payment of group health insurance premiums for a number of months (12 months for Mr. Beals and nine months for our other named executive officers). All benefits under the Severance Plan are subject to the named executive officer’s (or, in the case of the named executive officer’s death or disability, his personal representative’s) execution of an effective release of claims against us.</w:t>
      </w:r>
    </w:p>
    <w:p>
      <w:pPr>
        <w:spacing w:after="0" w:line="8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purposes of the Severance Plan, a “regular termination” is an involuntary termination, which is termination by us without “cause” (and not as a result of death or disability) or a resignation by the named executive officer for “good reason” (each, as defined in the Severance Plan), that does not occur during the period of time beginning three months before the closing of, and ending 12 months following the closing of, a “change in control” (as defined in our 2021 Plan), which we refer to as the “change in control period.” A “change in control termination” is an involuntary termination that occurs during the change in control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2021</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estimated information regarding outstanding equity awards held by our named executive officers as of December 31, 2021.</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90"/>
        </w:trPr>
        <w:tc>
          <w:tcPr>
            <w:tcW w:w="4640" w:type="dxa"/>
            <w:vAlign w:val="bottom"/>
            <w:gridSpan w:val="2"/>
            <w:vMerge w:val="continue"/>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43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8/15/2021</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31" w:lineRule="exact"/>
              <w:rPr>
                <w:sz w:val="20"/>
                <w:szCs w:val="20"/>
                <w:color w:val="auto"/>
              </w:rPr>
            </w:pPr>
            <w:r>
              <w:rPr>
                <w:rFonts w:ascii="Times New Roman" w:cs="Times New Roman" w:eastAsia="Times New Roman" w:hAnsi="Times New Roman"/>
                <w:sz w:val="18"/>
                <w:szCs w:val="18"/>
                <w:color w:val="auto"/>
              </w:rPr>
              <w:t>716,146</w:t>
            </w:r>
            <w:r>
              <w:rPr>
                <w:rFonts w:ascii="Times New Roman" w:cs="Times New Roman" w:eastAsia="Times New Roman" w:hAnsi="Times New Roman"/>
                <w:sz w:val="29"/>
                <w:szCs w:val="29"/>
                <w:color w:val="auto"/>
                <w:vertAlign w:val="superscript"/>
              </w:rPr>
              <w:t>(4)</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7"/>
              </w:rPr>
              <w:t>4,282,553</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center"/>
              <w:spacing w:after="0" w:line="324" w:lineRule="exact"/>
              <w:rPr>
                <w:sz w:val="20"/>
                <w:szCs w:val="20"/>
                <w:color w:val="auto"/>
              </w:rPr>
            </w:pPr>
            <w:r>
              <w:rPr>
                <w:rFonts w:ascii="Times New Roman" w:cs="Times New Roman" w:eastAsia="Times New Roman" w:hAnsi="Times New Roman"/>
                <w:sz w:val="18"/>
                <w:szCs w:val="18"/>
                <w:color w:val="auto"/>
                <w:w w:val="94"/>
              </w:rPr>
              <w:t>97,656</w:t>
            </w:r>
            <w:r>
              <w:rPr>
                <w:rFonts w:ascii="Times New Roman" w:cs="Times New Roman" w:eastAsia="Times New Roman" w:hAnsi="Times New Roman"/>
                <w:sz w:val="29"/>
                <w:szCs w:val="29"/>
                <w:color w:val="auto"/>
                <w:w w:val="94"/>
                <w:vertAlign w:val="superscript"/>
              </w:rPr>
              <w:t>(5)</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rPr>
              <w:t>583,983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Arden Lee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2/25/2019</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24" w:lineRule="exact"/>
              <w:rPr>
                <w:sz w:val="20"/>
                <w:szCs w:val="20"/>
                <w:color w:val="auto"/>
              </w:rPr>
            </w:pPr>
            <w:r>
              <w:rPr>
                <w:rFonts w:ascii="Times New Roman" w:cs="Times New Roman" w:eastAsia="Times New Roman" w:hAnsi="Times New Roman"/>
                <w:sz w:val="18"/>
                <w:szCs w:val="18"/>
                <w:color w:val="auto"/>
                <w:w w:val="88"/>
              </w:rPr>
              <w:t>361,534</w:t>
            </w:r>
            <w:r>
              <w:rPr>
                <w:rFonts w:ascii="Times New Roman" w:cs="Times New Roman" w:eastAsia="Times New Roman" w:hAnsi="Times New Roman"/>
                <w:sz w:val="29"/>
                <w:szCs w:val="29"/>
                <w:color w:val="auto"/>
                <w:w w:val="88"/>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8/15/2021</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Times New Roman" w:cs="Times New Roman" w:eastAsia="Times New Roman" w:hAnsi="Times New Roman"/>
                <w:sz w:val="18"/>
                <w:szCs w:val="18"/>
                <w:color w:val="auto"/>
              </w:rPr>
              <w:t>572,917</w:t>
            </w:r>
            <w:r>
              <w:rPr>
                <w:rFonts w:ascii="Times New Roman" w:cs="Times New Roman" w:eastAsia="Times New Roman" w:hAnsi="Times New Roman"/>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w w:val="97"/>
              </w:rPr>
              <w:t>3,426,044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line="324" w:lineRule="exact"/>
              <w:rPr>
                <w:sz w:val="20"/>
                <w:szCs w:val="20"/>
                <w:color w:val="auto"/>
              </w:rPr>
            </w:pPr>
            <w:r>
              <w:rPr>
                <w:rFonts w:ascii="Times New Roman" w:cs="Times New Roman" w:eastAsia="Times New Roman" w:hAnsi="Times New Roman"/>
                <w:sz w:val="18"/>
                <w:szCs w:val="18"/>
                <w:color w:val="auto"/>
                <w:w w:val="94"/>
              </w:rPr>
              <w:t>78,125</w:t>
            </w:r>
            <w:r>
              <w:rPr>
                <w:rFonts w:ascii="Times New Roman" w:cs="Times New Roman" w:eastAsia="Times New Roman" w:hAnsi="Times New Roman"/>
                <w:sz w:val="29"/>
                <w:szCs w:val="29"/>
                <w:color w:val="auto"/>
                <w:w w:val="94"/>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467,188</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Juanjo Feijoo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5/28/2019</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Times New Roman" w:cs="Times New Roman" w:eastAsia="Times New Roman" w:hAnsi="Times New Roman"/>
                <w:sz w:val="18"/>
                <w:szCs w:val="18"/>
                <w:color w:val="auto"/>
                <w:w w:val="88"/>
              </w:rPr>
              <w:t>185,931</w:t>
            </w:r>
            <w:r>
              <w:rPr>
                <w:rFonts w:ascii="Times New Roman" w:cs="Times New Roman" w:eastAsia="Times New Roman" w:hAnsi="Times New Roman"/>
                <w:sz w:val="29"/>
                <w:szCs w:val="29"/>
                <w:color w:val="auto"/>
                <w:w w:val="88"/>
                <w:vertAlign w:val="superscript"/>
              </w:rPr>
              <w:t>(1)(2)</w:t>
            </w:r>
          </w:p>
        </w:tc>
        <w:tc>
          <w:tcPr>
            <w:tcW w:w="360" w:type="dxa"/>
            <w:vAlign w:val="bottom"/>
          </w:tcPr>
          <w:p>
            <w:pPr>
              <w:spacing w:after="0"/>
              <w:rPr>
                <w:sz w:val="24"/>
                <w:szCs w:val="24"/>
                <w:color w:val="auto"/>
              </w:rPr>
            </w:pPr>
          </w:p>
        </w:tc>
        <w:tc>
          <w:tcPr>
            <w:tcW w:w="1080" w:type="dxa"/>
            <w:vAlign w:val="bottom"/>
            <w:gridSpan w:val="2"/>
          </w:tcPr>
          <w:p>
            <w:pPr>
              <w:ind w:left="5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12/8/2020</w:t>
            </w: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ind w:left="40"/>
              <w:spacing w:after="0" w:line="324" w:lineRule="exact"/>
              <w:rPr>
                <w:sz w:val="20"/>
                <w:szCs w:val="20"/>
                <w:color w:val="auto"/>
              </w:rPr>
            </w:pPr>
            <w:r>
              <w:rPr>
                <w:rFonts w:ascii="Times New Roman" w:cs="Times New Roman" w:eastAsia="Times New Roman" w:hAnsi="Times New Roman"/>
                <w:sz w:val="18"/>
                <w:szCs w:val="18"/>
                <w:color w:val="auto"/>
                <w:w w:val="88"/>
              </w:rPr>
              <w:t>139,449</w:t>
            </w:r>
            <w:r>
              <w:rPr>
                <w:rFonts w:ascii="Times New Roman" w:cs="Times New Roman" w:eastAsia="Times New Roman" w:hAnsi="Times New Roman"/>
                <w:sz w:val="29"/>
                <w:szCs w:val="29"/>
                <w:color w:val="auto"/>
                <w:w w:val="88"/>
                <w:vertAlign w:val="superscript"/>
              </w:rPr>
              <w:t>(1)(2)</w:t>
            </w:r>
          </w:p>
        </w:tc>
        <w:tc>
          <w:tcPr>
            <w:tcW w:w="3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54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324"/>
        </w:trPr>
        <w:tc>
          <w:tcPr>
            <w:tcW w:w="4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5/15/2021</w:t>
            </w:r>
          </w:p>
        </w:tc>
        <w:tc>
          <w:tcPr>
            <w:tcW w:w="360" w:type="dxa"/>
            <w:vAlign w:val="bottom"/>
          </w:tcPr>
          <w:p>
            <w:pPr>
              <w:spacing w:after="0"/>
              <w:rPr>
                <w:sz w:val="24"/>
                <w:szCs w:val="24"/>
                <w:color w:val="auto"/>
              </w:rPr>
            </w:pPr>
          </w:p>
        </w:tc>
        <w:tc>
          <w:tcPr>
            <w:tcW w:w="980" w:type="dxa"/>
            <w:vAlign w:val="bottom"/>
          </w:tcPr>
          <w:p>
            <w:pPr>
              <w:ind w:left="40"/>
              <w:spacing w:after="0" w:line="324" w:lineRule="exact"/>
              <w:rPr>
                <w:sz w:val="20"/>
                <w:szCs w:val="20"/>
                <w:color w:val="auto"/>
              </w:rPr>
            </w:pPr>
            <w:r>
              <w:rPr>
                <w:rFonts w:ascii="Times New Roman" w:cs="Times New Roman" w:eastAsia="Times New Roman" w:hAnsi="Times New Roman"/>
                <w:sz w:val="18"/>
                <w:szCs w:val="18"/>
                <w:color w:val="auto"/>
              </w:rPr>
              <w:t>390,626</w:t>
            </w:r>
            <w:r>
              <w:rPr>
                <w:rFonts w:ascii="Times New Roman" w:cs="Times New Roman" w:eastAsia="Times New Roman" w:hAnsi="Times New Roman"/>
                <w:sz w:val="29"/>
                <w:szCs w:val="29"/>
                <w:color w:val="auto"/>
                <w:vertAlign w:val="superscript"/>
              </w:rPr>
              <w:t>(4)</w:t>
            </w:r>
          </w:p>
        </w:tc>
        <w:tc>
          <w:tcPr>
            <w:tcW w:w="360" w:type="dxa"/>
            <w:vAlign w:val="bottom"/>
          </w:tcPr>
          <w:p>
            <w:pPr>
              <w:spacing w:after="0"/>
              <w:rPr>
                <w:sz w:val="24"/>
                <w:szCs w:val="24"/>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8"/>
                <w:szCs w:val="18"/>
                <w:color w:val="auto"/>
                <w:w w:val="97"/>
              </w:rPr>
              <w:t>2,335,943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line="324" w:lineRule="exact"/>
              <w:rPr>
                <w:sz w:val="20"/>
                <w:szCs w:val="20"/>
                <w:color w:val="auto"/>
              </w:rPr>
            </w:pPr>
            <w:r>
              <w:rPr>
                <w:rFonts w:ascii="Times New Roman" w:cs="Times New Roman" w:eastAsia="Times New Roman" w:hAnsi="Times New Roman"/>
                <w:sz w:val="18"/>
                <w:szCs w:val="18"/>
                <w:color w:val="auto"/>
                <w:w w:val="94"/>
              </w:rPr>
              <w:t>58,593</w:t>
            </w:r>
            <w:r>
              <w:rPr>
                <w:rFonts w:ascii="Times New Roman" w:cs="Times New Roman" w:eastAsia="Times New Roman" w:hAnsi="Times New Roman"/>
                <w:sz w:val="29"/>
                <w:szCs w:val="29"/>
                <w:color w:val="auto"/>
                <w:w w:val="94"/>
                <w:vertAlign w:val="superscript"/>
              </w:rPr>
              <w:t>(5)</w:t>
            </w: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350,386</w:t>
            </w:r>
          </w:p>
        </w:tc>
        <w:tc>
          <w:tcPr>
            <w:tcW w:w="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-1868170</wp:posOffset>
            </wp:positionV>
            <wp:extent cx="1117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-1868170</wp:posOffset>
            </wp:positionV>
            <wp:extent cx="22288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-1868170</wp:posOffset>
            </wp:positionV>
            <wp:extent cx="2228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-1868170</wp:posOffset>
            </wp:positionV>
            <wp:extent cx="22288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Class P Units.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P Units represent profits interests in WM Holding Company, LLC. and no value is realized as a result of vesting of these units.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will vest on a quarterly pro rata basis over three years beginning on the vesting commencement date,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PRSUs will vest in accordance with the performance-based vesting conditions described above under “—Equity-Based Incentive Awards.” The number of shares subject to each named executive officer’s PRSU award assumes threshold achievement, with the Adjusted EBITDA Margin Percentage deemed to equal 50% and Revenue CAGR Percentage deemed to equal 0%.</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WM Technology, Inc. 2021 Equity Incentive Plan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June 2021, our board of directors adopted and our stockholders approved the WM Technology, Inc. 2021 Equity Incentive Plan (the “2021 Plan”). The 2021 Plan became effective immediately upon the Closing.</w:t>
      </w:r>
    </w:p>
    <w:p>
      <w:pPr>
        <w:spacing w:after="0" w:line="52"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Our employees, consultants and directors, and employees and consultants of our affiliates,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awards under 2021 Plan.</w:t>
      </w:r>
    </w:p>
    <w:p>
      <w:pPr>
        <w:spacing w:after="0" w:line="5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Award Types</w:t>
      </w:r>
      <w:r>
        <w:rPr>
          <w:rFonts w:ascii="Times New Roman" w:cs="Times New Roman" w:eastAsia="Times New Roman" w:hAnsi="Times New Roman"/>
          <w:sz w:val="18"/>
          <w:szCs w:val="18"/>
          <w:color w:val="auto"/>
        </w:rPr>
        <w:t>. The equity incentive plan provides for the grant of incentive stock options (“ISOs”)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The number of shares of common stock initially reserved for issuance under the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thereof, will have the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units are granted under restricted stock unit award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grant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80"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equity incentive plan permits the grant of performance-based stock and cash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9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Units</w:t>
      </w:r>
      <w:r>
        <w:rPr>
          <w:rFonts w:ascii="Times New Roman" w:cs="Times New Roman" w:eastAsia="Times New Roman" w:hAnsi="Times New Roman"/>
          <w:sz w:val="18"/>
          <w:szCs w:val="18"/>
          <w:color w:val="auto"/>
        </w:rPr>
        <w:t>. The equity incentive plan permits the grant of awards in the form of any class of limited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7"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The plan administrator will set the number of shares under the stock award and all other terms and conditions of such awards.</w:t>
      </w:r>
    </w:p>
    <w:p>
      <w:pPr>
        <w:spacing w:after="0" w:line="6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by us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our capital structure, such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equity incentive plan in the event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84"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In the event of a change in control, as defined under the equity incentive plan,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the equity incentive plan will not receive automatic acceleration of vesting and exercisability, although this treatment may be provided for in an award agreement.</w:t>
      </w:r>
    </w:p>
    <w:p>
      <w:pPr>
        <w:spacing w:after="0" w:line="6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of directors will have the authority to amend, suspend, or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Third Amended and Restated Equity Incentive Plan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As of December 31, 2020, the maximum aggregate number of Plan Units authorized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Prior to the Business Combination, the 2018 Plan was administered by Legacy WMH’s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Plan Units</w:t>
      </w:r>
      <w:r>
        <w:rPr>
          <w:rFonts w:ascii="Times New Roman" w:cs="Times New Roman" w:eastAsia="Times New Roman" w:hAnsi="Times New Roman"/>
          <w:sz w:val="18"/>
          <w:szCs w:val="18"/>
          <w:color w:val="auto"/>
        </w:rPr>
        <w:t>. Plan Units granted under the 2018 Plan may be subject to various restrictions, including restrictions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Non-Transferability of Awards</w:t>
      </w:r>
      <w:r>
        <w:rPr>
          <w:rFonts w:ascii="Times New Roman" w:cs="Times New Roman" w:eastAsia="Times New Roman" w:hAnsi="Times New Roman"/>
          <w:sz w:val="18"/>
          <w:szCs w:val="18"/>
          <w:color w:val="auto"/>
        </w:rPr>
        <w:t>. The Plan Units are subject to certain transferability restrictions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governed by the terms of the Amended Operating Agreement, the 2018 Plan and the applicable award agreement.</w:t>
      </w:r>
    </w:p>
    <w:p>
      <w:pPr>
        <w:spacing w:after="0" w:line="65"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Certain Adjustments</w:t>
      </w:r>
      <w:r>
        <w:rPr>
          <w:rFonts w:ascii="Times New Roman" w:cs="Times New Roman" w:eastAsia="Times New Roman" w:hAnsi="Times New Roman"/>
          <w:sz w:val="18"/>
          <w:szCs w:val="18"/>
          <w:color w:val="auto"/>
        </w:rPr>
        <w:t>. The outstanding Plan Units are subject to adjustment, exchange, replacement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then unvested, cancellation for no consideration by us, in our capacity as managing member of WMH LLC,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Amendment, Suspension and Termination</w:t>
      </w:r>
      <w:r>
        <w:rPr>
          <w:rFonts w:ascii="Times New Roman" w:cs="Times New Roman" w:eastAsia="Times New Roman" w:hAnsi="Times New Roman"/>
          <w:sz w:val="18"/>
          <w:szCs w:val="18"/>
          <w:color w:val="auto"/>
        </w:rPr>
        <w:t>. We, in our capacity as managing member of WMH LLC,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amend, suspend or terminate all or any part of the 2018 Plan in our sole discretion, subject to the terms of the 2018 Plan and the Amended Operating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Amended Operating Company Agreement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of the Units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2" w:lineRule="exact"/>
        <w:rPr>
          <w:sz w:val="20"/>
          <w:szCs w:val="20"/>
          <w:color w:val="auto"/>
        </w:rPr>
      </w:pPr>
    </w:p>
    <w:p>
      <w:pPr>
        <w:jc w:val="both"/>
        <w:ind w:left="300" w:right="299" w:hanging="8"/>
        <w:spacing w:after="0" w:line="255" w:lineRule="auto"/>
        <w:tabs>
          <w:tab w:leader="none" w:pos="65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7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8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PIPE Subscription Agreements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Employment Relationships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Certain immediate family members of Douglas Francis, Legacy WMH’s former chief executive officer and a current member of our board of managers, provide services to us for compensation, as described below:</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Certain Other Enterprises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WCC MGMT, LLC is a business of which each of Messrs. Francis and Hartfield indirectly own a minority interest. WCC MGMT, LLC uses our listing products and has participated in other brand promotion opportunities.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Searchcore Payments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entered into indemnification agreements with our directors and executive officers. For a description of these agreements, see the section entitled “Management—Limitation of Liability and Indemnification.”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February 18, 2022,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 Class A</w:t>
            </w: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8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6"/>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12"/>
                <w:szCs w:val="12"/>
                <w:color w:val="auto"/>
              </w:rPr>
            </w:pPr>
          </w:p>
        </w:tc>
        <w:tc>
          <w:tcPr>
            <w:tcW w:w="9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Total Voting</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tcPr>
          <w:p>
            <w:pPr>
              <w:jc w:val="center"/>
              <w:ind w:right="140"/>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130,208</w:t>
            </w:r>
          </w:p>
        </w:tc>
        <w:tc>
          <w:tcPr>
            <w:tcW w:w="16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Arden Lee</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104,166</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Juan Jose Feijoo-Osorio</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117,186</w:t>
            </w:r>
          </w:p>
        </w:tc>
        <w:tc>
          <w:tcPr>
            <w:tcW w:w="16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27,700,850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324"/>
        </w:trPr>
        <w:tc>
          <w:tcPr>
            <w:tcW w:w="368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(6)</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29,328,310</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680" w:type="dxa"/>
            <w:vAlign w:val="bottom"/>
            <w:shd w:val="clear" w:color="auto" w:fill="CCEEFF"/>
          </w:tcPr>
          <w:p>
            <w:pPr>
              <w:ind w:left="180"/>
              <w:spacing w:after="0" w:line="302" w:lineRule="exact"/>
              <w:rPr>
                <w:sz w:val="20"/>
                <w:szCs w:val="20"/>
                <w:color w:val="auto"/>
              </w:rPr>
            </w:pPr>
            <w:r>
              <w:rPr>
                <w:rFonts w:ascii="Times New Roman" w:cs="Times New Roman" w:eastAsia="Times New Roman" w:hAnsi="Times New Roman"/>
                <w:sz w:val="18"/>
                <w:szCs w:val="18"/>
                <w:b w:val="1"/>
                <w:bCs w:val="1"/>
                <w:color w:val="auto"/>
              </w:rPr>
              <w:t>Company as a Group (12 Individuals)</w:t>
            </w:r>
            <w:r>
              <w:rPr>
                <w:rFonts w:ascii="Times New Roman" w:cs="Times New Roman" w:eastAsia="Times New Roman" w:hAnsi="Times New Roman"/>
                <w:sz w:val="29"/>
                <w:szCs w:val="29"/>
                <w:b w:val="1"/>
                <w:bCs w:val="1"/>
                <w:color w:val="auto"/>
                <w:vertAlign w:val="superscript"/>
              </w:rPr>
              <w:t>(7)</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5,445,308</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54,726,788</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83.5%</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68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(5)(6)</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2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Luxor Capital Group, LP</w:t>
            </w:r>
            <w:r>
              <w:rPr>
                <w:rFonts w:ascii="Times New Roman" w:cs="Times New Roman" w:eastAsia="Times New Roman" w:hAnsi="Times New Roman"/>
                <w:sz w:val="29"/>
                <w:szCs w:val="29"/>
                <w:color w:val="auto"/>
                <w:vertAlign w:val="superscript"/>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7,356,117</w:t>
            </w:r>
          </w:p>
        </w:tc>
        <w:tc>
          <w:tcPr>
            <w:tcW w:w="16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-3506470</wp:posOffset>
            </wp:positionV>
            <wp:extent cx="857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-3506470</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-3506470</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-3506470</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-3506470</wp:posOffset>
            </wp:positionV>
            <wp:extent cx="1028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8"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pacing w:after="0" w:line="14"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54,726,788 shares of Class V Common Stock beneficially owned by our directors and executive officers.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Registration Rights Agreement, the Subscription Agreements and the Warrant Agreement, we agreed to file a registration statement with the SEC for the purposes of registering for resale</w:t>
      </w:r>
    </w:p>
    <w:p>
      <w:pPr>
        <w:spacing w:after="0" w:line="3" w:lineRule="exact"/>
        <w:rPr>
          <w:sz w:val="20"/>
          <w:szCs w:val="20"/>
          <w:color w:val="auto"/>
        </w:rPr>
      </w:pPr>
    </w:p>
    <w:p>
      <w:pPr>
        <w:jc w:val="both"/>
        <w:ind w:left="300" w:right="299" w:hanging="8"/>
        <w:spacing w:after="0" w:line="255" w:lineRule="auto"/>
        <w:tabs>
          <w:tab w:leader="none" w:pos="5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(and the shares of Class A Common Stock that may be issued upon exercise of the Private Placement Warrants) and (ii) the shares of our Class A Common Stock issued to the Selling Securityholders.</w:t>
      </w:r>
    </w:p>
    <w:p>
      <w:pPr>
        <w:spacing w:after="0" w:line="7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63,738,563 shares of our Common Stock issued and outstanding as of June 16, 2021 and do not take into account the issuance of any shares of Class A Common Stock upon (i) the exercise of 19,499,993 Warrants to purchase an aggregate of 19,499,993 shares of Class A Common Stock, (ii) the exchange of 25,896,042 Class P Units for up to 25,896,042 shares of Class A Common Stock or (iii) the exchange of 65,502,347 Paired Interest for up to 65,502,347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2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0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60" w:type="dxa"/>
            <w:vAlign w:val="bottom"/>
            <w:vMerge w:val="restart"/>
          </w:tcPr>
          <w:p>
            <w:pPr>
              <w:spacing w:after="0"/>
              <w:rPr>
                <w:sz w:val="8"/>
                <w:szCs w:val="8"/>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60" w:type="dxa"/>
            <w:vAlign w:val="bottom"/>
            <w:gridSpan w:val="2"/>
            <w:vMerge w:val="continue"/>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Juanjo Feijoo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0"/>
                <w:szCs w:val="20"/>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6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Doug Francis</w:t>
            </w:r>
            <w:r>
              <w:rPr>
                <w:rFonts w:ascii="Times New Roman" w:cs="Times New Roman" w:eastAsia="Times New Roman" w:hAnsi="Times New Roman"/>
                <w:sz w:val="26"/>
                <w:szCs w:val="26"/>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27,700,849</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27,700,849</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6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29,328,310</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29,328,310</w:t>
            </w: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60" w:type="dxa"/>
            <w:vAlign w:val="bottom"/>
            <w:gridSpan w:val="2"/>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99"/>
              </w:rPr>
              <w:t>7,000,000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7,000,000</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6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60" w:type="dxa"/>
            <w:vAlign w:val="bottom"/>
            <w:gridSpan w:val="2"/>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74"/>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-2568575</wp:posOffset>
            </wp:positionV>
            <wp:extent cx="342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-2568575</wp:posOffset>
            </wp:positionV>
            <wp:extent cx="342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-2568575</wp:posOffset>
            </wp:positionV>
            <wp:extent cx="34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-2568575</wp:posOffset>
            </wp:positionV>
            <wp:extent cx="342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-2568575</wp:posOffset>
            </wp:positionV>
            <wp:extent cx="342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-2568575</wp:posOffset>
            </wp:positionV>
            <wp:extent cx="342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-2568575</wp:posOffset>
            </wp:positionV>
            <wp:extent cx="342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-2568575</wp:posOffset>
            </wp:positionV>
            <wp:extent cx="342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tbl>
      <w:tblPr>
        <w:tblLayout w:type="fixed"/>
        <w:tblInd w:w="300" w:type="dxa"/>
        <w:tblCellMar>
          <w:top w:w="0" w:type="dxa"/>
          <w:left w:w="0" w:type="dxa"/>
          <w:bottom w:w="0" w:type="dxa"/>
          <w:right w:w="0" w:type="dxa"/>
        </w:tblCellMar>
      </w:tblPr>
      <w:tr>
        <w:trPr>
          <w:trHeight w:val="161"/>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2"/>
            <w:vMerge w:val="continue"/>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Class A of</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5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Common</w:t>
            </w:r>
          </w:p>
        </w:tc>
        <w:tc>
          <w:tcPr>
            <w:tcW w:w="760" w:type="dxa"/>
            <w:vAlign w:val="bottom"/>
            <w:gridSpan w:val="2"/>
            <w:vMerge w:val="continue"/>
          </w:tcPr>
          <w:p>
            <w:pPr>
              <w:spacing w:after="0"/>
              <w:rPr>
                <w:sz w:val="12"/>
                <w:szCs w:val="12"/>
                <w:color w:val="auto"/>
              </w:rPr>
            </w:pPr>
          </w:p>
        </w:tc>
        <w:tc>
          <w:tcPr>
            <w:tcW w:w="16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6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2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40" w:type="dxa"/>
            <w:vAlign w:val="bottom"/>
            <w:gridSpan w:val="3"/>
            <w:vMerge w:val="continue"/>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40" w:type="dxa"/>
            <w:vAlign w:val="bottom"/>
            <w:gridSpan w:val="3"/>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 Bisat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180,000</w:t>
            </w:r>
          </w:p>
        </w:tc>
        <w:tc>
          <w:tcPr>
            <w:tcW w:w="80" w:type="dxa"/>
            <w:vAlign w:val="bottom"/>
          </w:tcPr>
          <w:p>
            <w:pPr>
              <w:spacing w:after="0"/>
              <w:rPr>
                <w:sz w:val="24"/>
                <w:szCs w:val="24"/>
                <w:color w:val="auto"/>
              </w:rPr>
            </w:pPr>
          </w:p>
        </w:tc>
        <w:tc>
          <w:tcPr>
            <w:tcW w:w="7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91,666</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91,666</w:t>
            </w:r>
          </w:p>
        </w:tc>
        <w:tc>
          <w:tcPr>
            <w:tcW w:w="80" w:type="dxa"/>
            <w:vAlign w:val="bottom"/>
          </w:tcPr>
          <w:p>
            <w:pPr>
              <w:spacing w:after="0"/>
              <w:rPr>
                <w:sz w:val="24"/>
                <w:szCs w:val="24"/>
                <w:color w:val="auto"/>
              </w:rPr>
            </w:pPr>
          </w:p>
        </w:tc>
        <w:tc>
          <w:tcPr>
            <w:tcW w:w="7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Anthony Aquila</w:t>
            </w:r>
            <w:r>
              <w:rPr>
                <w:rFonts w:ascii="Times New Roman" w:cs="Times New Roman" w:eastAsia="Times New Roman" w:hAnsi="Times New Roman"/>
                <w:sz w:val="26"/>
                <w:szCs w:val="26"/>
                <w:color w:val="auto"/>
                <w:vertAlign w:val="superscript"/>
              </w:rPr>
              <w:t>(12)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5,000,000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gridSpan w:val="3"/>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Monashee Investment</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1,225,000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4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tcPr>
          <w:p>
            <w:pPr>
              <w:ind w:left="140"/>
              <w:spacing w:after="0" w:line="252"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4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4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4,000,000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(24)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(25)</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437,500</w:t>
            </w:r>
          </w:p>
        </w:tc>
        <w:tc>
          <w:tcPr>
            <w:tcW w:w="8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80" w:type="dxa"/>
            <w:vAlign w:val="bottom"/>
          </w:tcPr>
          <w:p>
            <w:pPr>
              <w:spacing w:after="0"/>
              <w:rPr>
                <w:sz w:val="17"/>
                <w:szCs w:val="17"/>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4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275,000</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4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4"/>
                <w:szCs w:val="2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4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87"/>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-8460105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-8460105</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-8460105</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-8460105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-8460105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-8460105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1951355</wp:posOffset>
            </wp:positionH>
            <wp:positionV relativeFrom="paragraph">
              <wp:posOffset>-8460105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1437005</wp:posOffset>
            </wp:positionH>
            <wp:positionV relativeFrom="paragraph">
              <wp:posOffset>-8460105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609" w:gutter="0" w:footer="0" w:header="0"/>
        </w:sectPr>
      </w:pPr>
    </w:p>
    <w:bookmarkStart w:id="108" w:name="page109"/>
    <w:bookmarkEnd w:id="108"/>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3"/>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gridSpan w:val="3"/>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369,756</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2,700,000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2,447,524</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3.84%</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369,756</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A. Halpern Trust date July</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24, 2000</w:t>
            </w:r>
            <w:r>
              <w:rPr>
                <w:rFonts w:ascii="Times New Roman" w:cs="Times New Roman" w:eastAsia="Times New Roman" w:hAnsi="Times New Roman"/>
                <w:sz w:val="26"/>
                <w:szCs w:val="26"/>
                <w:color w:val="auto"/>
                <w:vertAlign w:val="superscript"/>
              </w:rPr>
              <w:t>(41)</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2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1,500,000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(45)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80" w:type="dxa"/>
            <w:vAlign w:val="bottom"/>
            <w:gridSpan w:val="3"/>
          </w:tcPr>
          <w:p>
            <w:pPr>
              <w:ind w:left="140"/>
              <w:spacing w:after="0" w:line="175" w:lineRule="exact"/>
              <w:rPr>
                <w:sz w:val="20"/>
                <w:szCs w:val="20"/>
                <w:color w:val="auto"/>
              </w:rPr>
            </w:pPr>
            <w:r>
              <w:rPr>
                <w:rFonts w:ascii="Times New Roman" w:cs="Times New Roman" w:eastAsia="Times New Roman" w:hAnsi="Times New Roman"/>
                <w:sz w:val="16"/>
                <w:szCs w:val="16"/>
                <w:color w:val="auto"/>
              </w:rPr>
              <w:t>Trust UAD 10/11/12 as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tcPr>
          <w:p>
            <w:pPr>
              <w:spacing w:after="0"/>
              <w:rPr>
                <w:sz w:val="21"/>
                <w:szCs w:val="21"/>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13"/>
                <w:szCs w:val="13"/>
                <w:color w:val="auto"/>
              </w:rPr>
              <w:t>(47)</w:t>
            </w: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Eiden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699,437</w:t>
            </w:r>
          </w:p>
        </w:tc>
        <w:tc>
          <w:tcPr>
            <w:tcW w:w="120" w:type="dxa"/>
            <w:vAlign w:val="bottom"/>
          </w:tcPr>
          <w:p>
            <w:pPr>
              <w:spacing w:after="0"/>
              <w:rPr>
                <w:sz w:val="21"/>
                <w:szCs w:val="21"/>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49,437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3,200,000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3,468,682</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4,000,000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1,584,975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2.49%</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3,468,682</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84"/>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-8698230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-8698230</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-8698230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-8698230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-8698230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-8698230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-8698230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-8698230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77" w:gutter="0" w:footer="0" w:header="0"/>
        </w:sectPr>
      </w:pPr>
    </w:p>
    <w:bookmarkStart w:id="109" w:name="page110"/>
    <w:bookmarkEnd w:id="109"/>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40" w:type="dxa"/>
            <w:vAlign w:val="bottom"/>
            <w:gridSpan w:val="2"/>
            <w:vMerge w:val="continue"/>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40" w:type="dxa"/>
            <w:vAlign w:val="bottom"/>
            <w:gridSpan w:val="2"/>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tcPr>
          <w:p>
            <w:pPr>
              <w:spacing w:after="0"/>
              <w:rPr>
                <w:sz w:val="21"/>
                <w:szCs w:val="21"/>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500,000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rPr>
              <w:t>81,000</w:t>
            </w: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(62)</w:t>
            </w:r>
          </w:p>
        </w:tc>
        <w:tc>
          <w:tcPr>
            <w:tcW w:w="7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800,000</w:t>
            </w:r>
          </w:p>
        </w:tc>
        <w:tc>
          <w:tcPr>
            <w:tcW w:w="120" w:type="dxa"/>
            <w:vAlign w:val="bottom"/>
          </w:tcPr>
          <w:p>
            <w:pPr>
              <w:spacing w:after="0"/>
              <w:rPr>
                <w:sz w:val="24"/>
                <w:szCs w:val="24"/>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100,000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12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-2728595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-2728595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-2728595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-2728595</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-2728595</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-2728595</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-2728595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-2728595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219075</wp:posOffset>
            </wp:positionV>
            <wp:extent cx="8229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0" w:lineRule="exact"/>
        <w:rPr>
          <w:sz w:val="20"/>
          <w:szCs w:val="20"/>
          <w:color w:val="auto"/>
        </w:rPr>
      </w:pPr>
    </w:p>
    <w:p>
      <w:pPr>
        <w:jc w:val="both"/>
        <w:ind w:left="640" w:right="299" w:hanging="348"/>
        <w:spacing w:after="0" w:line="229"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rPr>
          <w:sz w:val="20"/>
          <w:szCs w:val="20"/>
          <w:color w:val="auto"/>
        </w:rPr>
      </w:pPr>
      <w:r>
        <w:rPr>
          <w:rFonts w:ascii="Times New Roman" w:cs="Times New Roman" w:eastAsia="Times New Roman" w:hAnsi="Times New Roman"/>
          <w:sz w:val="14"/>
          <w:szCs w:val="14"/>
          <w:color w:val="auto"/>
        </w:rPr>
        <w:t>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165" w:lineRule="exact"/>
        <w:rPr>
          <w:sz w:val="20"/>
          <w:szCs w:val="20"/>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36" w:lineRule="auto"/>
        <w:rPr>
          <w:sz w:val="20"/>
          <w:szCs w:val="20"/>
          <w:color w:val="auto"/>
        </w:rPr>
      </w:pPr>
      <w:r>
        <w:rPr>
          <w:rFonts w:ascii="Times New Roman" w:cs="Times New Roman" w:eastAsia="Times New Roman" w:hAnsi="Times New Roman"/>
          <w:sz w:val="14"/>
          <w:szCs w:val="14"/>
          <w:color w:val="auto"/>
        </w:rPr>
        <w:t>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sz w:val="20"/>
          <w:szCs w:val="20"/>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29" w:lineRule="auto"/>
        <w:rPr>
          <w:sz w:val="20"/>
          <w:szCs w:val="20"/>
          <w:color w:val="auto"/>
        </w:rPr>
      </w:pPr>
      <w:r>
        <w:rPr>
          <w:rFonts w:ascii="Times New Roman" w:cs="Times New Roman" w:eastAsia="Times New Roman" w:hAnsi="Times New Roman"/>
          <w:sz w:val="14"/>
          <w:szCs w:val="14"/>
          <w:color w:val="auto"/>
        </w:rPr>
        <w:t>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8" w:lineRule="exact"/>
        <w:rPr>
          <w:sz w:val="20"/>
          <w:szCs w:val="20"/>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0" w:lineRule="exact"/>
        <w:rPr>
          <w:sz w:val="20"/>
          <w:szCs w:val="20"/>
          <w:color w:val="auto"/>
        </w:rPr>
      </w:pPr>
    </w:p>
    <w:p>
      <w:pPr>
        <w:ind w:left="1000" w:right="31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Cooley LLP.</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r>
        <w:rPr>
          <w:rFonts w:ascii="Times New Roman" w:cs="Times New Roman" w:eastAsia="Times New Roman" w:hAnsi="Times New Roman"/>
          <w:sz w:val="29"/>
          <w:szCs w:val="29"/>
          <w:b w:val="1"/>
          <w:bCs w:val="1"/>
          <w:color w:val="auto"/>
          <w:vertAlign w:val="superscript"/>
        </w:rPr>
        <w:t>21</w:t>
      </w:r>
    </w:p>
    <w:p>
      <w:pPr>
        <w:spacing w:after="0" w:line="2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4" w:lineRule="exact"/>
        <w:rPr>
          <w:sz w:val="20"/>
          <w:szCs w:val="20"/>
          <w:color w:val="auto"/>
        </w:rPr>
      </w:pPr>
    </w:p>
    <w:p>
      <w:pPr>
        <w:ind w:left="440" w:hanging="148"/>
        <w:spacing w:after="0"/>
        <w:tabs>
          <w:tab w:leader="none" w:pos="440" w:val="left"/>
        </w:tabs>
        <w:numPr>
          <w:ilvl w:val="0"/>
          <w:numId w:val="7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BT to update.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3"/>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51"/>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F-6</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1880" w:type="dxa"/>
            <w:vAlign w:val="bottom"/>
          </w:tcPr>
          <w:p>
            <w:pPr>
              <w:spacing w:after="0"/>
              <w:rPr>
                <w:sz w:val="19"/>
                <w:szCs w:val="19"/>
                <w:color w:val="auto"/>
              </w:rPr>
            </w:pPr>
          </w:p>
        </w:tc>
        <w:tc>
          <w:tcPr>
            <w:tcW w:w="16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0000EE"/>
              </w:rPr>
              <w:t>F-7</w:t>
            </w: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F-8</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3520" w:type="dxa"/>
            <w:vAlign w:val="bottom"/>
            <w:gridSpan w:val="4"/>
          </w:tcPr>
          <w:p>
            <w:pPr>
              <w:ind w:left="1880"/>
              <w:spacing w:after="0"/>
              <w:rPr>
                <w:sz w:val="20"/>
                <w:szCs w:val="20"/>
                <w:color w:val="auto"/>
              </w:rPr>
            </w:pPr>
            <w:r>
              <w:rPr>
                <w:rFonts w:ascii="Times New Roman" w:cs="Times New Roman" w:eastAsia="Times New Roman" w:hAnsi="Times New Roman"/>
                <w:sz w:val="18"/>
                <w:szCs w:val="18"/>
                <w:color w:val="0000EE"/>
              </w:rPr>
              <w:t>F-10</w:t>
            </w: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F-11</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effective January 1, 2021, the Company adopted Accounting Standards Codification Topic 842, Leases (Topic 842).</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1" w:lineRule="exact"/>
        <w:rPr>
          <w:sz w:val="20"/>
          <w:szCs w:val="20"/>
          <w:color w:val="auto"/>
        </w:rPr>
      </w:pPr>
    </w:p>
    <w:p>
      <w:pPr>
        <w:jc w:val="both"/>
        <w:ind w:left="300" w:right="319" w:hanging="8"/>
        <w:spacing w:after="0" w:line="253" w:lineRule="auto"/>
        <w:tabs>
          <w:tab w:leader="none" w:pos="58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the Company’s revenue recognition policy and evaluated for appropriateness.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of personnel outside of the accounting function to corroborate our understanding of certain terms and conditions for a selection of revenue transactions.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sample of revenue transactions by inspecting the underlying customer agreements and invoices, and evaluating the Company’s recognition in accordance with revenue recognition policies.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a sample of revenue contracts to ensure appropriate identification of performance obligations and recognition of either point-in-time or over-time.</w:t>
      </w: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Valuation of Intangible Assets in the Sprout and Transportation Logistics Holding Acquisitions</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61"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auditor engaged valuation specialist to assist with our evaluation of the methodologies used by the Company and significant assumptions included in the preliminary fair value estimates.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Measurement of the Tax Receivable Agreement Asset and Liability</w:t>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 understanding and evaluated the design and implementation of controls over the Company’s process for determining the measurement of the TRA asset and liability.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completeness and accuracy of the deferred tax asset related to the basis difference in the investment in WMH LLC.</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change in tax basis resulting from the transaction, including the determination of fair value.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measurement of the Company’s TRA liability by recalculating the Company’s share of the tax basis in the net assets of WMH LLC.</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assessed the historical accuracy of management’s projections and reconciled the projections of future taxable income with other forecasted financial information prepared by the Company.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TRA liability and verified the calculation of the TRA liability was in accordance with the terms set out in the TRA.</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auditor engaged tax specialists to assist with the performance of such audit procedures listed above.</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25, 2022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7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50800</wp:posOffset>
            </wp:positionV>
            <wp:extent cx="10204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51"/>
        </w:trPr>
        <w:tc>
          <w:tcPr>
            <w:tcW w:w="65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$ 67,777</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$19,919</w:t>
            </w:r>
          </w:p>
        </w:tc>
      </w:tr>
      <w:tr>
        <w:trPr>
          <w:trHeight w:val="27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9,428</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7"/>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13,607</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83"/>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98,934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34,167</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45,295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3,874</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58"/>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365,144</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53,894</w:t>
            </w:r>
          </w:p>
        </w:tc>
      </w:tr>
      <w:tr>
        <w:trPr>
          <w:trHeight w:val="311"/>
        </w:trPr>
        <w:tc>
          <w:tcPr>
            <w:tcW w:w="6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$ 23,155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$12,651</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r>
      <w:tr>
        <w:trPr>
          <w:trHeight w:val="27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to members</w:t>
            </w:r>
          </w:p>
        </w:tc>
        <w:tc>
          <w:tcPr>
            <w:tcW w:w="3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320" w:type="dxa"/>
            <w:vAlign w:val="bottom"/>
            <w:shd w:val="clear" w:color="auto" w:fill="CCEEFF"/>
          </w:tcPr>
          <w:p>
            <w:pPr>
              <w:spacing w:after="0"/>
              <w:rPr>
                <w:sz w:val="22"/>
                <w:szCs w:val="22"/>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84"/>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23,249</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39,377</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18"/>
        </w:trPr>
        <w:tc>
          <w:tcPr>
            <w:tcW w:w="6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233,204</w:t>
            </w:r>
          </w:p>
        </w:tc>
        <w:tc>
          <w:tcPr>
            <w:tcW w:w="9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24,623</w:t>
            </w:r>
          </w:p>
        </w:tc>
      </w:tr>
      <w:tr>
        <w:trPr>
          <w:trHeight w:val="27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equity/Members’ equity</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52"/>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34"/>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2021 and December 31, 2020</w:t>
            </w: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2"/>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65,677,361 shares issued and outstanding at December 31, 2021 and no shares</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r>
      <w:tr>
        <w:trPr>
          <w:trHeight w:val="268"/>
        </w:trPr>
        <w:tc>
          <w:tcPr>
            <w:tcW w:w="6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16"/>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65,502,347 shares issued and outstanding at December 31, 2021 and no shares</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4"/>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 and outstanding at December 31, 2020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304"/>
        </w:trPr>
        <w:tc>
          <w:tcPr>
            <w:tcW w:w="6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61,369</w:t>
            </w: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318"/>
        </w:trPr>
        <w:tc>
          <w:tcPr>
            <w:tcW w:w="6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63,556</w:t>
            </w: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68,384</w:t>
            </w:r>
          </w:p>
        </w:tc>
        <w:tc>
          <w:tcPr>
            <w:tcW w:w="3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6"/>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Members’ equity</w:t>
            </w:r>
          </w:p>
        </w:tc>
        <w:tc>
          <w:tcPr>
            <w:tcW w:w="3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29,271</w:t>
            </w:r>
          </w:p>
        </w:tc>
      </w:tr>
      <w:tr>
        <w:trPr>
          <w:trHeight w:val="61"/>
        </w:trPr>
        <w:tc>
          <w:tcPr>
            <w:tcW w:w="65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29,271</w:t>
            </w:r>
          </w:p>
        </w:tc>
      </w:tr>
      <w:tr>
        <w:trPr>
          <w:trHeight w:val="61"/>
        </w:trPr>
        <w:tc>
          <w:tcPr>
            <w:tcW w:w="6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290"/>
        </w:trPr>
        <w:tc>
          <w:tcPr>
            <w:tcW w:w="6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equity/members’ equity</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365,144</w:t>
            </w:r>
          </w:p>
        </w:tc>
        <w:tc>
          <w:tcPr>
            <w:tcW w:w="3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53,894</w:t>
            </w:r>
          </w:p>
        </w:tc>
      </w:tr>
      <w:tr>
        <w:trPr>
          <w:trHeight w:val="27"/>
        </w:trPr>
        <w:tc>
          <w:tcPr>
            <w:tcW w:w="65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-8897620</wp:posOffset>
            </wp:positionV>
            <wp:extent cx="2057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-8897620</wp:posOffset>
            </wp:positionV>
            <wp:extent cx="1028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263" w:right="1440" w:bottom="0" w:gutter="0" w:footer="0" w:header="0"/>
        </w:sectPr>
      </w:pPr>
    </w:p>
    <w:bookmarkStart w:id="136" w:name="page137"/>
    <w:bookmarkEnd w:id="136"/>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10"/>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6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r>
      <w:tr>
        <w:trPr>
          <w:trHeight w:val="51"/>
        </w:trPr>
        <w:tc>
          <w:tcPr>
            <w:tcW w:w="56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$161,791</w:t>
            </w:r>
          </w:p>
        </w:tc>
        <w:tc>
          <w:tcPr>
            <w:tcW w:w="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24"/>
        </w:trPr>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97,447</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80" w:type="dxa"/>
            <w:vAlign w:val="bottom"/>
          </w:tcPr>
          <w:p>
            <w:pPr>
              <w:spacing w:after="0"/>
              <w:rPr>
                <w:sz w:val="22"/>
                <w:szCs w:val="22"/>
                <w:color w:val="auto"/>
              </w:rPr>
            </w:pPr>
          </w:p>
        </w:tc>
      </w:tr>
      <w:tr>
        <w:trPr>
          <w:trHeight w:val="61"/>
        </w:trPr>
        <w:tc>
          <w:tcPr>
            <w:tcW w:w="5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120,593</w:t>
            </w:r>
          </w:p>
        </w:tc>
        <w:tc>
          <w:tcPr>
            <w:tcW w:w="80" w:type="dxa"/>
            <w:vAlign w:val="bottom"/>
            <w:shd w:val="clear" w:color="auto" w:fill="CCEEFF"/>
          </w:tcPr>
          <w:p>
            <w:pPr>
              <w:spacing w:after="0"/>
              <w:rPr>
                <w:sz w:val="23"/>
                <w:szCs w:val="2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137,945</w:t>
            </w:r>
          </w:p>
        </w:tc>
        <w:tc>
          <w:tcPr>
            <w:tcW w:w="80" w:type="dxa"/>
            <w:vAlign w:val="bottom"/>
            <w:shd w:val="clear" w:color="auto" w:fill="CCEEFF"/>
          </w:tcPr>
          <w:p>
            <w:pPr>
              <w:spacing w:after="0"/>
              <w:rPr>
                <w:sz w:val="23"/>
                <w:szCs w:val="23"/>
                <w:color w:val="auto"/>
              </w:rPr>
            </w:pP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80" w:type="dxa"/>
            <w:vAlign w:val="bottom"/>
          </w:tcPr>
          <w:p>
            <w:pPr>
              <w:spacing w:after="0"/>
              <w:rPr>
                <w:sz w:val="24"/>
                <w:szCs w:val="24"/>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(2,368)</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(5,341)</w:t>
            </w: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Pr>
          <w:p>
            <w:pPr>
              <w:spacing w:after="0"/>
              <w:rPr>
                <w:sz w:val="24"/>
                <w:szCs w:val="24"/>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2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shd w:val="clear" w:color="auto" w:fill="CCEEFF"/>
          </w:tcPr>
          <w:p>
            <w:pPr>
              <w:spacing w:after="0"/>
              <w:rPr>
                <w:sz w:val="22"/>
                <w:szCs w:val="22"/>
                <w:color w:val="auto"/>
              </w:rPr>
            </w:pP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6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$ 38,830</w:t>
            </w:r>
          </w:p>
        </w:tc>
        <w:tc>
          <w:tcPr>
            <w:tcW w:w="8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r>
      <w:tr>
        <w:trPr>
          <w:trHeight w:val="20"/>
        </w:trPr>
        <w:tc>
          <w:tcPr>
            <w:tcW w:w="5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5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per share</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r>
      <w:tr>
        <w:trPr>
          <w:trHeight w:val="32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loss per share</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r>
      <w:tr>
        <w:trPr>
          <w:trHeight w:val="324"/>
        </w:trPr>
        <w:tc>
          <w:tcPr>
            <w:tcW w:w="56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564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60"/>
              <w:spacing w:after="0" w:line="324"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r>
      <w:tr>
        <w:trPr>
          <w:trHeight w:val="42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-5563870</wp:posOffset>
            </wp:positionV>
            <wp:extent cx="1028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-5563870</wp:posOffset>
            </wp:positionV>
            <wp:extent cx="1028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-5563870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2" w:lineRule="exact"/>
        <w:rPr>
          <w:sz w:val="20"/>
          <w:szCs w:val="20"/>
          <w:color w:val="auto"/>
        </w:rPr>
      </w:pPr>
    </w:p>
    <w:p>
      <w:pPr>
        <w:jc w:val="both"/>
        <w:ind w:left="640" w:right="299" w:hanging="348"/>
        <w:spacing w:after="0" w:line="206" w:lineRule="auto"/>
        <w:tabs>
          <w:tab w:leader="none" w:pos="640" w:val="left"/>
        </w:tabs>
        <w:numPr>
          <w:ilvl w:val="0"/>
          <w:numId w:val="7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-428625</wp:posOffset>
            </wp:positionV>
            <wp:extent cx="8229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WM TECHNOLOGY, INC. AND SUBSIDIARIES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ectPr>
          <w:pgSz w:w="11900" w:h="16838" w:orient="portrait"/>
          <w:cols w:equalWidth="0" w:num="1">
            <w:col w:w="9019"/>
          </w:cols>
          <w:pgMar w:left="1440" w:top="263" w:right="1440" w:bottom="1440" w:gutter="0" w:footer="0" w:header="0"/>
        </w:sectPr>
      </w:pPr>
    </w:p>
    <w:p>
      <w:pPr>
        <w:spacing w:after="0" w:line="25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Class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39370</wp:posOffset>
            </wp:positionV>
            <wp:extent cx="8655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6" w:lineRule="exact"/>
        <w:rPr>
          <w:sz w:val="20"/>
          <w:szCs w:val="20"/>
          <w:color w:val="auto"/>
        </w:rPr>
      </w:pPr>
    </w:p>
    <w:p>
      <w:pPr>
        <w:ind w:left="1800"/>
        <w:spacing w:after="0"/>
        <w:tabs>
          <w:tab w:leader="none" w:pos="2400" w:val="left"/>
        </w:tabs>
        <w:rPr>
          <w:sz w:val="20"/>
          <w:szCs w:val="20"/>
          <w:color w:val="auto"/>
        </w:rPr>
      </w:pPr>
      <w:r>
        <w:rPr>
          <w:rFonts w:ascii="Times New Roman" w:cs="Times New Roman" w:eastAsia="Times New Roman" w:hAnsi="Times New Roman"/>
          <w:sz w:val="13"/>
          <w:szCs w:val="13"/>
          <w:b w:val="1"/>
          <w:bCs w:val="1"/>
          <w:color w:val="auto"/>
        </w:rPr>
        <w:t>Shares</w:t>
        <w:tab/>
        <w:t>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57785</wp:posOffset>
            </wp:positionV>
            <wp:extent cx="514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57785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57785</wp:posOffset>
            </wp:positionV>
            <wp:extent cx="254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161"/>
        </w:trPr>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0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Class V</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44"/>
        </w:trPr>
        <w:tc>
          <w:tcPr>
            <w:tcW w:w="108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jc w:val="right"/>
        <w:ind w:right="120"/>
        <w:spacing w:after="0" w:line="221" w:lineRule="auto"/>
        <w:rPr>
          <w:sz w:val="20"/>
          <w:szCs w:val="20"/>
          <w:color w:val="auto"/>
        </w:rPr>
      </w:pPr>
      <w:r>
        <w:rPr>
          <w:rFonts w:ascii="Times New Roman" w:cs="Times New Roman" w:eastAsia="Times New Roman" w:hAnsi="Times New Roman"/>
          <w:sz w:val="14"/>
          <w:szCs w:val="14"/>
          <w:b w:val="1"/>
          <w:bCs w:val="1"/>
          <w:color w:val="auto"/>
        </w:rPr>
        <w:t>Paid-in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-89535</wp:posOffset>
            </wp:positionV>
            <wp:extent cx="83121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jc w:val="both"/>
        <w:spacing w:after="0"/>
        <w:tabs>
          <w:tab w:leader="none" w:pos="560" w:val="left"/>
          <w:tab w:leader="none" w:pos="1320" w:val="left"/>
        </w:tabs>
        <w:rPr>
          <w:sz w:val="20"/>
          <w:szCs w:val="20"/>
          <w:color w:val="auto"/>
        </w:rPr>
      </w:pPr>
      <w:r>
        <w:rPr>
          <w:rFonts w:ascii="Times New Roman" w:cs="Times New Roman" w:eastAsia="Times New Roman" w:hAnsi="Times New Roman"/>
          <w:sz w:val="14"/>
          <w:szCs w:val="14"/>
          <w:b w:val="1"/>
          <w:bCs w:val="1"/>
          <w:color w:val="auto"/>
        </w:rPr>
        <w:t>Shares</w:t>
        <w:tab/>
        <w:t>Par Value</w:t>
        <w:tab/>
        <w:t>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39370</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39370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751205</wp:posOffset>
            </wp:positionH>
            <wp:positionV relativeFrom="paragraph">
              <wp:posOffset>39370</wp:posOffset>
            </wp:positionV>
            <wp:extent cx="342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Technology,</w:t>
            </w:r>
          </w:p>
        </w:tc>
        <w:tc>
          <w:tcPr>
            <w:tcW w:w="14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w:t>
            </w:r>
          </w:p>
        </w:tc>
        <w:tc>
          <w:tcPr>
            <w:tcW w:w="1480" w:type="dxa"/>
            <w:vAlign w:val="bottom"/>
            <w:vMerge w:val="continue"/>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Retained Stockholders' controlling Members’</w:t>
            </w: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Interests   Equity</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31750</wp:posOffset>
            </wp:positionV>
            <wp:extent cx="342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1392555</wp:posOffset>
            </wp:positionH>
            <wp:positionV relativeFrom="paragraph">
              <wp:posOffset>31750</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31750</wp:posOffset>
            </wp:positionV>
            <wp:extent cx="342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31750</wp:posOffset>
            </wp:positionV>
            <wp:extent cx="342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3">
            <w:col w:w="3020" w:space="220"/>
            <w:col w:w="1900" w:space="60"/>
            <w:col w:w="3819"/>
          </w:cols>
          <w:pgMar w:left="1440" w:top="263"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1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360" w:type="dxa"/>
            <w:vAlign w:val="bottom"/>
            <w:vMerge w:val="continue"/>
            <w:shd w:val="clear" w:color="auto" w:fill="CCEEFF"/>
          </w:tcPr>
          <w:p>
            <w:pPr>
              <w:spacing w:after="0"/>
              <w:rPr>
                <w:sz w:val="14"/>
                <w:szCs w:val="14"/>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shd w:val="clear" w:color="auto" w:fill="CCEEFF"/>
          </w:tcPr>
          <w:p>
            <w:pPr>
              <w:spacing w:after="0"/>
              <w:rPr>
                <w:sz w:val="14"/>
                <w:szCs w:val="14"/>
                <w:color w:val="auto"/>
              </w:rPr>
            </w:pPr>
          </w:p>
        </w:tc>
        <w:tc>
          <w:tcPr>
            <w:tcW w:w="6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30,124</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$ 30,124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8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620" w:type="dxa"/>
            <w:vAlign w:val="bottom"/>
            <w:tcBorders>
              <w:bottom w:val="single" w:sz="8" w:color="CCEEFF"/>
            </w:tcBorders>
            <w:gridSpan w:val="3"/>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gridSpan w:val="2"/>
            <w:vMerge w:val="continue"/>
            <w:shd w:val="clear" w:color="auto" w:fill="CCEEFF"/>
          </w:tcPr>
          <w:p>
            <w:pPr>
              <w:spacing w:after="0"/>
              <w:rPr>
                <w:sz w:val="18"/>
                <w:szCs w:val="18"/>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4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(15,382)</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(15,382)</w:t>
            </w:r>
          </w:p>
        </w:tc>
        <w:tc>
          <w:tcPr>
            <w:tcW w:w="0" w:type="dxa"/>
            <w:vAlign w:val="bottom"/>
          </w:tcPr>
          <w:p>
            <w:pPr>
              <w:spacing w:after="0"/>
              <w:rPr>
                <w:sz w:val="1"/>
                <w:szCs w:val="1"/>
                <w:color w:val="auto"/>
              </w:rPr>
            </w:pPr>
          </w:p>
        </w:tc>
      </w:tr>
      <w:tr>
        <w:trPr>
          <w:trHeight w:val="37"/>
        </w:trPr>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46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(1,567)</w:t>
            </w: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B Units</w:t>
            </w: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(375)</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12,800</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$ 12,800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620" w:type="dxa"/>
            <w:vAlign w:val="bottom"/>
            <w:tcBorders>
              <w:bottom w:val="single" w:sz="8" w:color="CCEEFF"/>
            </w:tcBorders>
            <w:gridSpan w:val="3"/>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gridSpan w:val="2"/>
            <w:vMerge w:val="continue"/>
            <w:shd w:val="clear" w:color="auto" w:fill="CCEEFF"/>
          </w:tcPr>
          <w:p>
            <w:pPr>
              <w:spacing w:after="0"/>
              <w:rPr>
                <w:sz w:val="18"/>
                <w:szCs w:val="18"/>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4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(21,953)</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(21,953)</w:t>
            </w:r>
          </w:p>
        </w:tc>
        <w:tc>
          <w:tcPr>
            <w:tcW w:w="0" w:type="dxa"/>
            <w:vAlign w:val="bottom"/>
          </w:tcPr>
          <w:p>
            <w:pPr>
              <w:spacing w:after="0"/>
              <w:rPr>
                <w:sz w:val="1"/>
                <w:szCs w:val="1"/>
                <w:color w:val="auto"/>
              </w:rPr>
            </w:pPr>
          </w:p>
        </w:tc>
      </w:tr>
      <w:tr>
        <w:trPr>
          <w:trHeight w:val="37"/>
        </w:trPr>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4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460" w:type="dxa"/>
            <w:vAlign w:val="bottom"/>
            <w:tcBorders>
              <w:right w:val="single" w:sz="8" w:color="CCEEFF"/>
            </w:tcBorders>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Class B Units</w:t>
            </w:r>
          </w:p>
        </w:tc>
        <w:tc>
          <w:tcPr>
            <w:tcW w:w="760" w:type="dxa"/>
            <w:vAlign w:val="bottom"/>
            <w:tcBorders>
              <w:bottom w:val="single" w:sz="8" w:color="CCEEFF"/>
            </w:tcBorders>
            <w:gridSpan w:val="2"/>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98"/>
              </w:rPr>
              <w:t>38,830</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6"/>
                <w:szCs w:val="16"/>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right w:val="single" w:sz="8" w:color="CCEEFF"/>
            </w:tcBorders>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29,271</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$ 29,271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CCEEFF"/>
            </w:tcBorders>
            <w:gridSpan w:val="2"/>
            <w:vMerge w:val="continue"/>
            <w:shd w:val="clear" w:color="auto" w:fill="CCEEFF"/>
          </w:tcPr>
          <w:p>
            <w:pPr>
              <w:spacing w:after="0"/>
              <w:rPr>
                <w:sz w:val="18"/>
                <w:szCs w:val="18"/>
                <w:color w:val="auto"/>
              </w:rPr>
            </w:pPr>
          </w:p>
        </w:tc>
        <w:tc>
          <w:tcPr>
            <w:tcW w:w="620" w:type="dxa"/>
            <w:vAlign w:val="bottom"/>
            <w:tcBorders>
              <w:bottom w:val="single" w:sz="8" w:color="CCEEFF"/>
            </w:tcBorders>
            <w:gridSpan w:val="3"/>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200" w:type="dxa"/>
            <w:vAlign w:val="bottom"/>
            <w:tcBorders>
              <w:bottom w:val="single" w:sz="8" w:color="CCEEFF"/>
            </w:tcBorders>
            <w:gridSpan w:val="2"/>
            <w:vMerge w:val="continue"/>
            <w:shd w:val="clear" w:color="auto" w:fill="CCEEFF"/>
          </w:tcPr>
          <w:p>
            <w:pPr>
              <w:spacing w:after="0"/>
              <w:rPr>
                <w:sz w:val="18"/>
                <w:szCs w:val="18"/>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CCEEFF"/>
            </w:tcBorders>
            <w:gridSpan w:val="2"/>
            <w:vMerge w:val="continue"/>
            <w:shd w:val="clear" w:color="auto" w:fill="CCEEFF"/>
          </w:tcPr>
          <w:p>
            <w:pPr>
              <w:spacing w:after="0"/>
              <w:rPr>
                <w:sz w:val="18"/>
                <w:szCs w:val="18"/>
                <w:color w:val="auto"/>
              </w:rPr>
            </w:pPr>
          </w:p>
        </w:tc>
        <w:tc>
          <w:tcPr>
            <w:tcW w:w="64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60" w:type="dxa"/>
            <w:vAlign w:val="bottom"/>
            <w:tcBorders>
              <w:bottom w:val="single" w:sz="8" w:color="CCEEFF"/>
            </w:tcBorders>
            <w:gridSpan w:val="2"/>
            <w:vMerge w:val="continue"/>
            <w:shd w:val="clear" w:color="auto" w:fill="CCEEFF"/>
          </w:tcPr>
          <w:p>
            <w:pPr>
              <w:spacing w:after="0"/>
              <w:rPr>
                <w:sz w:val="18"/>
                <w:szCs w:val="18"/>
                <w:color w:val="auto"/>
              </w:rPr>
            </w:pPr>
          </w:p>
        </w:tc>
        <w:tc>
          <w:tcPr>
            <w:tcW w:w="540" w:type="dxa"/>
            <w:vAlign w:val="bottom"/>
            <w:tcBorders>
              <w:bottom w:val="single" w:sz="8" w:color="CCEEFF"/>
              <w:right w:val="single" w:sz="8" w:color="CCEEFF"/>
            </w:tcBorders>
            <w:vMerge w:val="continue"/>
            <w:shd w:val="clear" w:color="auto" w:fill="CCEEFF"/>
          </w:tcPr>
          <w:p>
            <w:pPr>
              <w:spacing w:after="0"/>
              <w:rPr>
                <w:sz w:val="18"/>
                <w:szCs w:val="18"/>
                <w:color w:val="auto"/>
              </w:rPr>
            </w:pPr>
          </w:p>
        </w:tc>
        <w:tc>
          <w:tcPr>
            <w:tcW w:w="540" w:type="dxa"/>
            <w:vAlign w:val="bottom"/>
            <w:tcBorders>
              <w:bottom w:val="single" w:sz="8" w:color="CCEEFF"/>
            </w:tcBorders>
            <w:gridSpan w:val="2"/>
            <w:vMerge w:val="continue"/>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9,570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20,853</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30,423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Distributions</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(888)</w:t>
            </w:r>
          </w:p>
        </w:tc>
        <w:tc>
          <w:tcPr>
            <w:tcW w:w="700" w:type="dxa"/>
            <w:vAlign w:val="bottom"/>
            <w:tcBorders>
              <w:bottom w:val="single" w:sz="8" w:color="CCEEFF"/>
              <w:right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(18,110)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(18,998)</w:t>
            </w:r>
          </w:p>
        </w:tc>
        <w:tc>
          <w:tcPr>
            <w:tcW w:w="0" w:type="dxa"/>
            <w:vAlign w:val="bottom"/>
          </w:tcPr>
          <w:p>
            <w:pPr>
              <w:spacing w:after="0"/>
              <w:rPr>
                <w:sz w:val="1"/>
                <w:szCs w:val="1"/>
                <w:color w:val="auto"/>
              </w:rPr>
            </w:pPr>
          </w:p>
        </w:tc>
      </w:tr>
      <w:tr>
        <w:trPr>
          <w:trHeight w:val="180"/>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(5,565)</w:t>
            </w:r>
          </w:p>
        </w:tc>
        <w:tc>
          <w:tcPr>
            <w:tcW w:w="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(5,565)</w:t>
            </w:r>
          </w:p>
        </w:tc>
        <w:tc>
          <w:tcPr>
            <w:tcW w:w="0" w:type="dxa"/>
            <w:vAlign w:val="bottom"/>
          </w:tcPr>
          <w:p>
            <w:pPr>
              <w:spacing w:after="0"/>
              <w:rPr>
                <w:sz w:val="1"/>
                <w:szCs w:val="1"/>
                <w:color w:val="auto"/>
              </w:rPr>
            </w:pPr>
          </w:p>
        </w:tc>
      </w:tr>
      <w:tr>
        <w:trPr>
          <w:trHeight w:val="188"/>
        </w:trPr>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Class B Units</w:t>
            </w:r>
          </w:p>
        </w:tc>
        <w:tc>
          <w:tcPr>
            <w:tcW w:w="7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and</w:t>
            </w:r>
          </w:p>
        </w:tc>
        <w:tc>
          <w:tcPr>
            <w:tcW w:w="6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shares issued in</w:t>
            </w: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the Business</w:t>
            </w:r>
          </w:p>
        </w:tc>
        <w:tc>
          <w:tcPr>
            <w:tcW w:w="6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Combination</w:t>
            </w: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63,738,563</w:t>
            </w:r>
          </w:p>
        </w:tc>
        <w:tc>
          <w:tcPr>
            <w:tcW w:w="80" w:type="dxa"/>
            <w:vAlign w:val="bottom"/>
            <w:shd w:val="clear" w:color="auto" w:fill="CCEEFF"/>
          </w:tcPr>
          <w:p>
            <w:pPr>
              <w:spacing w:after="0"/>
              <w:rPr>
                <w:sz w:val="12"/>
                <w:szCs w:val="12"/>
                <w:color w:val="auto"/>
              </w:rPr>
            </w:pPr>
          </w:p>
        </w:tc>
        <w:tc>
          <w:tcPr>
            <w:tcW w:w="6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65,502,347</w:t>
            </w:r>
          </w:p>
        </w:tc>
        <w:tc>
          <w:tcPr>
            <w:tcW w:w="660" w:type="dxa"/>
            <w:vAlign w:val="bottom"/>
            <w:tcBorders>
              <w:right w:val="single" w:sz="8" w:color="CCEEFF"/>
            </w:tcBorders>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tcBorders>
              <w:right w:val="single" w:sz="8" w:color="CCEEFF"/>
            </w:tcBorders>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(20,118)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tcBorders>
              <w:right w:val="single" w:sz="8" w:color="CCEEFF"/>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986</w:t>
            </w:r>
          </w:p>
        </w:tc>
        <w:tc>
          <w:tcPr>
            <w:tcW w:w="900" w:type="dxa"/>
            <w:vAlign w:val="bottom"/>
            <w:tcBorders>
              <w:right w:val="single" w:sz="8" w:color="CCEEFF"/>
            </w:tcBorders>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(19,119)</w:t>
            </w:r>
          </w:p>
        </w:tc>
        <w:tc>
          <w:tcPr>
            <w:tcW w:w="720" w:type="dxa"/>
            <w:vAlign w:val="bottom"/>
            <w:tcBorders>
              <w:right w:val="single" w:sz="8" w:color="CCEEFF"/>
            </w:tcBorders>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(44,928)</w:t>
            </w:r>
          </w:p>
        </w:tc>
        <w:tc>
          <w:tcPr>
            <w:tcW w:w="700" w:type="dxa"/>
            <w:vAlign w:val="bottom"/>
            <w:tcBorders>
              <w:right w:val="single" w:sz="8" w:color="CCEEFF"/>
            </w:tcBorders>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(20,674)</w:t>
            </w: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(84,721)</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(Note 6)</w:t>
            </w:r>
          </w:p>
        </w:tc>
        <w:tc>
          <w:tcPr>
            <w:tcW w:w="6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3"/>
            <w:vMerge w:val="continue"/>
            <w:shd w:val="clear" w:color="auto" w:fill="CCEEFF"/>
          </w:tcPr>
          <w:p>
            <w:pPr>
              <w:spacing w:after="0"/>
              <w:rPr>
                <w:sz w:val="17"/>
                <w:szCs w:val="17"/>
                <w:color w:val="auto"/>
              </w:rPr>
            </w:pPr>
          </w:p>
        </w:tc>
        <w:tc>
          <w:tcPr>
            <w:tcW w:w="780" w:type="dxa"/>
            <w:vAlign w:val="bottom"/>
            <w:tcBorders>
              <w:bottom w:val="single" w:sz="8" w:color="CCEEFF"/>
              <w:right w:val="single" w:sz="8" w:color="CCEEFF"/>
            </w:tcBorders>
            <w:gridSpan w:val="2"/>
            <w:vMerge w:val="continue"/>
            <w:shd w:val="clear" w:color="auto" w:fill="CCEEFF"/>
          </w:tcPr>
          <w:p>
            <w:pPr>
              <w:spacing w:after="0"/>
              <w:rPr>
                <w:sz w:val="17"/>
                <w:szCs w:val="17"/>
                <w:color w:val="auto"/>
              </w:rPr>
            </w:pPr>
          </w:p>
        </w:tc>
        <w:tc>
          <w:tcPr>
            <w:tcW w:w="660" w:type="dxa"/>
            <w:vAlign w:val="bottom"/>
            <w:tcBorders>
              <w:bottom w:val="single" w:sz="8" w:color="CCEEFF"/>
              <w:right w:val="single" w:sz="8" w:color="CCEEFF"/>
            </w:tcBorders>
            <w:gridSpan w:val="3"/>
            <w:vMerge w:val="continue"/>
            <w:shd w:val="clear" w:color="auto" w:fill="CCEEFF"/>
          </w:tcPr>
          <w:p>
            <w:pPr>
              <w:spacing w:after="0"/>
              <w:rPr>
                <w:sz w:val="17"/>
                <w:szCs w:val="17"/>
                <w:color w:val="auto"/>
              </w:rPr>
            </w:pPr>
          </w:p>
        </w:tc>
        <w:tc>
          <w:tcPr>
            <w:tcW w:w="720" w:type="dxa"/>
            <w:vAlign w:val="bottom"/>
            <w:tcBorders>
              <w:bottom w:val="single" w:sz="8" w:color="CCEEFF"/>
              <w:right w:val="single" w:sz="8" w:color="CCEEFF"/>
            </w:tcBorders>
            <w:gridSpan w:val="4"/>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900" w:type="dxa"/>
            <w:vAlign w:val="bottom"/>
            <w:tcBorders>
              <w:bottom w:val="single" w:sz="8" w:color="CCEEFF"/>
              <w:right w:val="single" w:sz="8" w:color="CCEEFF"/>
            </w:tcBorders>
            <w:gridSpan w:val="4"/>
            <w:vMerge w:val="continue"/>
            <w:shd w:val="clear" w:color="auto" w:fill="CCEEFF"/>
          </w:tcPr>
          <w:p>
            <w:pPr>
              <w:spacing w:after="0"/>
              <w:rPr>
                <w:sz w:val="17"/>
                <w:szCs w:val="17"/>
                <w:color w:val="auto"/>
              </w:rPr>
            </w:pPr>
          </w:p>
        </w:tc>
        <w:tc>
          <w:tcPr>
            <w:tcW w:w="720" w:type="dxa"/>
            <w:vAlign w:val="bottom"/>
            <w:tcBorders>
              <w:bottom w:val="single" w:sz="8" w:color="CCEEFF"/>
              <w:right w:val="single" w:sz="8" w:color="CCEEFF"/>
            </w:tcBorders>
            <w:gridSpan w:val="4"/>
            <w:vMerge w:val="continue"/>
            <w:shd w:val="clear" w:color="auto" w:fill="CCEEFF"/>
          </w:tcPr>
          <w:p>
            <w:pPr>
              <w:spacing w:after="0"/>
              <w:rPr>
                <w:sz w:val="17"/>
                <w:szCs w:val="17"/>
                <w:color w:val="auto"/>
              </w:rPr>
            </w:pPr>
          </w:p>
        </w:tc>
        <w:tc>
          <w:tcPr>
            <w:tcW w:w="700" w:type="dxa"/>
            <w:vAlign w:val="bottom"/>
            <w:tcBorders>
              <w:bottom w:val="single" w:sz="8" w:color="CCEEFF"/>
              <w:right w:val="single" w:sz="8" w:color="CCEEFF"/>
            </w:tcBorders>
            <w:gridSpan w:val="3"/>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for acquisitions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1,938,798</w:t>
            </w:r>
          </w:p>
        </w:tc>
        <w:tc>
          <w:tcPr>
            <w:tcW w:w="80" w:type="dxa"/>
            <w:vAlign w:val="bottom"/>
          </w:tcPr>
          <w:p>
            <w:pPr>
              <w:spacing w:after="0"/>
              <w:rPr>
                <w:sz w:val="12"/>
                <w:szCs w:val="12"/>
                <w:color w:val="auto"/>
              </w:rPr>
            </w:pPr>
          </w:p>
        </w:tc>
        <w:tc>
          <w:tcPr>
            <w:tcW w:w="6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4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12,721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12,722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16,590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29,312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(Note 7)</w:t>
            </w: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4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right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60,383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60,383</w:t>
            </w:r>
          </w:p>
        </w:tc>
        <w:tc>
          <w:tcPr>
            <w:tcW w:w="2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76,757</w:t>
            </w: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98"/>
              </w:rPr>
              <w:t>15,078</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right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65,677,361</w:t>
            </w:r>
          </w:p>
        </w:tc>
        <w:tc>
          <w:tcPr>
            <w:tcW w:w="80" w:type="dxa"/>
            <w:vAlign w:val="bottom"/>
          </w:tcPr>
          <w:p>
            <w:pPr>
              <w:spacing w:after="0"/>
              <w:rPr>
                <w:sz w:val="16"/>
                <w:szCs w:val="16"/>
                <w:color w:val="auto"/>
              </w:rPr>
            </w:pPr>
          </w:p>
        </w:tc>
        <w:tc>
          <w:tcPr>
            <w:tcW w:w="6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$ 7</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65,502,347</w:t>
            </w:r>
          </w:p>
        </w:tc>
        <w:tc>
          <w:tcPr>
            <w:tcW w:w="6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$ 7</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2,173</w:t>
            </w:r>
          </w:p>
        </w:tc>
        <w:tc>
          <w:tcPr>
            <w:tcW w:w="140" w:type="dxa"/>
            <w:vAlign w:val="bottom"/>
          </w:tcPr>
          <w:p>
            <w:pPr>
              <w:spacing w:after="0"/>
              <w:rPr>
                <w:sz w:val="16"/>
                <w:szCs w:val="16"/>
                <w:color w:val="auto"/>
              </w:rPr>
            </w:pPr>
          </w:p>
        </w:tc>
        <w:tc>
          <w:tcPr>
            <w:tcW w:w="620" w:type="dxa"/>
            <w:vAlign w:val="bottom"/>
            <w:gridSpan w:val="3"/>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61,369</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63,556</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68,384</w:t>
            </w:r>
          </w:p>
        </w:tc>
        <w:tc>
          <w:tcPr>
            <w:tcW w:w="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131,940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9" w:name="page140"/>
    <w:bookmarkEnd w:id="13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57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$ 38,830</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of warrant liability</w:t>
            </w:r>
          </w:p>
        </w:tc>
        <w:tc>
          <w:tcPr>
            <w:tcW w:w="9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tcBorders>
              <w:right w:val="single" w:sz="8" w:color="CCEEFF"/>
            </w:tcBorders>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(5,129)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(5,129)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repayments of secured line of credit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0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(15,382)</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(1,567)</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55,201</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(21,969)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7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14,951</w:t>
            </w:r>
          </w:p>
        </w:tc>
        <w:tc>
          <w:tcPr>
            <w:tcW w:w="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(20,803)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16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90"/>
        </w:trPr>
        <w:tc>
          <w:tcPr>
            <w:tcW w:w="130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1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$ 19,919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57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8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432"/>
        </w:trPr>
        <w:tc>
          <w:tcPr>
            <w:tcW w:w="1300" w:type="dxa"/>
            <w:vAlign w:val="bottom"/>
          </w:tcPr>
          <w:p>
            <w:pPr>
              <w:spacing w:after="0"/>
              <w:rPr>
                <w:sz w:val="24"/>
                <w:szCs w:val="24"/>
                <w:color w:val="auto"/>
              </w:rPr>
            </w:pPr>
          </w:p>
        </w:tc>
        <w:tc>
          <w:tcPr>
            <w:tcW w:w="75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7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F-9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-8151495</wp:posOffset>
            </wp:positionV>
            <wp:extent cx="1028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5055235</wp:posOffset>
            </wp:positionH>
            <wp:positionV relativeFrom="paragraph">
              <wp:posOffset>-8151495</wp:posOffset>
            </wp:positionV>
            <wp:extent cx="102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-8151495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r>
      <w:tr>
        <w:trPr>
          <w:trHeight w:val="51"/>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r>
      <w:tr>
        <w:trPr>
          <w:trHeight w:val="227"/>
        </w:trPr>
        <w:tc>
          <w:tcPr>
            <w:tcW w:w="5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59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r>
      <w:tr>
        <w:trPr>
          <w:trHeight w:val="311"/>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gridSpan w:val="2"/>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$157</w:t>
            </w: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360" w:type="dxa"/>
            <w:vAlign w:val="bottom"/>
          </w:tcPr>
          <w:p>
            <w:pPr>
              <w:spacing w:after="0"/>
              <w:rPr>
                <w:sz w:val="23"/>
                <w:szCs w:val="23"/>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$118</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24"/>
        </w:trPr>
        <w:tc>
          <w:tcPr>
            <w:tcW w:w="5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r>
      <w:tr>
        <w:trPr>
          <w:trHeight w:val="27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activities</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 Business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4"/>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 Combination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$151,255</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r>
      <w:tr>
        <w:trPr>
          <w:trHeight w:val="27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5071745</wp:posOffset>
            </wp:positionH>
            <wp:positionV relativeFrom="paragraph">
              <wp:posOffset>-2999740</wp:posOffset>
            </wp:positionV>
            <wp:extent cx="2228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-2999740</wp:posOffset>
            </wp:positionV>
            <wp:extent cx="22288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-2999740</wp:posOffset>
            </wp:positionV>
            <wp:extent cx="1111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3" w:lineRule="exact"/>
        <w:rPr>
          <w:sz w:val="20"/>
          <w:szCs w:val="20"/>
          <w:color w:val="auto"/>
        </w:rPr>
      </w:pPr>
    </w:p>
    <w:p>
      <w:pPr>
        <w:ind w:left="640" w:hanging="348"/>
        <w:spacing w:after="0"/>
        <w:tabs>
          <w:tab w:leader="none" w:pos="64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75"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have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is the senior management of the Company;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is the larger entity based on historical operating activity and has the larger employee base.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Prior to the accounting adoption, the Company reserved an allowance for all balances outstanding in excess of ninety days.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doubtful accounts: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9"/>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6"/>
        </w:trPr>
        <w:tc>
          <w:tcPr>
            <w:tcW w:w="6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9"/>
                <w:szCs w:val="19"/>
                <w:color w:val="auto"/>
              </w:rPr>
            </w:pPr>
          </w:p>
        </w:tc>
      </w:tr>
      <w:tr>
        <w:trPr>
          <w:trHeight w:val="50"/>
        </w:trPr>
        <w:tc>
          <w:tcPr>
            <w:tcW w:w="6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$734</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Addition to allowance</w:t>
            </w: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5,487</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1,271</w:t>
            </w:r>
          </w:p>
        </w:tc>
        <w:tc>
          <w:tcPr>
            <w:tcW w:w="30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r>
      <w:tr>
        <w:trPr>
          <w:trHeight w:val="54"/>
        </w:trPr>
        <w:tc>
          <w:tcPr>
            <w:tcW w:w="622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w:t>
            </w:r>
          </w:p>
        </w:tc>
        <w:tc>
          <w:tcPr>
            <w:tcW w:w="3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c>
          <w:tcPr>
            <w:tcW w:w="3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914</w:t>
            </w:r>
          </w:p>
        </w:tc>
      </w:tr>
      <w:tr>
        <w:trPr>
          <w:trHeight w:val="20"/>
        </w:trPr>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-847725</wp:posOffset>
            </wp:positionV>
            <wp:extent cx="18859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-847725</wp:posOffset>
            </wp:positionV>
            <wp:extent cx="18859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-847725</wp:posOffset>
            </wp:positionV>
            <wp:extent cx="946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Security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Effective January 1, 2021, the Company accounts for its leases under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 xml:space="preserve">The Company continues to account for leases in the prior period financial statements under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 Equity</w:t>
      </w:r>
      <w:r>
        <w:rPr>
          <w:rFonts w:ascii="Times New Roman" w:cs="Times New Roman" w:eastAsia="Times New Roman" w:hAnsi="Times New Roman"/>
          <w:sz w:val="18"/>
          <w:szCs w:val="18"/>
          <w:color w:val="auto"/>
        </w:rPr>
        <w:t>, and concluded they do not meet the criteria to be classified in stockholders’ equity. Specifically,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31"/>
        </w:trPr>
        <w:tc>
          <w:tcPr>
            <w:tcW w:w="6180" w:type="dxa"/>
            <w:vAlign w:val="bottom"/>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Revenues recognized over time</w:t>
            </w:r>
            <w:r>
              <w:rPr>
                <w:rFonts w:ascii="Times New Roman" w:cs="Times New Roman" w:eastAsia="Times New Roman" w:hAnsi="Times New Roman"/>
                <w:sz w:val="29"/>
                <w:szCs w:val="29"/>
                <w:color w:val="auto"/>
                <w:vertAlign w:val="superscript"/>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$193,146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$155,363</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$143,490</w:t>
            </w:r>
          </w:p>
        </w:tc>
      </w:tr>
      <w:tr>
        <w:trPr>
          <w:trHeight w:val="257"/>
        </w:trPr>
        <w:tc>
          <w:tcPr>
            <w:tcW w:w="61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Revenues recognized at a point in time</w:t>
            </w:r>
            <w:r>
              <w:rPr>
                <w:rFonts w:ascii="Times New Roman" w:cs="Times New Roman" w:eastAsia="Times New Roman" w:hAnsi="Times New Roman"/>
                <w:sz w:val="29"/>
                <w:szCs w:val="29"/>
                <w:color w:val="auto"/>
                <w:vertAlign w:val="superscript"/>
              </w:rPr>
              <w:t>(2)</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61"/>
        </w:trPr>
        <w:tc>
          <w:tcPr>
            <w:tcW w:w="61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161,791</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144,232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-650875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-650875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-650875</wp:posOffset>
            </wp:positionV>
            <wp:extent cx="342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listing subscription services, featured listings and other advertising products.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U.S. and foreign revenues (in thousands):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5"/>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$130,373</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$132,077</w:t>
            </w:r>
          </w:p>
        </w:tc>
      </w:tr>
      <w:tr>
        <w:trPr>
          <w:trHeight w:val="25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Foreign revenues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w:t>
            </w: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r>
      <w:tr>
        <w:trPr>
          <w:trHeight w:val="61"/>
        </w:trPr>
        <w:tc>
          <w:tcPr>
            <w:tcW w:w="61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193,146</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161,791</w:t>
            </w: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144,232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-650875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-650875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-650875</wp:posOffset>
            </wp:positionV>
            <wp:extent cx="342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and credit card processing costs.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Costs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Other expense consists primarily of transaction costs related to the warrants, political contributions, interest expense, legal settlements, financing fees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its subsidiaries operate in one business segment.</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the weighted-average number of shares of Class A Common Stock outstanding during the period.</w:t>
      </w:r>
    </w:p>
    <w:p>
      <w:pPr>
        <w:spacing w:after="0" w:line="9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Prior to December 31, 2021, the Company was an “emerging growth company” (EGC) as defined in the Jumpstart Our Business Startups Act, (JOBS Act), and elected to take advantage of certain exemptions from various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related costs, net for the year ended December 31, 2021 are as follows (in thousands):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51"/>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$ 9,229</w:t>
            </w:r>
          </w:p>
        </w:tc>
        <w:tc>
          <w:tcPr>
            <w:tcW w:w="440" w:type="dxa"/>
            <w:vAlign w:val="bottom"/>
            <w:tcBorders>
              <w:bottom w:val="single" w:sz="8" w:color="CCEEFF"/>
            </w:tcBorders>
            <w:shd w:val="clear" w:color="auto" w:fill="CCEEFF"/>
          </w:tcPr>
          <w:p>
            <w:pPr>
              <w:spacing w:after="0"/>
              <w:rPr>
                <w:sz w:val="24"/>
                <w:szCs w:val="24"/>
                <w:color w:val="auto"/>
              </w:rPr>
            </w:pP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2,217</w:t>
            </w:r>
          </w:p>
        </w:tc>
        <w:tc>
          <w:tcPr>
            <w:tcW w:w="44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c>
          <w:tcPr>
            <w:tcW w:w="440" w:type="dxa"/>
            <w:vAlign w:val="bottom"/>
            <w:tcBorders>
              <w:bottom w:val="single" w:sz="8" w:color="CCEEFF"/>
            </w:tcBorders>
            <w:shd w:val="clear" w:color="auto" w:fill="CCEEFF"/>
          </w:tcPr>
          <w:p>
            <w:pPr>
              <w:spacing w:after="0"/>
              <w:rPr>
                <w:sz w:val="24"/>
                <w:szCs w:val="24"/>
                <w:color w:val="auto"/>
              </w:rPr>
            </w:pPr>
          </w:p>
        </w:tc>
      </w:tr>
      <w:tr>
        <w:trPr>
          <w:trHeight w:val="25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11,534</w:t>
            </w:r>
          </w:p>
        </w:tc>
        <w:tc>
          <w:tcPr>
            <w:tcW w:w="44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2021, future minimum payments for the next five years and thereafter are as follows (in thousands):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80" w:type="dxa"/>
            <w:vAlign w:val="bottom"/>
          </w:tcPr>
          <w:p>
            <w:pPr>
              <w:spacing w:after="0"/>
              <w:rPr>
                <w:sz w:val="23"/>
                <w:szCs w:val="23"/>
                <w:color w:val="auto"/>
              </w:rPr>
            </w:pPr>
          </w:p>
        </w:tc>
      </w:tr>
      <w:tr>
        <w:trPr>
          <w:trHeight w:val="54"/>
        </w:trPr>
        <w:tc>
          <w:tcPr>
            <w:tcW w:w="7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3"/>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7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64,463</w:t>
            </w:r>
          </w:p>
        </w:tc>
        <w:tc>
          <w:tcPr>
            <w:tcW w:w="80" w:type="dxa"/>
            <w:vAlign w:val="bottom"/>
            <w:tcBorders>
              <w:top w:val="single" w:sz="8" w:color="CCEEFF"/>
            </w:tcBorders>
          </w:tcPr>
          <w:p>
            <w:pPr>
              <w:spacing w:after="0"/>
              <w:rPr>
                <w:sz w:val="24"/>
                <w:szCs w:val="24"/>
                <w:color w:val="auto"/>
              </w:rPr>
            </w:pPr>
          </w:p>
        </w:tc>
      </w:tr>
      <w:tr>
        <w:trPr>
          <w:trHeight w:val="54"/>
        </w:trPr>
        <w:tc>
          <w:tcPr>
            <w:tcW w:w="770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(19,623)</w:t>
            </w:r>
          </w:p>
        </w:tc>
      </w:tr>
      <w:tr>
        <w:trPr>
          <w:trHeight w:val="270"/>
        </w:trPr>
        <w:tc>
          <w:tcPr>
            <w:tcW w:w="7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Borders>
              <w:top w:val="single" w:sz="8" w:color="CCEEFF"/>
            </w:tcBorders>
          </w:tcPr>
          <w:p>
            <w:pPr>
              <w:spacing w:after="0"/>
              <w:rPr>
                <w:sz w:val="23"/>
                <w:szCs w:val="23"/>
                <w:color w:val="auto"/>
              </w:rPr>
            </w:pPr>
          </w:p>
        </w:tc>
      </w:tr>
      <w:tr>
        <w:trPr>
          <w:trHeight w:val="20"/>
        </w:trPr>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-2099945</wp:posOffset>
            </wp:positionV>
            <wp:extent cx="274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640" w:hanging="348"/>
        <w:spacing w:after="0"/>
        <w:tabs>
          <w:tab w:leader="none" w:pos="6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51"/>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$16,750</w:t>
            </w:r>
          </w:p>
        </w:tc>
        <w:tc>
          <w:tcPr>
            <w:tcW w:w="280" w:type="dxa"/>
            <w:vAlign w:val="bottom"/>
          </w:tcPr>
          <w:p>
            <w:pPr>
              <w:spacing w:after="0"/>
              <w:rPr>
                <w:sz w:val="23"/>
                <w:szCs w:val="23"/>
                <w:color w:val="auto"/>
              </w:rPr>
            </w:pP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4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27,460</w:t>
            </w:r>
          </w:p>
        </w:tc>
        <w:tc>
          <w:tcPr>
            <w:tcW w:w="280" w:type="dxa"/>
            <w:vAlign w:val="bottom"/>
          </w:tcPr>
          <w:p>
            <w:pPr>
              <w:spacing w:after="0"/>
              <w:rPr>
                <w:sz w:val="23"/>
                <w:szCs w:val="23"/>
                <w:color w:val="auto"/>
              </w:rPr>
            </w:pPr>
          </w:p>
        </w:tc>
      </w:tr>
      <w:tr>
        <w:trPr>
          <w:trHeight w:val="21"/>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-847725</wp:posOffset>
            </wp:positionV>
            <wp:extent cx="2654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-847725</wp:posOffset>
            </wp:positionV>
            <wp:extent cx="137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10"/>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7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50"/>
        </w:trPr>
        <w:tc>
          <w:tcPr>
            <w:tcW w:w="53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acquired</w:t>
            </w: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100,750</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93,228</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(84,000)</w:t>
            </w:r>
          </w:p>
        </w:tc>
        <w:tc>
          <w:tcPr>
            <w:tcW w:w="28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(82,518)</w:t>
            </w: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16, 2021</w:t>
            </w:r>
          </w:p>
        </w:tc>
      </w:tr>
      <w:tr>
        <w:trPr>
          <w:trHeight w:val="50"/>
        </w:trPr>
        <w:tc>
          <w:tcPr>
            <w:tcW w:w="62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23"/>
                <w:szCs w:val="23"/>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$20.55</w:t>
            </w:r>
          </w:p>
        </w:tc>
      </w:tr>
      <w:tr>
        <w:trPr>
          <w:trHeight w:val="54"/>
        </w:trPr>
        <w:tc>
          <w:tcPr>
            <w:tcW w:w="6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23"/>
                <w:szCs w:val="23"/>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5.00</w:t>
            </w:r>
          </w:p>
        </w:tc>
      </w:tr>
      <w:tr>
        <w:trPr>
          <w:trHeight w:val="54"/>
        </w:trPr>
        <w:tc>
          <w:tcPr>
            <w:tcW w:w="6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r>
      <w:tr>
        <w:trPr>
          <w:trHeight w:val="54"/>
        </w:trPr>
        <w:tc>
          <w:tcPr>
            <w:tcW w:w="6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fair value of the Private Placement Warrants was $10.7 million and $93.2 million as of December 31, 2021 and June 16, 2021, respectively.</w:t>
      </w:r>
    </w:p>
    <w:p>
      <w:pPr>
        <w:spacing w:after="0" w:line="5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The Warrants were accounted for as liabilities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discussed in Note 1, on June 16, 2021, the Company consummated the Business Combination pursuant to the Merger Agreement.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2020" w:right="1300"/>
        <w:spacing w:after="0" w:line="261" w:lineRule="auto"/>
        <w:rPr>
          <w:sz w:val="20"/>
          <w:szCs w:val="20"/>
          <w:color w:val="auto"/>
        </w:rPr>
      </w:pPr>
      <w:r>
        <w:rPr>
          <w:rFonts w:ascii="Times New Roman" w:cs="Times New Roman" w:eastAsia="Times New Roman" w:hAnsi="Times New Roman"/>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2" w:lineRule="exact"/>
        <w:rPr>
          <w:sz w:val="20"/>
          <w:szCs w:val="20"/>
          <w:color w:val="auto"/>
        </w:rPr>
      </w:pPr>
    </w:p>
    <w:p>
      <w:pPr>
        <w:ind w:left="2000" w:hanging="348"/>
        <w:spacing w:after="0"/>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2000" w:right="1300" w:hanging="348"/>
        <w:spacing w:after="0" w:line="254" w:lineRule="auto"/>
        <w:tabs>
          <w:tab w:leader="none" w:pos="2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Business Combination</w:t>
            </w:r>
          </w:p>
        </w:tc>
      </w:tr>
      <w:tr>
        <w:trPr>
          <w:trHeight w:val="50"/>
        </w:trPr>
        <w:tc>
          <w:tcPr>
            <w:tcW w:w="1300" w:type="dxa"/>
            <w:vAlign w:val="bottom"/>
          </w:tcPr>
          <w:p>
            <w:pPr>
              <w:spacing w:after="0"/>
              <w:rPr>
                <w:sz w:val="4"/>
                <w:szCs w:val="4"/>
                <w:color w:val="auto"/>
              </w:rPr>
            </w:pPr>
          </w:p>
        </w:tc>
        <w:tc>
          <w:tcPr>
            <w:tcW w:w="70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254,203</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325,000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(44,052)</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3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4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(193,978)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1,053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4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(128,567)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Times New Roman" w:cs="Times New Roman" w:eastAsia="Times New Roman" w:hAnsi="Times New Roman"/>
                <w:sz w:val="18"/>
                <w:szCs w:val="18"/>
                <w:color w:val="auto"/>
              </w:rPr>
              <w:t>F-22</w:t>
            </w:r>
          </w:p>
        </w:tc>
        <w:tc>
          <w:tcPr>
            <w:tcW w:w="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1"/>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10,012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7"/>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tcPr>
          <w:p>
            <w:pPr>
              <w:spacing w:after="0"/>
              <w:rPr>
                <w:sz w:val="22"/>
                <w:szCs w:val="22"/>
                <w:color w:val="auto"/>
              </w:rPr>
            </w:pPr>
          </w:p>
        </w:tc>
      </w:tr>
      <w:tr>
        <w:trPr>
          <w:trHeight w:val="41"/>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20" w:type="dxa"/>
            <w:vAlign w:val="bottom"/>
          </w:tcPr>
          <w:p>
            <w:pPr>
              <w:spacing w:after="0"/>
              <w:rPr>
                <w:sz w:val="24"/>
                <w:szCs w:val="24"/>
                <w:color w:val="auto"/>
              </w:rPr>
            </w:pPr>
          </w:p>
        </w:tc>
      </w:tr>
      <w:tr>
        <w:trPr>
          <w:trHeight w:val="40"/>
        </w:trPr>
        <w:tc>
          <w:tcPr>
            <w:tcW w:w="7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129,240,910</w:t>
            </w:r>
          </w:p>
        </w:tc>
        <w:tc>
          <w:tcPr>
            <w:tcW w:w="120" w:type="dxa"/>
            <w:vAlign w:val="bottom"/>
          </w:tcPr>
          <w:p>
            <w:pPr>
              <w:spacing w:after="0"/>
              <w:rPr>
                <w:sz w:val="23"/>
                <w:szCs w:val="23"/>
                <w:color w:val="auto"/>
              </w:rPr>
            </w:pPr>
          </w:p>
        </w:tc>
      </w:tr>
      <w:tr>
        <w:trPr>
          <w:trHeight w:val="21"/>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3"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76" w:lineRule="exact"/>
        <w:rPr>
          <w:sz w:val="20"/>
          <w:szCs w:val="20"/>
          <w:color w:val="auto"/>
        </w:rPr>
      </w:pPr>
    </w:p>
    <w:p>
      <w:pPr>
        <w:ind w:left="640" w:hanging="348"/>
        <w:spacing w:after="0"/>
        <w:tabs>
          <w:tab w:leader="none" w:pos="64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75"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5349240" cy="2317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$12,000</w:t>
            </w:r>
          </w:p>
        </w:tc>
        <w:tc>
          <w:tcPr>
            <w:tcW w:w="60" w:type="dxa"/>
            <w:vAlign w:val="bottom"/>
          </w:tcPr>
          <w:p>
            <w:pPr>
              <w:spacing w:after="0"/>
              <w:rPr>
                <w:sz w:val="20"/>
                <w:szCs w:val="20"/>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Share consideration</w:t>
            </w:r>
            <w:r>
              <w:rPr>
                <w:rFonts w:ascii="Times New Roman" w:cs="Times New Roman" w:eastAsia="Times New Roman" w:hAnsi="Times New Roman"/>
                <w:sz w:val="28"/>
                <w:szCs w:val="28"/>
                <w:color w:val="auto"/>
                <w:vertAlign w:val="superscript"/>
              </w:rPr>
              <w:t>(1)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61"/>
        </w:trPr>
        <w:tc>
          <w:tcPr>
            <w:tcW w:w="77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60" w:type="dxa"/>
            <w:vAlign w:val="bottom"/>
          </w:tcPr>
          <w:p>
            <w:pPr>
              <w:spacing w:after="0"/>
              <w:rPr>
                <w:sz w:val="23"/>
                <w:szCs w:val="23"/>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
        </w:trPr>
        <w:tc>
          <w:tcPr>
            <w:tcW w:w="7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38"/>
        </w:trPr>
        <w:tc>
          <w:tcPr>
            <w:tcW w:w="77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7"/>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Assets Acquired and Liabilities Assumed:</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5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7"/>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7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1"/>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61"/>
        </w:trPr>
        <w:tc>
          <w:tcPr>
            <w:tcW w:w="77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7"/>
        </w:trPr>
        <w:tc>
          <w:tcPr>
            <w:tcW w:w="77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5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0"/>
        </w:trPr>
        <w:tc>
          <w:tcPr>
            <w:tcW w:w="7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43"/>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60" w:type="dxa"/>
            <w:vAlign w:val="bottom"/>
          </w:tcPr>
          <w:p>
            <w:pPr>
              <w:spacing w:after="0"/>
              <w:rPr>
                <w:sz w:val="23"/>
                <w:szCs w:val="23"/>
                <w:color w:val="auto"/>
              </w:rPr>
            </w:pPr>
          </w:p>
        </w:tc>
      </w:tr>
      <w:tr>
        <w:trPr>
          <w:trHeight w:val="21"/>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9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19685</wp:posOffset>
            </wp:positionV>
            <wp:extent cx="5349240" cy="240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76"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70"/>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r>
      <w:tr>
        <w:trPr>
          <w:trHeight w:val="20"/>
        </w:trPr>
        <w:tc>
          <w:tcPr>
            <w:tcW w:w="7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65"/>
        </w:trPr>
        <w:tc>
          <w:tcPr>
            <w:tcW w:w="7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60" w:type="dxa"/>
            <w:vAlign w:val="bottom"/>
            <w:tcBorders>
              <w:right w:val="single" w:sz="8" w:color="CCEEFF"/>
            </w:tcBorders>
            <w:shd w:val="clear" w:color="auto" w:fill="CCEEFF"/>
          </w:tcPr>
          <w:p>
            <w:pPr>
              <w:spacing w:after="0"/>
              <w:rPr>
                <w:sz w:val="24"/>
                <w:szCs w:val="24"/>
                <w:color w:val="auto"/>
              </w:rPr>
            </w:pP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Estimated Assets Acquired:</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54"/>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54"/>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304"/>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48"/>
        </w:trPr>
        <w:tc>
          <w:tcPr>
            <w:tcW w:w="7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9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r>
      <w:tr>
        <w:trPr>
          <w:trHeight w:val="27"/>
        </w:trPr>
        <w:tc>
          <w:tcPr>
            <w:tcW w:w="78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recorded within other current liabilities on the Company’s consolidated balance sheets.</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20" w:firstLine="360"/>
        <w:spacing w:after="0" w:line="261" w:lineRule="auto"/>
        <w:rPr>
          <w:sz w:val="20"/>
          <w:szCs w:val="20"/>
          <w:color w:val="auto"/>
        </w:rPr>
      </w:pPr>
      <w:r>
        <w:rPr>
          <w:rFonts w:ascii="Times New Roman" w:cs="Times New Roman" w:eastAsia="Times New Roman" w:hAnsi="Times New Roman"/>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76" w:lineRule="exact"/>
        <w:rPr>
          <w:sz w:val="20"/>
          <w:szCs w:val="20"/>
          <w:color w:val="auto"/>
        </w:rPr>
      </w:pPr>
    </w:p>
    <w:p>
      <w:pPr>
        <w:ind w:left="1640" w:hanging="348"/>
        <w:spacing w:after="0"/>
        <w:tabs>
          <w:tab w:leader="none" w:pos="16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48" w:lineRule="exact"/>
        <w:rPr>
          <w:rFonts w:ascii="Times New Roman" w:cs="Times New Roman" w:eastAsia="Times New Roman" w:hAnsi="Times New Roman"/>
          <w:sz w:val="18"/>
          <w:szCs w:val="18"/>
          <w:b w:val="1"/>
          <w:bCs w:val="1"/>
          <w:color w:val="auto"/>
        </w:rPr>
      </w:pPr>
    </w:p>
    <w:p>
      <w:pPr>
        <w:ind w:left="1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changes in goodwill for the year ended December 31, 2021 is as follows (in thousands):</w:t>
      </w:r>
    </w:p>
    <w:p>
      <w:pPr>
        <w:spacing w:after="0" w:line="178"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45,295</w:t>
            </w:r>
          </w:p>
        </w:tc>
        <w:tc>
          <w:tcPr>
            <w:tcW w:w="0" w:type="dxa"/>
            <w:vAlign w:val="bottom"/>
          </w:tcPr>
          <w:p>
            <w:pPr>
              <w:spacing w:after="0"/>
              <w:rPr>
                <w:sz w:val="1"/>
                <w:szCs w:val="1"/>
                <w:color w:val="auto"/>
              </w:rPr>
            </w:pPr>
          </w:p>
        </w:tc>
      </w:tr>
      <w:tr>
        <w:trPr>
          <w:trHeight w:val="20"/>
        </w:trPr>
        <w:tc>
          <w:tcPr>
            <w:tcW w:w="7100" w:type="dxa"/>
            <w:vAlign w:val="bottom"/>
            <w:gridSpan w:val="18"/>
            <w:vMerge w:val="restart"/>
          </w:tcPr>
          <w:p>
            <w:pPr>
              <w:ind w:left="36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00" w:type="dxa"/>
            <w:vAlign w:val="bottom"/>
            <w:gridSpan w:val="18"/>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11"/>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4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Gross Intangible Assets</w:t>
            </w:r>
          </w:p>
        </w:tc>
        <w:tc>
          <w:tcPr>
            <w:tcW w:w="140" w:type="dxa"/>
            <w:vAlign w:val="bottom"/>
          </w:tcPr>
          <w:p>
            <w:pPr>
              <w:spacing w:after="0"/>
              <w:rPr>
                <w:sz w:val="12"/>
                <w:szCs w:val="12"/>
                <w:color w:val="auto"/>
              </w:rPr>
            </w:pPr>
          </w:p>
        </w:tc>
        <w:tc>
          <w:tcPr>
            <w:tcW w:w="900" w:type="dxa"/>
            <w:vAlign w:val="bottom"/>
            <w:gridSpan w:val="7"/>
            <w:vMerge w:val="continue"/>
          </w:tcPr>
          <w:p>
            <w:pPr>
              <w:spacing w:after="0"/>
              <w:rPr>
                <w:sz w:val="12"/>
                <w:szCs w:val="12"/>
                <w:color w:val="auto"/>
              </w:rPr>
            </w:pPr>
          </w:p>
        </w:tc>
        <w:tc>
          <w:tcPr>
            <w:tcW w:w="1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 Assets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8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$ 7,532</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$3,451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gridSpan w:val="7"/>
          </w:tcPr>
          <w:p>
            <w:pPr>
              <w:jc w:val="right"/>
              <w:ind w:right="80"/>
              <w:spacing w:after="0"/>
              <w:rPr>
                <w:sz w:val="20"/>
                <w:szCs w:val="20"/>
                <w:color w:val="auto"/>
              </w:rPr>
            </w:pPr>
            <w:r>
              <w:rPr>
                <w:rFonts w:ascii="Times New Roman" w:cs="Times New Roman" w:eastAsia="Times New Roman" w:hAnsi="Times New Roman"/>
                <w:sz w:val="18"/>
                <w:szCs w:val="18"/>
                <w:color w:val="auto"/>
              </w:rPr>
              <w:t>(3,222)</w:t>
            </w:r>
          </w:p>
        </w:tc>
        <w:tc>
          <w:tcPr>
            <w:tcW w:w="100" w:type="dxa"/>
            <w:vAlign w:val="bottom"/>
          </w:tcPr>
          <w:p>
            <w:pPr>
              <w:spacing w:after="0"/>
              <w:rPr>
                <w:sz w:val="23"/>
                <w:szCs w:val="2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2"/>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spacing w:after="0"/>
              <w:rPr>
                <w:sz w:val="23"/>
                <w:szCs w:val="23"/>
                <w:color w:val="auto"/>
              </w:rPr>
            </w:pPr>
          </w:p>
        </w:tc>
        <w:tc>
          <w:tcPr>
            <w:tcW w:w="70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3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gridSpan w:val="2"/>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15,803</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spacing w:after="0"/>
              <w:rPr>
                <w:sz w:val="23"/>
                <w:szCs w:val="23"/>
                <w:color w:val="auto"/>
              </w:rPr>
            </w:pPr>
          </w:p>
        </w:tc>
        <w:tc>
          <w:tcPr>
            <w:tcW w:w="7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(7,504)</w:t>
            </w:r>
          </w:p>
        </w:tc>
        <w:tc>
          <w:tcPr>
            <w:tcW w:w="100" w:type="dxa"/>
            <w:vAlign w:val="bottom"/>
          </w:tcPr>
          <w:p>
            <w:pPr>
              <w:spacing w:after="0"/>
              <w:rPr>
                <w:sz w:val="23"/>
                <w:szCs w:val="23"/>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8,299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11"/>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6"/>
                <w:szCs w:val="16"/>
                <w:color w:val="auto"/>
              </w:rPr>
            </w:pPr>
          </w:p>
        </w:tc>
        <w:tc>
          <w:tcPr>
            <w:tcW w:w="126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104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22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40" w:type="dxa"/>
            <w:vAlign w:val="bottom"/>
            <w:gridSpan w:val="8"/>
            <w:vMerge w:val="continue"/>
          </w:tcPr>
          <w:p>
            <w:pPr>
              <w:spacing w:after="0"/>
              <w:rPr>
                <w:sz w:val="12"/>
                <w:szCs w:val="12"/>
                <w:color w:val="auto"/>
              </w:rPr>
            </w:pPr>
          </w:p>
        </w:tc>
        <w:tc>
          <w:tcPr>
            <w:tcW w:w="13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 Assets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$ 7,255</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$(3,556)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$3,699</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(2,663)</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10,724</w:t>
            </w:r>
          </w:p>
        </w:tc>
        <w:tc>
          <w:tcPr>
            <w:tcW w:w="220" w:type="dxa"/>
            <w:vAlign w:val="bottom"/>
            <w:shd w:val="clear" w:color="auto" w:fill="CCEEFF"/>
          </w:tcPr>
          <w:p>
            <w:pPr>
              <w:spacing w:after="0"/>
              <w:rPr>
                <w:sz w:val="24"/>
                <w:szCs w:val="24"/>
                <w:color w:val="auto"/>
              </w:rPr>
            </w:pPr>
          </w:p>
        </w:tc>
        <w:tc>
          <w:tcPr>
            <w:tcW w:w="7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(6,219)</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4,505</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-3839845</wp:posOffset>
            </wp:positionV>
            <wp:extent cx="15430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5269230</wp:posOffset>
            </wp:positionH>
            <wp:positionV relativeFrom="paragraph">
              <wp:posOffset>-2142490</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-2142490</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-2142490</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-2142490</wp:posOffset>
            </wp:positionV>
            <wp:extent cx="431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-650875</wp:posOffset>
            </wp:positionV>
            <wp:extent cx="137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-650875</wp:posOffset>
            </wp:positionV>
            <wp:extent cx="1454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-650875</wp:posOffset>
            </wp:positionV>
            <wp:extent cx="15430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-650875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$1.3 million, $0.9 million and $3.4 million for the years ended December 31, 2021, 2020 and 2019, respectively.</w:t>
      </w:r>
    </w:p>
    <w:p>
      <w:pPr>
        <w:spacing w:after="0" w:line="54"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2021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1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50"/>
        </w:trPr>
        <w:tc>
          <w:tcPr>
            <w:tcW w:w="1300" w:type="dxa"/>
            <w:vAlign w:val="bottom"/>
          </w:tcPr>
          <w:p>
            <w:pPr>
              <w:spacing w:after="0"/>
              <w:rPr>
                <w:sz w:val="4"/>
                <w:szCs w:val="4"/>
                <w:color w:val="auto"/>
              </w:rPr>
            </w:pPr>
          </w:p>
        </w:tc>
        <w:tc>
          <w:tcPr>
            <w:tcW w:w="2980" w:type="dxa"/>
            <w:vAlign w:val="bottom"/>
            <w:tcBorders>
              <w:bottom w:val="single" w:sz="8" w:color="CCEEFF"/>
            </w:tcBorders>
          </w:tcPr>
          <w:p>
            <w:pPr>
              <w:spacing w:after="0"/>
              <w:rPr>
                <w:sz w:val="4"/>
                <w:szCs w:val="4"/>
                <w:color w:val="auto"/>
              </w:rPr>
            </w:pPr>
          </w:p>
        </w:tc>
        <w:tc>
          <w:tcPr>
            <w:tcW w:w="4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2022</w:t>
            </w:r>
          </w:p>
        </w:tc>
        <w:tc>
          <w:tcPr>
            <w:tcW w:w="5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4280" w:type="dxa"/>
            <w:vAlign w:val="bottom"/>
            <w:gridSpan w:val="2"/>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w w:val="94"/>
              </w:rPr>
              <w:t>2023</w:t>
            </w:r>
          </w:p>
        </w:tc>
        <w:tc>
          <w:tcPr>
            <w:tcW w:w="5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2024</w:t>
            </w:r>
          </w:p>
        </w:tc>
        <w:tc>
          <w:tcPr>
            <w:tcW w:w="5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1,517</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4280" w:type="dxa"/>
            <w:vAlign w:val="bottom"/>
            <w:gridSpan w:val="2"/>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980" w:type="dxa"/>
            <w:vAlign w:val="bottom"/>
            <w:tcBorders>
              <w:bottom w:val="single" w:sz="8" w:color="CCEEFF"/>
            </w:tcBorders>
            <w:shd w:val="clear" w:color="auto" w:fill="CCEEFF"/>
          </w:tcPr>
          <w:p>
            <w:pPr>
              <w:jc w:val="right"/>
              <w:ind w:right="2530"/>
              <w:spacing w:after="0"/>
              <w:rPr>
                <w:sz w:val="20"/>
                <w:szCs w:val="20"/>
                <w:color w:val="auto"/>
              </w:rPr>
            </w:pPr>
            <w:r>
              <w:rPr>
                <w:rFonts w:ascii="Times New Roman" w:cs="Times New Roman" w:eastAsia="Times New Roman" w:hAnsi="Times New Roman"/>
                <w:sz w:val="18"/>
                <w:szCs w:val="18"/>
                <w:color w:val="auto"/>
                <w:w w:val="94"/>
              </w:rPr>
              <w:t>2025</w:t>
            </w:r>
          </w:p>
        </w:tc>
        <w:tc>
          <w:tcPr>
            <w:tcW w:w="5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1,186</w:t>
            </w:r>
          </w:p>
        </w:tc>
        <w:tc>
          <w:tcPr>
            <w:tcW w:w="1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428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2026</w:t>
            </w:r>
          </w:p>
        </w:tc>
        <w:tc>
          <w:tcPr>
            <w:tcW w:w="5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98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867</w:t>
            </w:r>
          </w:p>
        </w:tc>
        <w:tc>
          <w:tcPr>
            <w:tcW w:w="1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2980" w:type="dxa"/>
            <w:vAlign w:val="bottom"/>
            <w:tcBorders>
              <w:top w:val="single" w:sz="8" w:color="CCEEFF"/>
            </w:tcBorders>
            <w:shd w:val="clear" w:color="auto" w:fill="CCEEFF"/>
          </w:tcPr>
          <w:p>
            <w:pPr>
              <w:spacing w:after="0"/>
              <w:rPr>
                <w:sz w:val="5"/>
                <w:szCs w:val="5"/>
                <w:color w:val="auto"/>
              </w:rPr>
            </w:pPr>
          </w:p>
        </w:tc>
        <w:tc>
          <w:tcPr>
            <w:tcW w:w="46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760" w:type="dxa"/>
            <w:vAlign w:val="bottom"/>
            <w:gridSpan w:val="2"/>
          </w:tcPr>
          <w:p>
            <w:pPr>
              <w:spacing w:after="0"/>
              <w:rPr>
                <w:sz w:val="23"/>
                <w:szCs w:val="23"/>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8,299</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F-26</w:t>
            </w:r>
          </w:p>
        </w:tc>
      </w:tr>
      <w:tr>
        <w:trPr>
          <w:trHeight w:val="183"/>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-2082165</wp:posOffset>
            </wp:positionV>
            <wp:extent cx="774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9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2021 and 2020 consisted of the following (in thousands):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$ 4,298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$ 2,244</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6,586</w:t>
            </w:r>
          </w:p>
        </w:tc>
        <w:tc>
          <w:tcPr>
            <w:tcW w:w="28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7"/>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3,821</w:t>
            </w:r>
          </w:p>
        </w:tc>
        <w:tc>
          <w:tcPr>
            <w:tcW w:w="280" w:type="dxa"/>
            <w:vAlign w:val="bottom"/>
            <w:shd w:val="clear" w:color="auto" w:fill="CCEEFF"/>
          </w:tcPr>
          <w:p>
            <w:pPr>
              <w:spacing w:after="0"/>
              <w:rPr>
                <w:sz w:val="22"/>
                <w:szCs w:val="22"/>
                <w:color w:val="auto"/>
              </w:rPr>
            </w:pP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23,155</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12,651</w:t>
            </w:r>
          </w:p>
        </w:tc>
        <w:tc>
          <w:tcPr>
            <w:tcW w:w="280" w:type="dxa"/>
            <w:vAlign w:val="bottom"/>
          </w:tcPr>
          <w:p>
            <w:pPr>
              <w:spacing w:after="0"/>
              <w:rPr>
                <w:sz w:val="23"/>
                <w:szCs w:val="23"/>
                <w:color w:val="auto"/>
              </w:rPr>
            </w:pPr>
          </w:p>
        </w:tc>
      </w:tr>
      <w:tr>
        <w:trPr>
          <w:trHeight w:val="20"/>
        </w:trPr>
        <w:tc>
          <w:tcPr>
            <w:tcW w:w="5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-848360</wp:posOffset>
            </wp:positionV>
            <wp:extent cx="137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-848360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 December 31, 2021, there were 12,499,993 Public Warrants outstanding and 7,000,000 Private Placement Warrants outstanding.</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WM Holding Company, LLC Equity Incentive Plan</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A-3 and Class B Units, December 31, 2018</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245,371</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25,990</w:t>
            </w:r>
          </w:p>
        </w:tc>
        <w:tc>
          <w:tcPr>
            <w:tcW w:w="12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A-3 and Class B Units, December 31, 2019</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264,077</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Repurchase</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(1,900)</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A-3 and Class B Units, December 31, 2020</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274,816</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w:t>
            </w:r>
          </w:p>
        </w:tc>
        <w:tc>
          <w:tcPr>
            <w:tcW w:w="10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(8,279)</w:t>
            </w:r>
          </w:p>
        </w:tc>
      </w:tr>
      <w:tr>
        <w:trPr>
          <w:trHeight w:val="25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(4,288)</w:t>
            </w:r>
          </w:p>
        </w:tc>
      </w:tr>
      <w:tr>
        <w:trPr>
          <w:trHeight w:val="61"/>
        </w:trPr>
        <w:tc>
          <w:tcPr>
            <w:tcW w:w="7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A-3 and Class B Units, June 15, 2021 (Pre-Business Combination)</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262,249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5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Class A-3 Units outstanding exchanged for Class A Units in connection with the Business</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34"/>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0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(53,333)</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Recapitalization in connection with the Business Combination</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25,687,126</w:t>
            </w:r>
          </w:p>
        </w:tc>
        <w:tc>
          <w:tcPr>
            <w:tcW w:w="120" w:type="dxa"/>
            <w:vAlign w:val="bottom"/>
            <w:shd w:val="clear" w:color="auto" w:fill="CCEEFF"/>
          </w:tcPr>
          <w:p>
            <w:pPr>
              <w:spacing w:after="0"/>
              <w:rPr>
                <w:sz w:val="22"/>
                <w:szCs w:val="22"/>
                <w:color w:val="auto"/>
              </w:rPr>
            </w:pP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P Units, June 16, 2021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25,896,042</w:t>
            </w:r>
          </w:p>
        </w:tc>
        <w:tc>
          <w:tcPr>
            <w:tcW w:w="120" w:type="dxa"/>
            <w:vAlign w:val="bottom"/>
          </w:tcPr>
          <w:p>
            <w:pPr>
              <w:spacing w:after="0"/>
              <w:rPr>
                <w:sz w:val="24"/>
                <w:szCs w:val="24"/>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0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Class P Units, December 31, 2021</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25,660,529</w:t>
            </w:r>
          </w:p>
        </w:tc>
        <w:tc>
          <w:tcPr>
            <w:tcW w:w="120" w:type="dxa"/>
            <w:vAlign w:val="bottom"/>
          </w:tcPr>
          <w:p>
            <w:pPr>
              <w:spacing w:after="0"/>
              <w:rPr>
                <w:sz w:val="23"/>
                <w:szCs w:val="23"/>
                <w:color w:val="auto"/>
              </w:rPr>
            </w:pPr>
          </w:p>
        </w:tc>
      </w:tr>
      <w:tr>
        <w:trPr>
          <w:trHeight w:val="20"/>
        </w:trPr>
        <w:tc>
          <w:tcPr>
            <w:tcW w:w="7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45"/>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2021</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23,685,659</w:t>
            </w:r>
          </w:p>
        </w:tc>
        <w:tc>
          <w:tcPr>
            <w:tcW w:w="12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WM Technology, Inc. Equity Incentive Plan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2021 is as follows: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50"/>
        </w:trPr>
        <w:tc>
          <w:tcPr>
            <w:tcW w:w="57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6,581,369</w:t>
            </w:r>
          </w:p>
        </w:tc>
        <w:tc>
          <w:tcPr>
            <w:tcW w:w="180" w:type="dxa"/>
            <w:vAlign w:val="bottom"/>
          </w:tcPr>
          <w:p>
            <w:pPr>
              <w:spacing w:after="0"/>
              <w:rPr>
                <w:sz w:val="23"/>
                <w:szCs w:val="23"/>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(568,826)</w:t>
            </w: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(182,662)</w:t>
            </w:r>
          </w:p>
        </w:tc>
        <w:tc>
          <w:tcPr>
            <w:tcW w:w="180" w:type="dxa"/>
            <w:vAlign w:val="bottom"/>
          </w:tcPr>
          <w:p>
            <w:pPr>
              <w:spacing w:after="0"/>
              <w:rPr>
                <w:sz w:val="22"/>
                <w:szCs w:val="22"/>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5,829,881</w:t>
            </w:r>
          </w:p>
        </w:tc>
        <w:tc>
          <w:tcPr>
            <w:tcW w:w="1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68"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 summary of the PSU activity for the year ended December 31, 2021 is as follows: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PSUs</w:t>
            </w:r>
          </w:p>
        </w:tc>
        <w:tc>
          <w:tcPr>
            <w:tcW w:w="140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50"/>
        </w:trPr>
        <w:tc>
          <w:tcPr>
            <w:tcW w:w="58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2,437,500</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0" w:type="dxa"/>
            <w:vAlign w:val="bottom"/>
          </w:tcPr>
          <w:p>
            <w:pPr>
              <w:spacing w:after="0"/>
              <w:rPr>
                <w:sz w:val="23"/>
                <w:szCs w:val="23"/>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2,437,500</w:t>
            </w: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0"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68"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PSUs in the following expense categories on the accompanying consolidated statements of operations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920" w:type="dxa"/>
            <w:vAlign w:val="bottom"/>
            <w:gridSpan w:val="5"/>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2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5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4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5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5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5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4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5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47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30,423</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F-31</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-1687830</wp:posOffset>
            </wp:positionV>
            <wp:extent cx="24003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59" w:firstLine="1854"/>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13. Earnings Per Share</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46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90"/>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50"/>
        </w:trPr>
        <w:tc>
          <w:tcPr>
            <w:tcW w:w="69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152,218</w:t>
            </w: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attributable to WMH LLC prior to the Business Combination</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15,078</w:t>
            </w:r>
          </w:p>
        </w:tc>
      </w:tr>
      <w:tr>
        <w:trPr>
          <w:trHeight w:val="25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after the Business Combination</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76,757</w:t>
            </w:r>
          </w:p>
        </w:tc>
      </w:tr>
      <w:tr>
        <w:trPr>
          <w:trHeight w:val="61"/>
        </w:trPr>
        <w:tc>
          <w:tcPr>
            <w:tcW w:w="6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WM Technology, Inc. - basic</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60,383</w:t>
            </w: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52"/>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change of Public and Private Placement Warrants, net of amounts</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21"/>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 - diluted</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(12,100)</w:t>
            </w:r>
          </w:p>
        </w:tc>
      </w:tr>
      <w:tr>
        <w:trPr>
          <w:trHeight w:val="21"/>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44"/>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Class A Common Stock outstanding - basic</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65,013,517</w:t>
            </w: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324"/>
        </w:trPr>
        <w:tc>
          <w:tcPr>
            <w:tcW w:w="69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Public Warrants</w:t>
            </w:r>
            <w:r>
              <w:rPr>
                <w:rFonts w:ascii="Times New Roman" w:cs="Times New Roman" w:eastAsia="Times New Roman" w:hAnsi="Times New Roman"/>
                <w:sz w:val="29"/>
                <w:szCs w:val="29"/>
                <w:color w:val="auto"/>
                <w:vertAlign w:val="superscript"/>
              </w:rPr>
              <w:t>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1,153,782</w:t>
            </w:r>
          </w:p>
        </w:tc>
        <w:tc>
          <w:tcPr>
            <w:tcW w:w="280" w:type="dxa"/>
            <w:vAlign w:val="bottom"/>
          </w:tcPr>
          <w:p>
            <w:pPr>
              <w:spacing w:after="0"/>
              <w:rPr>
                <w:sz w:val="24"/>
                <w:szCs w:val="24"/>
                <w:color w:val="auto"/>
              </w:rPr>
            </w:pPr>
          </w:p>
        </w:tc>
      </w:tr>
      <w:tr>
        <w:trPr>
          <w:trHeight w:val="256"/>
        </w:trPr>
        <w:tc>
          <w:tcPr>
            <w:tcW w:w="69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Private Placement Warrants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646,118</w:t>
            </w:r>
          </w:p>
        </w:tc>
        <w:tc>
          <w:tcPr>
            <w:tcW w:w="280" w:type="dxa"/>
            <w:vAlign w:val="bottom"/>
            <w:shd w:val="clear" w:color="auto" w:fill="CCEEFF"/>
          </w:tcPr>
          <w:p>
            <w:pPr>
              <w:spacing w:after="0"/>
              <w:rPr>
                <w:sz w:val="22"/>
                <w:szCs w:val="22"/>
                <w:color w:val="auto"/>
              </w:rPr>
            </w:pP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Class A Common Stock outstanding - diluted</w:t>
            </w: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66,813,417</w:t>
            </w:r>
          </w:p>
        </w:tc>
        <w:tc>
          <w:tcPr>
            <w:tcW w:w="280" w:type="dxa"/>
            <w:vAlign w:val="bottom"/>
          </w:tcPr>
          <w:p>
            <w:pPr>
              <w:spacing w:after="0"/>
              <w:rPr>
                <w:sz w:val="23"/>
                <w:szCs w:val="23"/>
                <w:color w:val="auto"/>
              </w:rPr>
            </w:pPr>
          </w:p>
        </w:tc>
      </w:tr>
      <w:tr>
        <w:trPr>
          <w:trHeight w:val="20"/>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365"/>
        </w:trPr>
        <w:tc>
          <w:tcPr>
            <w:tcW w:w="6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Class A Common Stock:</w:t>
            </w: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of Class A Common Stock - basic</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0.93</w:t>
            </w:r>
          </w:p>
        </w:tc>
        <w:tc>
          <w:tcPr>
            <w:tcW w:w="280" w:type="dxa"/>
            <w:vAlign w:val="bottom"/>
            <w:shd w:val="clear" w:color="auto" w:fill="CCEEFF"/>
          </w:tcPr>
          <w:p>
            <w:pPr>
              <w:spacing w:after="0"/>
              <w:rPr>
                <w:sz w:val="24"/>
                <w:szCs w:val="24"/>
                <w:color w:val="auto"/>
              </w:rPr>
            </w:pP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Class A Common Stock - diluted</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(0.18)</w:t>
            </w:r>
          </w:p>
        </w:tc>
      </w:tr>
      <w:tr>
        <w:trPr>
          <w:trHeight w:val="21"/>
        </w:trPr>
        <w:tc>
          <w:tcPr>
            <w:tcW w:w="6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-4053840</wp:posOffset>
            </wp:positionV>
            <wp:extent cx="1543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162560</wp:posOffset>
            </wp:positionV>
            <wp:extent cx="8229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81" w:lineRule="exact"/>
        <w:rPr>
          <w:sz w:val="20"/>
          <w:szCs w:val="20"/>
          <w:color w:val="auto"/>
        </w:rPr>
      </w:pPr>
    </w:p>
    <w:p>
      <w:pPr>
        <w:ind w:left="640" w:hanging="348"/>
        <w:spacing w:after="0"/>
        <w:tabs>
          <w:tab w:leader="none" w:pos="6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6800" w:type="dxa"/>
            <w:vAlign w:val="bottom"/>
          </w:tcPr>
          <w:p>
            <w:pPr>
              <w:spacing w:after="0"/>
              <w:rPr>
                <w:sz w:val="16"/>
                <w:szCs w:val="16"/>
                <w:color w:val="auto"/>
              </w:rPr>
            </w:pPr>
          </w:p>
        </w:tc>
        <w:tc>
          <w:tcPr>
            <w:tcW w:w="162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1"/>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Units</w:t>
            </w:r>
          </w:p>
        </w:tc>
        <w:tc>
          <w:tcPr>
            <w:tcW w:w="162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65,502,347</w:t>
            </w:r>
          </w:p>
        </w:tc>
      </w:tr>
      <w:tr>
        <w:trPr>
          <w:trHeight w:val="27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1620" w:type="dxa"/>
            <w:vAlign w:val="bottom"/>
            <w:tcBorders>
              <w:bottom w:val="single" w:sz="8" w:color="CCEEFF"/>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6,398,707</w:t>
            </w:r>
          </w:p>
        </w:tc>
      </w:tr>
      <w:tr>
        <w:trPr>
          <w:trHeight w:val="27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PSUs</w:t>
            </w:r>
          </w:p>
        </w:tc>
        <w:tc>
          <w:tcPr>
            <w:tcW w:w="16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4280" w:type="dxa"/>
            <w:vAlign w:val="bottom"/>
          </w:tcPr>
          <w:p>
            <w:pPr>
              <w:spacing w:after="0"/>
              <w:rPr>
                <w:sz w:val="19"/>
                <w:szCs w:val="19"/>
                <w:color w:val="auto"/>
              </w:rPr>
            </w:pPr>
          </w:p>
        </w:tc>
        <w:tc>
          <w:tcPr>
            <w:tcW w:w="25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r>
      <w:tr>
        <w:trPr>
          <w:trHeight w:val="50"/>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80" w:type="dxa"/>
            <w:vAlign w:val="bottom"/>
            <w:tcBorders>
              <w:bottom w:val="single" w:sz="8" w:color="CCEEFF"/>
              <w:right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$151,987</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$38,878</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$(4,152)</w:t>
            </w:r>
          </w:p>
        </w:tc>
      </w:tr>
      <w:tr>
        <w:trPr>
          <w:trHeight w:val="25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2"/>
                <w:szCs w:val="22"/>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80" w:type="dxa"/>
            <w:vAlign w:val="bottom"/>
            <w:tcBorders>
              <w:bottom w:val="single" w:sz="8" w:color="CCEEFF"/>
              <w:right w:val="single" w:sz="8" w:color="CCEEFF"/>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151,617</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338"/>
        </w:trPr>
        <w:tc>
          <w:tcPr>
            <w:tcW w:w="7800" w:type="dxa"/>
            <w:vAlign w:val="bottom"/>
            <w:gridSpan w:val="9"/>
          </w:tcPr>
          <w:p>
            <w:pPr>
              <w:ind w:left="36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9"/>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428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4280" w:type="dxa"/>
            <w:vAlign w:val="bottom"/>
          </w:tcPr>
          <w:p>
            <w:pPr>
              <w:spacing w:after="0"/>
              <w:rPr>
                <w:sz w:val="19"/>
                <w:szCs w:val="19"/>
                <w:color w:val="auto"/>
              </w:rPr>
            </w:pPr>
          </w:p>
        </w:tc>
        <w:tc>
          <w:tcPr>
            <w:tcW w:w="258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9"/>
                <w:szCs w:val="19"/>
                <w:color w:val="auto"/>
              </w:rPr>
            </w:pPr>
          </w:p>
        </w:tc>
        <w:tc>
          <w:tcPr>
            <w:tcW w:w="580" w:type="dxa"/>
            <w:vAlign w:val="bottom"/>
            <w:gridSpan w:val="2"/>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9"/>
                <w:szCs w:val="19"/>
                <w:color w:val="auto"/>
              </w:rPr>
            </w:pPr>
          </w:p>
        </w:tc>
      </w:tr>
      <w:tr>
        <w:trPr>
          <w:trHeight w:val="50"/>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34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5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Borders>
              <w:bottom w:val="single" w:sz="8" w:color="CCEEFF"/>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1,321</w:t>
            </w:r>
          </w:p>
        </w:tc>
      </w:tr>
      <w:tr>
        <w:trPr>
          <w:trHeight w:val="27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58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shd w:val="clear" w:color="auto" w:fill="CCEEFF"/>
          </w:tcPr>
          <w:p>
            <w:pPr>
              <w:spacing w:after="0"/>
              <w:rPr>
                <w:sz w:val="22"/>
                <w:szCs w:val="22"/>
                <w:color w:val="auto"/>
              </w:rPr>
            </w:pPr>
          </w:p>
        </w:tc>
        <w:tc>
          <w:tcPr>
            <w:tcW w:w="300" w:type="dxa"/>
            <w:vAlign w:val="bottom"/>
            <w:tcBorders>
              <w:right w:val="single" w:sz="8" w:color="CCEEFF"/>
            </w:tcBorders>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right w:val="single" w:sz="8" w:color="CCEEFF"/>
            </w:tcBorders>
            <w:shd w:val="clear" w:color="auto" w:fill="CCEEFF"/>
          </w:tcPr>
          <w:p>
            <w:pPr>
              <w:spacing w:after="0"/>
              <w:rPr>
                <w:sz w:val="22"/>
                <w:szCs w:val="22"/>
                <w:color w:val="auto"/>
              </w:rPr>
            </w:pPr>
          </w:p>
        </w:tc>
        <w:tc>
          <w:tcPr>
            <w:tcW w:w="5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right w:val="single" w:sz="8" w:color="CCEEFF"/>
            </w:tcBorders>
            <w:shd w:val="clear" w:color="auto" w:fill="CCEEFF"/>
          </w:tcPr>
          <w:p>
            <w:pPr>
              <w:spacing w:after="0"/>
              <w:rPr>
                <w:sz w:val="5"/>
                <w:szCs w:val="5"/>
                <w:color w:val="auto"/>
              </w:rPr>
            </w:pPr>
          </w:p>
        </w:tc>
        <w:tc>
          <w:tcPr>
            <w:tcW w:w="48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right w:val="single" w:sz="8" w:color="CCEEFF"/>
            </w:tcBorders>
            <w:shd w:val="clear" w:color="auto" w:fill="CCEEFF"/>
          </w:tcPr>
          <w:p>
            <w:pPr>
              <w:spacing w:after="0"/>
              <w:rPr>
                <w:sz w:val="5"/>
                <w:szCs w:val="5"/>
                <w:color w:val="auto"/>
              </w:rPr>
            </w:pPr>
          </w:p>
        </w:tc>
        <w:tc>
          <w:tcPr>
            <w:tcW w:w="34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2100" w:type="dxa"/>
            <w:vAlign w:val="bottom"/>
            <w:tcBorders>
              <w:right w:val="single" w:sz="8" w:color="CCEEFF"/>
            </w:tcBorders>
            <w:gridSpan w:val="2"/>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(601)</w:t>
            </w:r>
          </w:p>
        </w:tc>
        <w:tc>
          <w:tcPr>
            <w:tcW w:w="1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58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6"/>
              </w:rPr>
              <w:t>$—</w:t>
            </w: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34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-2331085</wp:posOffset>
            </wp:positionV>
            <wp:extent cx="1885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-2331085</wp:posOffset>
            </wp:positionV>
            <wp:extent cx="18859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-2331085</wp:posOffset>
            </wp:positionV>
            <wp:extent cx="939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1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6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27"/>
        </w:trPr>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9"/>
                <w:szCs w:val="19"/>
                <w:color w:val="auto"/>
              </w:rPr>
            </w:pPr>
          </w:p>
        </w:tc>
      </w:tr>
      <w:tr>
        <w:trPr>
          <w:trHeight w:val="51"/>
        </w:trPr>
        <w:tc>
          <w:tcPr>
            <w:tcW w:w="56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31,844</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LLC flow-through structure</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right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(252)</w:t>
            </w: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(21,762)</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(19,669)</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R&amp;D credit</w:t>
            </w:r>
          </w:p>
        </w:tc>
        <w:tc>
          <w:tcPr>
            <w:tcW w:w="12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7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6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83"/>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1,321</w:t>
            </w:r>
          </w:p>
        </w:tc>
        <w:tc>
          <w:tcPr>
            <w:tcW w:w="160" w:type="dxa"/>
            <w:vAlign w:val="bottom"/>
          </w:tcPr>
          <w:p>
            <w:pPr>
              <w:spacing w:after="0"/>
              <w:rPr>
                <w:sz w:val="24"/>
                <w:szCs w:val="24"/>
                <w:color w:val="auto"/>
              </w:rPr>
            </w:pPr>
          </w:p>
        </w:tc>
      </w:tr>
      <w:tr>
        <w:trPr>
          <w:trHeight w:val="48"/>
        </w:trPr>
        <w:tc>
          <w:tcPr>
            <w:tcW w:w="568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139.64%</w:t>
            </w:r>
          </w:p>
        </w:tc>
      </w:tr>
      <w:tr>
        <w:trPr>
          <w:trHeight w:val="338"/>
        </w:trPr>
        <w:tc>
          <w:tcPr>
            <w:tcW w:w="56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341"/>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50"/>
        </w:trPr>
        <w:tc>
          <w:tcPr>
            <w:tcW w:w="56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$112,543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4,694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54"/>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48"/>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right w:val="single" w:sz="8" w:color="CCEEFF"/>
            </w:tcBorders>
            <w:shd w:val="clear" w:color="auto" w:fill="CCEEFF"/>
          </w:tcPr>
          <w:p>
            <w:pPr>
              <w:spacing w:after="0"/>
              <w:rPr>
                <w:sz w:val="24"/>
                <w:szCs w:val="24"/>
                <w:color w:val="auto"/>
              </w:rPr>
            </w:pPr>
          </w:p>
        </w:tc>
        <w:tc>
          <w:tcPr>
            <w:tcW w:w="6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23"/>
                <w:szCs w:val="23"/>
                <w:color w:val="auto"/>
              </w:rPr>
            </w:pPr>
          </w:p>
        </w:tc>
      </w:tr>
      <w:tr>
        <w:trPr>
          <w:trHeight w:val="48"/>
        </w:trPr>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9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6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152,097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7"/>
        </w:trPr>
        <w:tc>
          <w:tcPr>
            <w:tcW w:w="56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84"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8"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since January 1, 2021 (in thousands):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50"/>
        </w:trPr>
        <w:tc>
          <w:tcPr>
            <w:tcW w:w="72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shd w:val="clear" w:color="auto" w:fill="CCEEFF"/>
          </w:tcPr>
          <w:p>
            <w:pPr>
              <w:spacing w:after="0"/>
              <w:rPr>
                <w:sz w:val="22"/>
                <w:szCs w:val="22"/>
                <w:color w:val="auto"/>
              </w:rPr>
            </w:pP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188</w:t>
            </w:r>
          </w:p>
        </w:tc>
        <w:tc>
          <w:tcPr>
            <w:tcW w:w="400" w:type="dxa"/>
            <w:vAlign w:val="bottom"/>
          </w:tcPr>
          <w:p>
            <w:pPr>
              <w:spacing w:after="0"/>
              <w:rPr>
                <w:sz w:val="23"/>
                <w:szCs w:val="23"/>
                <w:color w:val="auto"/>
              </w:rPr>
            </w:pPr>
          </w:p>
        </w:tc>
      </w:tr>
      <w:tr>
        <w:trPr>
          <w:trHeight w:val="21"/>
        </w:trPr>
        <w:tc>
          <w:tcPr>
            <w:tcW w:w="7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3"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8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lowerRoman"/>
      <w:start w:val="2"/>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1)"/>
      <w:numFmt w:val="lowerRoman"/>
      <w:start w:val="2"/>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amp;"/>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1)"/>
      <w:numFmt w:val="decimal"/>
      <w:start w:val="1"/>
    </w:lvl>
  </w:abstractNum>
  <w:abstractNum w:abstractNumId="23">
    <w:nsid w:val="354FE9F9"/>
    <w:multiLevelType w:val="hybridMultilevel"/>
    <w:lvl w:ilvl="0">
      <w:lvlJc w:val="left"/>
      <w:lvlText w:val="(%1)"/>
      <w:numFmt w:val="lowerLetter"/>
      <w:start w:val="3"/>
    </w:lvl>
  </w:abstractNum>
  <w:abstractNum w:abstractNumId="24">
    <w:nsid w:val="15B5AF5C"/>
    <w:multiLevelType w:val="hybridMultilevel"/>
    <w:lvl w:ilvl="0">
      <w:lvlJc w:val="left"/>
      <w:lvlText w:val="(%1)"/>
      <w:numFmt w:val="decimal"/>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¹"/>
      <w:numFmt w:val="bullet"/>
      <w:start w:val="1"/>
    </w:lvl>
  </w:abstractNum>
  <w:abstractNum w:abstractNumId="28">
    <w:nsid w:val="3F6AB60F"/>
    <w:multiLevelType w:val="hybridMultilevel"/>
    <w:lvl w:ilvl="0">
      <w:lvlJc w:val="left"/>
      <w:lvlText w:val="¹"/>
      <w:numFmt w:val="bullet"/>
      <w:start w:val="1"/>
    </w:lvl>
  </w:abstractNum>
  <w:abstractNum w:abstractNumId="29">
    <w:nsid w:val="61574095"/>
    <w:multiLevelType w:val="hybridMultilevel"/>
    <w:lvl w:ilvl="0">
      <w:lvlJc w:val="left"/>
      <w:lvlText w:val="¹"/>
      <w:numFmt w:val="bullet"/>
      <w:start w:val="1"/>
    </w:lvl>
  </w:abstractNum>
  <w:abstractNum w:abstractNumId="30">
    <w:nsid w:val="7E0C57B1"/>
    <w:multiLevelType w:val="hybridMultilevel"/>
    <w:lvl w:ilvl="0">
      <w:lvlJc w:val="left"/>
      <w:lvlText w:val="%1"/>
      <w:numFmt w:val="decimal"/>
      <w:start w:val="12"/>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lvl w:ilvl="1">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amp;"/>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1)"/>
      <w:numFmt w:val="lowerRoman"/>
      <w:start w:val="2"/>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1)"/>
      <w:numFmt w:val="lowerRoman"/>
      <w:start w:val="3"/>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4"/>
    </w:lvl>
  </w:abstractNum>
  <w:abstractNum w:abstractNumId="54">
    <w:nsid w:val="540A471C"/>
    <w:multiLevelType w:val="hybridMultilevel"/>
    <w:lvl w:ilvl="0">
      <w:lvlJc w:val="left"/>
      <w:lvlText w:val="(%1)"/>
      <w:numFmt w:val="lowerRoman"/>
      <w:start w:val="1"/>
    </w:lvl>
  </w:abstractNum>
  <w:abstractNum w:abstractNumId="55">
    <w:nsid w:val="7BD3EE7B"/>
    <w:multiLevelType w:val="hybridMultilevel"/>
    <w:lvl w:ilvl="0">
      <w:lvlJc w:val="left"/>
      <w:lvlText w:val="(%1)"/>
      <w:numFmt w:val="decimal"/>
      <w:start w:val="1"/>
    </w:lvl>
  </w:abstractNum>
  <w:abstractNum w:abstractNumId="56">
    <w:nsid w:val="51D9C564"/>
    <w:multiLevelType w:val="hybridMultilevel"/>
    <w:lvl w:ilvl="0">
      <w:lvlJc w:val="left"/>
      <w:lvlText w:val="(%1)"/>
      <w:numFmt w:val="decimal"/>
      <w:start w:val="13"/>
    </w:lvl>
  </w:abstractNum>
  <w:abstractNum w:abstractNumId="57">
    <w:nsid w:val="613EFDC5"/>
    <w:multiLevelType w:val="hybridMultilevel"/>
    <w:lvl w:ilvl="0">
      <w:lvlJc w:val="left"/>
      <w:lvlText w:val="(%1)"/>
      <w:numFmt w:val="decimal"/>
      <w:start w:val="30"/>
    </w:lvl>
  </w:abstractNum>
  <w:abstractNum w:abstractNumId="58">
    <w:nsid w:val="BF72B14"/>
    <w:multiLevelType w:val="hybridMultilevel"/>
    <w:lvl w:ilvl="0">
      <w:lvlJc w:val="left"/>
      <w:lvlText w:val="(%1)"/>
      <w:numFmt w:val="decimal"/>
      <w:start w:val="51"/>
    </w:lvl>
  </w:abstractNum>
  <w:abstractNum w:abstractNumId="59">
    <w:nsid w:val="11447B73"/>
    <w:multiLevelType w:val="hybridMultilevel"/>
    <w:lvl w:ilvl="0">
      <w:lvlJc w:val="left"/>
      <w:lvlText w:val="(%1)"/>
      <w:numFmt w:val="lowerRoman"/>
      <w:start w:val="10"/>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1)"/>
      <w:numFmt w:val="decimal"/>
      <w:start w:val="2"/>
    </w:lvl>
  </w:abstractNum>
  <w:abstractNum w:abstractNumId="67">
    <w:nsid w:val="60B6DF70"/>
    <w:multiLevelType w:val="hybridMultilevel"/>
    <w:lvl w:ilvl="0">
      <w:lvlJc w:val="left"/>
      <w:lvlText w:val="(%1)"/>
      <w:numFmt w:val="lowerRoman"/>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1"/>
      <w:numFmt w:val="decimal"/>
      <w:start w:val="21"/>
    </w:lvl>
  </w:abstractNum>
  <w:abstractNum w:abstractNumId="71">
    <w:nsid w:val="1A27709E"/>
    <w:multiLevelType w:val="hybridMultilevel"/>
    <w:lvl w:ilvl="0">
      <w:lvlJc w:val="left"/>
      <w:lvlText w:val="(%1)"/>
      <w:numFmt w:val="decimal"/>
      <w:start w:val="2"/>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
      <w:numFmt w:val="bullet"/>
      <w:start w:val="1"/>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1"/>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1."/>
      <w:numFmt w:val="decimal"/>
      <w:start w:val="2"/>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1)"/>
      <w:numFmt w:val="decimal"/>
      <w:start w:val="1"/>
    </w:lvl>
  </w:abstractNum>
  <w:abstractNum w:abstractNumId="82">
    <w:nsid w:val="14E17E33"/>
    <w:multiLevelType w:val="hybridMultilevel"/>
    <w:lvl w:ilvl="0">
      <w:lvlJc w:val="left"/>
      <w:lvlText w:val="%1."/>
      <w:numFmt w:val="decimal"/>
      <w:start w:val="3"/>
    </w:lvl>
  </w:abstractNum>
  <w:abstractNum w:abstractNumId="83">
    <w:nsid w:val="3222E7CD"/>
    <w:multiLevelType w:val="hybridMultilevel"/>
    <w:lvl w:ilvl="0">
      <w:lvlJc w:val="left"/>
      <w:lvlText w:val="%1."/>
      <w:numFmt w:val="decimal"/>
      <w:start w:val="4"/>
    </w:lvl>
  </w:abstractNum>
  <w:abstractNum w:abstractNumId="84">
    <w:nsid w:val="74DE0EE3"/>
    <w:multiLevelType w:val="hybridMultilevel"/>
    <w:lvl w:ilvl="0">
      <w:lvlJc w:val="left"/>
      <w:lvlText w:val="%1."/>
      <w:numFmt w:val="decimal"/>
      <w:start w:val="5"/>
    </w:lvl>
  </w:abstractNum>
  <w:abstractNum w:abstractNumId="85">
    <w:nsid w:val="68EBC550"/>
    <w:multiLevelType w:val="hybridMultilevel"/>
    <w:lvl w:ilvl="0">
      <w:lvlJc w:val="left"/>
      <w:lvlText w:val="%1."/>
      <w:numFmt w:val="decimal"/>
      <w:start w:val="6"/>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1."/>
      <w:numFmt w:val="decimal"/>
      <w:start w:val="7"/>
    </w:lvl>
  </w:abstractNum>
  <w:abstractNum w:abstractNumId="89">
    <w:nsid w:val="39EE015C"/>
    <w:multiLevelType w:val="hybridMultilevel"/>
    <w:lvl w:ilvl="0">
      <w:lvlJc w:val="left"/>
      <w:lvlText w:val="(%1)"/>
      <w:numFmt w:val="decimal"/>
      <w:start w:val="1"/>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1."/>
      <w:numFmt w:val="decimal"/>
      <w:start w:val="8"/>
    </w:lvl>
  </w:abstractNum>
  <w:abstractNum w:abstractNumId="92">
    <w:nsid w:val="43F18422"/>
    <w:multiLevelType w:val="hybridMultilevel"/>
    <w:lvl w:ilvl="0">
      <w:lvlJc w:val="left"/>
      <w:lvlText w:val="%1."/>
      <w:numFmt w:val="decimal"/>
      <w:start w:val="9"/>
    </w:lvl>
  </w:abstractNum>
  <w:abstractNum w:abstractNumId="93">
    <w:nsid w:val="60EF0119"/>
    <w:multiLevelType w:val="hybridMultilevel"/>
    <w:lvl w:ilvl="0">
      <w:lvlJc w:val="left"/>
      <w:lvlText w:val="¹"/>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2022-05-06T05:37:09Z</dcterms:created>
  <dcterms:modified xsi:type="dcterms:W3CDTF">2022-05-06T05:37:09Z</dcterms:modified>
</cp:coreProperties>
</file>