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Ibbott William Glen</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10/01/2024</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28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168,350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168,350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date of the Issuer's next annual meeting of stockholders, subject to acceleration, and subject to the Reporting Person's Continuous Service (as defined in the Issuer's 2021 Equity Incentive Plan) through such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Ron A. Metzger, Attorney-  </w:t>
      </w:r>
      <w:r>
        <w:rPr>
          <w:rFonts w:ascii="Times New Roman" w:cs="Times New Roman" w:eastAsia="Times New Roman" w:hAnsi="Times New Roman"/>
          <w:sz w:val="33"/>
          <w:szCs w:val="33"/>
          <w:color w:val="0000FF"/>
          <w:vertAlign w:val="subscript"/>
        </w:rPr>
        <w:t>10/03/2024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110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2024-10-03T15:20:20Z</dcterms:created>
  <dcterms:modified xsi:type="dcterms:W3CDTF">2024-10-03T15:20:20Z</dcterms:modified>
</cp:coreProperties>
</file>