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Polar Asset Management Partners Inc.</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Silver Spike Acquisition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SSPK</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13"/>
                <w:szCs w:val="13"/>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vMerge w:val="restart"/>
          </w:tcPr>
          <w:p>
            <w:pPr>
              <w:spacing w:after="0"/>
              <w:rPr>
                <w:sz w:val="20"/>
                <w:szCs w:val="20"/>
                <w:color w:val="auto"/>
              </w:rPr>
            </w:pPr>
            <w:r>
              <w:rPr>
                <w:rFonts w:ascii="Arial" w:cs="Arial" w:eastAsia="Arial" w:hAnsi="Arial"/>
                <w:sz w:val="17"/>
                <w:szCs w:val="17"/>
                <w:color w:val="0000FF"/>
              </w:rPr>
              <w:t>401 BAY STREET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7"/>
                <w:szCs w:val="17"/>
                <w:color w:val="0000FF"/>
              </w:rPr>
              <w:t>04/28/2020</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SUITE 1900, P.O. BOX 19</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11"/>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TORONTO</w:t>
            </w:r>
          </w:p>
        </w:tc>
        <w:tc>
          <w:tcPr>
            <w:tcW w:w="240" w:type="dxa"/>
            <w:vAlign w:val="bottom"/>
          </w:tcPr>
          <w:p>
            <w:pPr>
              <w:spacing w:after="0"/>
              <w:rPr>
                <w:sz w:val="20"/>
                <w:szCs w:val="20"/>
                <w:color w:val="auto"/>
              </w:rPr>
            </w:pPr>
            <w:r>
              <w:rPr>
                <w:rFonts w:ascii="Arial" w:cs="Arial" w:eastAsia="Arial" w:hAnsi="Arial"/>
                <w:sz w:val="17"/>
                <w:szCs w:val="17"/>
                <w:color w:val="0000FF"/>
              </w:rPr>
              <w:t>A6</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0000FF"/>
              </w:rPr>
              <w:t>M5H 2Y4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9"/>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22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 w:type="dxa"/>
            <w:vAlign w:val="bottom"/>
          </w:tcPr>
          <w:p>
            <w:pPr>
              <w:spacing w:after="0"/>
              <w:rPr>
                <w:sz w:val="15"/>
                <w:szCs w:val="15"/>
                <w:color w:val="auto"/>
              </w:rPr>
            </w:pPr>
          </w:p>
        </w:tc>
        <w:tc>
          <w:tcPr>
            <w:tcW w:w="1660" w:type="dxa"/>
            <w:vAlign w:val="bottom"/>
            <w:gridSpan w:val="4"/>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20" w:type="dxa"/>
            <w:vAlign w:val="bottom"/>
            <w:tcBorders>
              <w:bottom w:val="single" w:sz="8" w:color="2C2C2C"/>
            </w:tcBorders>
            <w:gridSpan w:val="6"/>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6"/>
          </w:tcPr>
          <w:p>
            <w:pPr>
              <w:ind w:left="60"/>
              <w:spacing w:after="0"/>
              <w:rPr>
                <w:sz w:val="20"/>
                <w:szCs w:val="20"/>
                <w:color w:val="auto"/>
              </w:rPr>
            </w:pPr>
            <w:r>
              <w:rPr>
                <w:rFonts w:ascii="Arial" w:cs="Arial" w:eastAsia="Arial" w:hAnsi="Arial"/>
                <w:sz w:val="17"/>
                <w:szCs w:val="17"/>
                <w:color w:val="0000FF"/>
                <w:w w:val="91"/>
              </w:rPr>
              <w:t>Class A Ordinary Shares, par value</w:t>
            </w:r>
          </w:p>
        </w:tc>
        <w:tc>
          <w:tcPr>
            <w:tcW w:w="1660" w:type="dxa"/>
            <w:vAlign w:val="bottom"/>
            <w:gridSpan w:val="4"/>
            <w:vMerge w:val="restart"/>
          </w:tcPr>
          <w:p>
            <w:pPr>
              <w:ind w:left="700"/>
              <w:spacing w:after="0"/>
              <w:rPr>
                <w:sz w:val="20"/>
                <w:szCs w:val="20"/>
                <w:color w:val="auto"/>
              </w:rPr>
            </w:pPr>
            <w:r>
              <w:rPr>
                <w:rFonts w:ascii="Arial" w:cs="Arial" w:eastAsia="Arial" w:hAnsi="Arial"/>
                <w:sz w:val="17"/>
                <w:szCs w:val="17"/>
                <w:color w:val="0000FF"/>
              </w:rPr>
              <w:t>04/28/2020</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75,000</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9.88</w:t>
            </w:r>
          </w:p>
        </w:tc>
        <w:tc>
          <w:tcPr>
            <w:tcW w:w="1300" w:type="dxa"/>
            <w:vAlign w:val="bottom"/>
            <w:gridSpan w:val="3"/>
            <w:vMerge w:val="restart"/>
          </w:tcPr>
          <w:p>
            <w:pPr>
              <w:ind w:left="320"/>
              <w:spacing w:after="0"/>
              <w:rPr>
                <w:sz w:val="20"/>
                <w:szCs w:val="20"/>
                <w:color w:val="auto"/>
              </w:rPr>
            </w:pPr>
            <w:r>
              <w:rPr>
                <w:rFonts w:ascii="Arial" w:cs="Arial" w:eastAsia="Arial" w:hAnsi="Arial"/>
                <w:sz w:val="17"/>
                <w:szCs w:val="17"/>
                <w:color w:val="0000FF"/>
              </w:rPr>
              <w:t>2,498,500</w:t>
            </w:r>
          </w:p>
        </w:tc>
        <w:tc>
          <w:tcPr>
            <w:tcW w:w="240" w:type="dxa"/>
            <w:vAlign w:val="bottom"/>
          </w:tcPr>
          <w:p>
            <w:pPr>
              <w:spacing w:after="0"/>
              <w:rPr>
                <w:sz w:val="22"/>
                <w:szCs w:val="22"/>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w w:val="89"/>
              </w:rPr>
              <w:t>$0.0001 per share</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0" w:type="dxa"/>
            <w:vAlign w:val="bottom"/>
            <w:gridSpan w:val="12"/>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2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Polar Asset Management Partners Inc., a company incorporated under the laws of Ontario, Canada, (the "Reporting Person") serves as investment advisor to Polar Multi-Strategy Master Fund, a Cayman Islands exempted company ("PMSMF") and certain managed accounts (together with PMSMF, the "Polar Vehicles") and has sole voting and investment discretion with respect to the securities reported herein which are held by the Polar Vehicles. The Reporting Person disclaims beneficial ownership of the securities reported herein, and this report shall not be deemed an admission that Reporting Person is the beneficial owner of the securities reported herein for the purpose of Section 16 of the Securities Exchange Act of 1934, as amended, or for any other purpose, except to the extent of Reporting Person's pecuniary interest therein.</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POLAR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855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ind w:left="6580"/>
        <w:spacing w:after="0" w:line="182" w:lineRule="auto"/>
        <w:tabs>
          <w:tab w:leader="none" w:pos="8760" w:val="left"/>
        </w:tabs>
        <w:rPr>
          <w:sz w:val="20"/>
          <w:szCs w:val="20"/>
          <w:color w:val="auto"/>
        </w:rPr>
      </w:pPr>
      <w:r>
        <w:rPr>
          <w:rFonts w:ascii="Arial" w:cs="Arial" w:eastAsia="Arial" w:hAnsi="Arial"/>
          <w:sz w:val="15"/>
          <w:szCs w:val="15"/>
          <w:color w:val="0000FF"/>
        </w:rPr>
        <w:t>MANAGEMENT</w:t>
      </w:r>
      <w:r>
        <w:rPr>
          <w:sz w:val="20"/>
          <w:szCs w:val="20"/>
          <w:color w:val="auto"/>
        </w:rPr>
        <w:tab/>
      </w:r>
      <w:r>
        <w:rPr>
          <w:rFonts w:ascii="Arial" w:cs="Arial" w:eastAsia="Arial" w:hAnsi="Arial"/>
          <w:sz w:val="28"/>
          <w:szCs w:val="28"/>
          <w:color w:val="0000FF"/>
          <w:vertAlign w:val="subscript"/>
        </w:rPr>
        <w:t>04/30/2020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79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PARTNERS INC., by Greg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02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026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Lemaich,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760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326389"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2020-04-30T15:35:16Z</dcterms:created>
  <dcterms:modified xsi:type="dcterms:W3CDTF">2020-04-30T15:35:16Z</dcterms:modified>
</cp:coreProperties>
</file>