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Camire Brian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General Counsel</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03/02/2022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14,120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5.636</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220,255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made a prior election to sell only the number of shares of common stock necessary to cover applicable tax withholding obligations realized upon the vesting of restricted stock units, as well as any related brokerage commission fees. The shares were sold pursuant to a 10b5-1 plan.</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$5.511 to $5.764. The Reporting Person will provide upon request to the SEC, the Issuer or security holder of the Issuer, full information regarding the number of shares sold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Brian Camire, by /s/ Ron A.</w:t>
      </w:r>
      <w:r>
        <w:rPr>
          <w:sz w:val="20"/>
          <w:szCs w:val="20"/>
          <w:color w:val="auto"/>
        </w:rPr>
        <w:tab/>
      </w:r>
      <w:r>
        <w:rPr>
          <w:rFonts w:ascii="Arial" w:cs="Arial" w:eastAsia="Arial" w:hAnsi="Arial"/>
          <w:sz w:val="23"/>
          <w:szCs w:val="23"/>
          <w:color w:val="0000FF"/>
          <w:vertAlign w:val="subscript"/>
        </w:rPr>
        <w:t>03/04/2022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19050</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5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Metzger,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56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63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736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2022-03-04T15:15:26Z</dcterms:created>
  <dcterms:modified xsi:type="dcterms:W3CDTF">2022-03-04T15:15:26Z</dcterms:modified>
</cp:coreProperties>
</file>