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18"/>
          <w:szCs w:val="18"/>
          <w:color w:val="auto"/>
        </w:rPr>
        <w:t>WASHINGTON, DC 20549</w:t>
      </w:r>
    </w:p>
    <w:p>
      <w:pPr>
        <w:spacing w:after="0" w:line="18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17" w:lineRule="exact"/>
        <w:rPr>
          <w:sz w:val="24"/>
          <w:szCs w:val="24"/>
          <w:color w:val="auto"/>
        </w:rPr>
      </w:pPr>
    </w:p>
    <w:p>
      <w:pPr>
        <w:jc w:val="center"/>
        <w:ind w:right="-39"/>
        <w:spacing w:after="0"/>
        <w:rPr>
          <w:sz w:val="20"/>
          <w:szCs w:val="20"/>
          <w:color w:val="auto"/>
        </w:rPr>
      </w:pPr>
      <w:r>
        <w:rPr>
          <w:rFonts w:ascii="Arial" w:cs="Arial" w:eastAsia="Arial" w:hAnsi="Arial"/>
          <w:sz w:val="19"/>
          <w:szCs w:val="19"/>
          <w:b w:val="1"/>
          <w:bCs w:val="1"/>
          <w:color w:val="auto"/>
        </w:rPr>
        <w:t>Date of report (date of earliest event reported): February 18, 2021</w:t>
      </w:r>
    </w:p>
    <w:p>
      <w:pPr>
        <w:spacing w:after="0" w:line="245"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SILVER SPIKE ACQUISITION CORP.</w:t>
      </w:r>
    </w:p>
    <w:p>
      <w:pPr>
        <w:spacing w:after="0" w:line="3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001-39021</w:t>
      </w:r>
    </w:p>
    <w:p>
      <w:pPr>
        <w:sectPr>
          <w:pgSz w:w="11900" w:h="16838" w:orient="portrait"/>
          <w:cols w:equalWidth="0" w:num="1">
            <w:col w:w="11220"/>
          </w:cols>
          <w:pgMar w:left="320" w:top="463" w:right="359" w:bottom="1440" w:gutter="0" w:footer="0" w:header="0"/>
        </w:sectPr>
      </w:pPr>
    </w:p>
    <w:p>
      <w:pPr>
        <w:spacing w:after="0" w:line="200" w:lineRule="exact"/>
        <w:rPr>
          <w:sz w:val="24"/>
          <w:szCs w:val="24"/>
          <w:color w:val="auto"/>
        </w:rPr>
      </w:pPr>
    </w:p>
    <w:p>
      <w:pPr>
        <w:spacing w:after="0" w:line="241" w:lineRule="exact"/>
        <w:rPr>
          <w:sz w:val="24"/>
          <w:szCs w:val="24"/>
          <w:color w:val="auto"/>
        </w:rPr>
      </w:pPr>
    </w:p>
    <w:p>
      <w:pPr>
        <w:jc w:val="center"/>
        <w:ind w:right="3900"/>
        <w:spacing w:after="0"/>
        <w:rPr>
          <w:sz w:val="20"/>
          <w:szCs w:val="20"/>
          <w:color w:val="auto"/>
        </w:rPr>
      </w:pPr>
      <w:r>
        <w:rPr>
          <w:rFonts w:ascii="Arial" w:cs="Arial" w:eastAsia="Arial" w:hAnsi="Arial"/>
          <w:sz w:val="18"/>
          <w:szCs w:val="18"/>
          <w:b w:val="1"/>
          <w:bCs w:val="1"/>
          <w:color w:val="auto"/>
        </w:rPr>
        <w:t>Cayman Islands</w:t>
      </w:r>
    </w:p>
    <w:p>
      <w:pPr>
        <w:spacing w:after="0" w:line="27" w:lineRule="exact"/>
        <w:rPr>
          <w:sz w:val="24"/>
          <w:szCs w:val="24"/>
          <w:color w:val="auto"/>
        </w:rPr>
      </w:pPr>
    </w:p>
    <w:p>
      <w:pPr>
        <w:jc w:val="center"/>
        <w:ind w:right="3860"/>
        <w:spacing w:after="0"/>
        <w:rPr>
          <w:sz w:val="20"/>
          <w:szCs w:val="20"/>
          <w:color w:val="auto"/>
        </w:rPr>
      </w:pPr>
      <w:r>
        <w:rPr>
          <w:rFonts w:ascii="Arial" w:cs="Arial" w:eastAsia="Arial" w:hAnsi="Arial"/>
          <w:sz w:val="16"/>
          <w:szCs w:val="16"/>
          <w:color w:val="auto"/>
        </w:rPr>
        <w:t>(State or other jurisdiction of incorporation or</w:t>
      </w:r>
    </w:p>
    <w:p>
      <w:pPr>
        <w:spacing w:after="0" w:line="32" w:lineRule="exact"/>
        <w:rPr>
          <w:sz w:val="24"/>
          <w:szCs w:val="24"/>
          <w:color w:val="auto"/>
        </w:rPr>
      </w:pPr>
    </w:p>
    <w:p>
      <w:pPr>
        <w:jc w:val="center"/>
        <w:ind w:right="3860"/>
        <w:spacing w:after="0"/>
        <w:rPr>
          <w:sz w:val="20"/>
          <w:szCs w:val="20"/>
          <w:color w:val="auto"/>
        </w:rPr>
      </w:pPr>
      <w:r>
        <w:rPr>
          <w:rFonts w:ascii="Arial" w:cs="Arial" w:eastAsia="Arial" w:hAnsi="Arial"/>
          <w:sz w:val="18"/>
          <w:szCs w:val="18"/>
          <w:color w:val="auto"/>
        </w:rPr>
        <w:t>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1"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7"/>
          <w:szCs w:val="17"/>
          <w:color w:val="auto"/>
        </w:rPr>
        <w:t>(IRS Employer Identification No.)</w:t>
      </w:r>
    </w:p>
    <w:p>
      <w:pPr>
        <w:spacing w:after="0" w:line="427" w:lineRule="exact"/>
        <w:rPr>
          <w:sz w:val="24"/>
          <w:szCs w:val="24"/>
          <w:color w:val="auto"/>
        </w:rPr>
      </w:pPr>
    </w:p>
    <w:p>
      <w:pPr>
        <w:sectPr>
          <w:pgSz w:w="11900" w:h="16838" w:orient="portrait"/>
          <w:cols w:equalWidth="0" w:num="2">
            <w:col w:w="7480" w:space="720"/>
            <w:col w:w="3020"/>
          </w:cols>
          <w:pgMar w:left="320" w:top="463" w:right="359" w:bottom="1440" w:gutter="0" w:footer="0" w:header="0"/>
          <w:type w:val="continuous"/>
        </w:sectPr>
      </w:pP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660 Madison Avenue, Suite 1600, New York, New York 10065</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(212) 905-4923</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6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140.13e-4(c))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602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180" w:type="dxa"/>
            <w:vAlign w:val="bottom"/>
          </w:tcPr>
          <w:p>
            <w:pPr>
              <w:spacing w:after="0"/>
              <w:rPr>
                <w:sz w:val="20"/>
                <w:szCs w:val="20"/>
                <w:color w:val="auto"/>
              </w:rPr>
            </w:pPr>
          </w:p>
        </w:tc>
      </w:tr>
      <w:tr>
        <w:trPr>
          <w:trHeight w:val="418"/>
        </w:trPr>
        <w:tc>
          <w:tcPr>
            <w:tcW w:w="318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8"/>
                <w:szCs w:val="18"/>
                <w:color w:val="auto"/>
                <w:w w:val="88"/>
              </w:rPr>
              <w:t>Title of each class</w:t>
            </w: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gridSpan w:val="2"/>
          </w:tcPr>
          <w:p>
            <w:pPr>
              <w:jc w:val="center"/>
              <w:ind w:right="440"/>
              <w:spacing w:after="0"/>
              <w:rPr>
                <w:sz w:val="20"/>
                <w:szCs w:val="20"/>
                <w:color w:val="auto"/>
              </w:rPr>
            </w:pPr>
            <w:r>
              <w:rPr>
                <w:rFonts w:ascii="Arial" w:cs="Arial" w:eastAsia="Arial" w:hAnsi="Arial"/>
                <w:sz w:val="18"/>
                <w:szCs w:val="18"/>
                <w:color w:val="auto"/>
                <w:w w:val="92"/>
              </w:rPr>
              <w:t>Trading Symbol(s)</w:t>
            </w:r>
          </w:p>
        </w:tc>
        <w:tc>
          <w:tcPr>
            <w:tcW w:w="318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31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90"/>
        </w:trPr>
        <w:tc>
          <w:tcPr>
            <w:tcW w:w="6020" w:type="dxa"/>
            <w:vAlign w:val="bottom"/>
            <w:gridSpan w:val="3"/>
          </w:tcPr>
          <w:p>
            <w:pPr>
              <w:ind w:left="60"/>
              <w:spacing w:after="0"/>
              <w:rPr>
                <w:sz w:val="20"/>
                <w:szCs w:val="20"/>
                <w:color w:val="auto"/>
              </w:rPr>
            </w:pPr>
            <w:r>
              <w:rPr>
                <w:rFonts w:ascii="Arial" w:cs="Arial" w:eastAsia="Arial" w:hAnsi="Arial"/>
                <w:sz w:val="18"/>
                <w:szCs w:val="18"/>
                <w:color w:val="auto"/>
              </w:rPr>
              <w:t>Class A ordinary shares, par value $0.0001 per share</w:t>
            </w:r>
          </w:p>
        </w:tc>
        <w:tc>
          <w:tcPr>
            <w:tcW w:w="220" w:type="dxa"/>
            <w:vAlign w:val="bottom"/>
          </w:tcPr>
          <w:p>
            <w:pPr>
              <w:spacing w:after="0"/>
              <w:rPr>
                <w:sz w:val="24"/>
                <w:szCs w:val="24"/>
                <w:color w:val="auto"/>
              </w:rPr>
            </w:pPr>
          </w:p>
        </w:tc>
        <w:tc>
          <w:tcPr>
            <w:tcW w:w="180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SSPK</w:t>
            </w:r>
          </w:p>
        </w:tc>
        <w:tc>
          <w:tcPr>
            <w:tcW w:w="3180" w:type="dxa"/>
            <w:vAlign w:val="bottom"/>
          </w:tcPr>
          <w:p>
            <w:pPr>
              <w:jc w:val="center"/>
              <w:spacing w:after="0"/>
              <w:rPr>
                <w:sz w:val="20"/>
                <w:szCs w:val="20"/>
                <w:color w:val="auto"/>
              </w:rPr>
            </w:pPr>
            <w:r>
              <w:rPr>
                <w:rFonts w:ascii="Arial" w:cs="Arial" w:eastAsia="Arial" w:hAnsi="Arial"/>
                <w:sz w:val="18"/>
                <w:szCs w:val="18"/>
                <w:color w:val="auto"/>
                <w:w w:val="94"/>
              </w:rPr>
              <w:t>The NASDAQ Stock Market LLC</w:t>
            </w:r>
          </w:p>
        </w:tc>
      </w:tr>
      <w:tr>
        <w:trPr>
          <w:trHeight w:val="256"/>
        </w:trPr>
        <w:tc>
          <w:tcPr>
            <w:tcW w:w="6020" w:type="dxa"/>
            <w:vAlign w:val="bottom"/>
            <w:gridSpan w:val="3"/>
          </w:tcPr>
          <w:p>
            <w:pPr>
              <w:ind w:left="40"/>
              <w:spacing w:after="0"/>
              <w:rPr>
                <w:sz w:val="20"/>
                <w:szCs w:val="20"/>
                <w:color w:val="auto"/>
              </w:rPr>
            </w:pPr>
            <w:r>
              <w:rPr>
                <w:rFonts w:ascii="Arial" w:cs="Arial" w:eastAsia="Arial" w:hAnsi="Arial"/>
                <w:sz w:val="18"/>
                <w:szCs w:val="18"/>
                <w:color w:val="auto"/>
                <w:w w:val="93"/>
              </w:rPr>
              <w:t>Redeemable warrants, each whole warrant exercisable for one Class A ordinary</w:t>
            </w:r>
          </w:p>
        </w:tc>
        <w:tc>
          <w:tcPr>
            <w:tcW w:w="220" w:type="dxa"/>
            <w:vAlign w:val="bottom"/>
          </w:tcPr>
          <w:p>
            <w:pPr>
              <w:spacing w:after="0"/>
              <w:rPr>
                <w:sz w:val="22"/>
                <w:szCs w:val="22"/>
                <w:color w:val="auto"/>
              </w:rPr>
            </w:pPr>
          </w:p>
        </w:tc>
        <w:tc>
          <w:tcPr>
            <w:tcW w:w="1800" w:type="dxa"/>
            <w:vAlign w:val="bottom"/>
            <w:gridSpan w:val="2"/>
          </w:tcPr>
          <w:p>
            <w:pPr>
              <w:jc w:val="center"/>
              <w:ind w:right="440"/>
              <w:spacing w:after="0"/>
              <w:rPr>
                <w:sz w:val="20"/>
                <w:szCs w:val="20"/>
                <w:color w:val="auto"/>
              </w:rPr>
            </w:pPr>
            <w:r>
              <w:rPr>
                <w:rFonts w:ascii="Arial" w:cs="Arial" w:eastAsia="Arial" w:hAnsi="Arial"/>
                <w:sz w:val="18"/>
                <w:szCs w:val="18"/>
                <w:color w:val="auto"/>
                <w:w w:val="92"/>
              </w:rPr>
              <w:t>SSPKW</w:t>
            </w:r>
          </w:p>
        </w:tc>
        <w:tc>
          <w:tcPr>
            <w:tcW w:w="3180" w:type="dxa"/>
            <w:vAlign w:val="bottom"/>
          </w:tcPr>
          <w:p>
            <w:pPr>
              <w:jc w:val="center"/>
              <w:spacing w:after="0"/>
              <w:rPr>
                <w:sz w:val="20"/>
                <w:szCs w:val="20"/>
                <w:color w:val="auto"/>
              </w:rPr>
            </w:pPr>
            <w:r>
              <w:rPr>
                <w:rFonts w:ascii="Arial" w:cs="Arial" w:eastAsia="Arial" w:hAnsi="Arial"/>
                <w:sz w:val="18"/>
                <w:szCs w:val="18"/>
                <w:color w:val="auto"/>
                <w:w w:val="94"/>
              </w:rPr>
              <w:t>The NASDAQ Stock Market LLC</w:t>
            </w:r>
          </w:p>
        </w:tc>
      </w:tr>
      <w:tr>
        <w:trPr>
          <w:trHeight w:val="230"/>
        </w:trPr>
        <w:tc>
          <w:tcPr>
            <w:tcW w:w="6020" w:type="dxa"/>
            <w:vAlign w:val="bottom"/>
            <w:gridSpan w:val="3"/>
          </w:tcPr>
          <w:p>
            <w:pPr>
              <w:ind w:left="220"/>
              <w:spacing w:after="0"/>
              <w:rPr>
                <w:sz w:val="20"/>
                <w:szCs w:val="20"/>
                <w:color w:val="auto"/>
              </w:rPr>
            </w:pPr>
            <w:r>
              <w:rPr>
                <w:rFonts w:ascii="Arial" w:cs="Arial" w:eastAsia="Arial" w:hAnsi="Arial"/>
                <w:sz w:val="18"/>
                <w:szCs w:val="18"/>
                <w:color w:val="auto"/>
              </w:rPr>
              <w:t>share at an exercise price of $11.50</w:t>
            </w: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180" w:type="dxa"/>
            <w:vAlign w:val="bottom"/>
          </w:tcPr>
          <w:p>
            <w:pPr>
              <w:spacing w:after="0"/>
              <w:rPr>
                <w:sz w:val="20"/>
                <w:szCs w:val="20"/>
                <w:color w:val="auto"/>
              </w:rPr>
            </w:pPr>
          </w:p>
        </w:tc>
      </w:tr>
      <w:tr>
        <w:trPr>
          <w:trHeight w:val="256"/>
        </w:trPr>
        <w:tc>
          <w:tcPr>
            <w:tcW w:w="6020" w:type="dxa"/>
            <w:vAlign w:val="bottom"/>
            <w:gridSpan w:val="3"/>
          </w:tcPr>
          <w:p>
            <w:pPr>
              <w:ind w:left="40"/>
              <w:spacing w:after="0"/>
              <w:rPr>
                <w:sz w:val="20"/>
                <w:szCs w:val="20"/>
                <w:color w:val="auto"/>
              </w:rPr>
            </w:pPr>
            <w:r>
              <w:rPr>
                <w:rFonts w:ascii="Arial" w:cs="Arial" w:eastAsia="Arial" w:hAnsi="Arial"/>
                <w:sz w:val="18"/>
                <w:szCs w:val="18"/>
                <w:color w:val="auto"/>
              </w:rPr>
              <w:t>Units, each consisting of one Class A ordinary share and one-half of one</w:t>
            </w:r>
          </w:p>
        </w:tc>
        <w:tc>
          <w:tcPr>
            <w:tcW w:w="220" w:type="dxa"/>
            <w:vAlign w:val="bottom"/>
          </w:tcPr>
          <w:p>
            <w:pPr>
              <w:spacing w:after="0"/>
              <w:rPr>
                <w:sz w:val="22"/>
                <w:szCs w:val="22"/>
                <w:color w:val="auto"/>
              </w:rPr>
            </w:pPr>
          </w:p>
        </w:tc>
        <w:tc>
          <w:tcPr>
            <w:tcW w:w="180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SSPKU</w:t>
            </w:r>
          </w:p>
        </w:tc>
        <w:tc>
          <w:tcPr>
            <w:tcW w:w="3180" w:type="dxa"/>
            <w:vAlign w:val="bottom"/>
          </w:tcPr>
          <w:p>
            <w:pPr>
              <w:jc w:val="center"/>
              <w:spacing w:after="0"/>
              <w:rPr>
                <w:sz w:val="20"/>
                <w:szCs w:val="20"/>
                <w:color w:val="auto"/>
              </w:rPr>
            </w:pPr>
            <w:r>
              <w:rPr>
                <w:rFonts w:ascii="Arial" w:cs="Arial" w:eastAsia="Arial" w:hAnsi="Arial"/>
                <w:sz w:val="18"/>
                <w:szCs w:val="18"/>
                <w:color w:val="auto"/>
                <w:w w:val="94"/>
              </w:rPr>
              <w:t>The NASDAQ Stock Market LLC</w:t>
            </w:r>
          </w:p>
        </w:tc>
      </w:tr>
      <w:tr>
        <w:trPr>
          <w:trHeight w:val="230"/>
        </w:trPr>
        <w:tc>
          <w:tcPr>
            <w:tcW w:w="6020" w:type="dxa"/>
            <w:vAlign w:val="bottom"/>
            <w:gridSpan w:val="3"/>
          </w:tcPr>
          <w:p>
            <w:pPr>
              <w:ind w:left="220"/>
              <w:spacing w:after="0"/>
              <w:rPr>
                <w:sz w:val="20"/>
                <w:szCs w:val="20"/>
                <w:color w:val="auto"/>
              </w:rPr>
            </w:pPr>
            <w:r>
              <w:rPr>
                <w:rFonts w:ascii="Arial" w:cs="Arial" w:eastAsia="Arial" w:hAnsi="Arial"/>
                <w:sz w:val="18"/>
                <w:szCs w:val="18"/>
                <w:color w:val="auto"/>
              </w:rPr>
              <w:t>redeemable warrant</w:t>
            </w: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180" w:type="dxa"/>
            <w:vAlign w:val="bottom"/>
          </w:tcPr>
          <w:p>
            <w:pPr>
              <w:spacing w:after="0"/>
              <w:rPr>
                <w:sz w:val="20"/>
                <w:szCs w:val="20"/>
                <w:color w:val="auto"/>
              </w:rPr>
            </w:pPr>
          </w:p>
        </w:tc>
      </w:tr>
    </w:tbl>
    <w:p>
      <w:pPr>
        <w:spacing w:after="0" w:line="229"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463"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ind w:left="120" w:right="300" w:firstLine="551"/>
        <w:spacing w:after="0" w:line="263" w:lineRule="auto"/>
        <w:rPr>
          <w:sz w:val="20"/>
          <w:szCs w:val="20"/>
          <w:color w:val="auto"/>
        </w:rPr>
      </w:pPr>
      <w:r>
        <w:rPr>
          <w:rFonts w:ascii="Arial" w:cs="Arial" w:eastAsia="Arial" w:hAnsi="Arial"/>
          <w:sz w:val="18"/>
          <w:szCs w:val="18"/>
          <w:color w:val="auto"/>
        </w:rPr>
        <w:t>On February 18, 2021, Silver Spike Acquisition Corp. (the “Company”) issued an unsecured promissory note (the “Note”) in the amount of up to $750,000.00 to Silver Spike Sponsor, LLC (the “Sponsor”). The proceeds of the Note, which may be drawn down from time to time until the Company consummates its initial business combination, will be used as general working capital purposes.</w:t>
      </w:r>
    </w:p>
    <w:p>
      <w:pPr>
        <w:spacing w:after="0" w:line="184" w:lineRule="exact"/>
        <w:rPr>
          <w:sz w:val="20"/>
          <w:szCs w:val="20"/>
          <w:color w:val="auto"/>
        </w:rPr>
      </w:pPr>
    </w:p>
    <w:p>
      <w:pPr>
        <w:ind w:left="120" w:right="240" w:firstLine="551"/>
        <w:spacing w:after="0" w:line="272" w:lineRule="auto"/>
        <w:rPr>
          <w:sz w:val="20"/>
          <w:szCs w:val="20"/>
          <w:color w:val="auto"/>
        </w:rPr>
      </w:pPr>
      <w:r>
        <w:rPr>
          <w:rFonts w:ascii="Arial" w:cs="Arial" w:eastAsia="Arial" w:hAnsi="Arial"/>
          <w:sz w:val="17"/>
          <w:szCs w:val="17"/>
          <w:color w:val="auto"/>
        </w:rPr>
        <w:t>The Note bears no interest and is payable in full upon the earlier to occur of (i) June 10, 2021 or (ii) the consummation of the Company’s initial business combination. A failure to pay the principal within five business days of the date specified above or the commencement of a voluntary or involuntary bankruptcy action shall be deemed an event of default, in which case the Note may be accelerated. The Sponsor has the option to convert any unpaid balance of the Note into warrants (the “Conversion Warrants”), each whole warrant entitling the holder thereof to purchase one Class A ordinary share at a price of $11.50 per Class A share, subject to adjustment. The terms of the Conversion Warrants would be identical to the warrants issued by the Company to the Sponsor in a private placement that was consummated in connection with the Company’s initial public offering. The Sponsor shall be entitled to certain registration rights relating to the Conversion Warrants.</w:t>
      </w:r>
    </w:p>
    <w:p>
      <w:pPr>
        <w:spacing w:after="0" w:line="177" w:lineRule="exact"/>
        <w:rPr>
          <w:sz w:val="20"/>
          <w:szCs w:val="20"/>
          <w:color w:val="auto"/>
        </w:rPr>
      </w:pPr>
    </w:p>
    <w:p>
      <w:pPr>
        <w:ind w:left="120" w:right="440" w:firstLine="542"/>
        <w:spacing w:after="0" w:line="277" w:lineRule="auto"/>
        <w:rPr>
          <w:sz w:val="20"/>
          <w:szCs w:val="20"/>
          <w:color w:val="auto"/>
        </w:rPr>
      </w:pPr>
      <w:r>
        <w:rPr>
          <w:rFonts w:ascii="Arial" w:cs="Arial" w:eastAsia="Arial" w:hAnsi="Arial"/>
          <w:sz w:val="18"/>
          <w:szCs w:val="18"/>
          <w:color w:val="auto"/>
        </w:rPr>
        <w:t>The issuance of the Note was made pursuant to the exemption from registration contained in Section 4(a)(2) of the Securities Act of 1933, as amended.</w:t>
      </w:r>
    </w:p>
    <w:p>
      <w:pPr>
        <w:spacing w:after="0" w:line="170" w:lineRule="exact"/>
        <w:rPr>
          <w:sz w:val="20"/>
          <w:szCs w:val="20"/>
          <w:color w:val="auto"/>
        </w:rPr>
      </w:pPr>
    </w:p>
    <w:p>
      <w:pPr>
        <w:ind w:left="120" w:right="340" w:firstLine="542"/>
        <w:spacing w:after="0" w:line="277" w:lineRule="auto"/>
        <w:rPr>
          <w:sz w:val="20"/>
          <w:szCs w:val="20"/>
          <w:color w:val="auto"/>
        </w:rPr>
      </w:pPr>
      <w:r>
        <w:rPr>
          <w:rFonts w:ascii="Arial" w:cs="Arial" w:eastAsia="Arial" w:hAnsi="Arial"/>
          <w:sz w:val="18"/>
          <w:szCs w:val="18"/>
          <w:color w:val="auto"/>
        </w:rPr>
        <w:t>A copy of the Note is attached as Exhibit 10.1 to this Current Report on Form 8-K and is incorporated herein by reference. The disclosures set forth in this Item 2.03 are intended to be summaries only and are qualified in their entirety by reference to the Note.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10000" w:type="dxa"/>
            <w:vAlign w:val="bottom"/>
          </w:tcPr>
          <w:p>
            <w:pPr>
              <w:spacing w:after="0"/>
              <w:rPr>
                <w:sz w:val="20"/>
                <w:szCs w:val="20"/>
                <w:color w:val="auto"/>
              </w:rPr>
            </w:pPr>
          </w:p>
        </w:tc>
      </w:tr>
      <w:tr>
        <w:trPr>
          <w:trHeight w:val="414"/>
        </w:trPr>
        <w:tc>
          <w:tcPr>
            <w:tcW w:w="12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Exhibit</w:t>
            </w:r>
          </w:p>
        </w:tc>
        <w:tc>
          <w:tcPr>
            <w:tcW w:w="10000" w:type="dxa"/>
            <w:vAlign w:val="bottom"/>
          </w:tcPr>
          <w:p>
            <w:pPr>
              <w:ind w:left="4560"/>
              <w:spacing w:after="0"/>
              <w:rPr>
                <w:sz w:val="20"/>
                <w:szCs w:val="20"/>
                <w:color w:val="auto"/>
              </w:rPr>
            </w:pPr>
            <w:r>
              <w:rPr>
                <w:rFonts w:ascii="Arial" w:cs="Arial" w:eastAsia="Arial" w:hAnsi="Arial"/>
                <w:sz w:val="18"/>
                <w:szCs w:val="18"/>
                <w:b w:val="1"/>
                <w:bCs w:val="1"/>
                <w:color w:val="auto"/>
              </w:rPr>
              <w:t>Description</w:t>
            </w:r>
          </w:p>
        </w:tc>
      </w:tr>
      <w:tr>
        <w:trPr>
          <w:trHeight w:val="234"/>
        </w:trPr>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No.</w:t>
            </w:r>
          </w:p>
        </w:tc>
        <w:tc>
          <w:tcPr>
            <w:tcW w:w="10000" w:type="dxa"/>
            <w:vAlign w:val="bottom"/>
          </w:tcPr>
          <w:p>
            <w:pPr>
              <w:spacing w:after="0"/>
              <w:rPr>
                <w:sz w:val="20"/>
                <w:szCs w:val="20"/>
                <w:color w:val="auto"/>
              </w:rPr>
            </w:pPr>
          </w:p>
        </w:tc>
      </w:tr>
      <w:tr>
        <w:trPr>
          <w:trHeight w:val="224"/>
        </w:trPr>
        <w:tc>
          <w:tcPr>
            <w:tcW w:w="1140" w:type="dxa"/>
            <w:vAlign w:val="bottom"/>
            <w:tcBorders>
              <w:top w:val="single" w:sz="8" w:color="auto"/>
            </w:tcBorders>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10.1</w:t>
              </w:r>
            </w:hyperlink>
          </w:p>
        </w:tc>
        <w:tc>
          <w:tcPr>
            <w:tcW w:w="100" w:type="dxa"/>
            <w:vAlign w:val="bottom"/>
          </w:tcPr>
          <w:p>
            <w:pPr>
              <w:spacing w:after="0"/>
              <w:rPr>
                <w:sz w:val="19"/>
                <w:szCs w:val="19"/>
                <w:color w:val="auto"/>
              </w:rPr>
            </w:pPr>
          </w:p>
        </w:tc>
        <w:tc>
          <w:tcPr>
            <w:tcW w:w="10000" w:type="dxa"/>
            <w:vAlign w:val="bottom"/>
            <w:tcBorders>
              <w:top w:val="single" w:sz="8" w:color="auto"/>
            </w:tcBorders>
          </w:tcPr>
          <w:p>
            <w:pPr>
              <w:ind w:left="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Promissory Note dated February 18, 2021, issued by Silver Spike Acquisition Corp. to the Sponsor</w:t>
              </w:r>
            </w:hyperlink>
          </w:p>
        </w:tc>
      </w:tr>
      <w:tr>
        <w:trPr>
          <w:trHeight w:val="553"/>
        </w:trPr>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72" w:right="339" w:bottom="1440" w:gutter="0" w:footer="0" w:header="0"/>
        </w:sectPr>
      </w:pPr>
    </w:p>
    <w:bookmarkStart w:id="2" w:name="page3"/>
    <w:bookmarkEnd w:id="2"/>
    <w:p>
      <w:pPr>
        <w:jc w:val="center"/>
        <w:ind w:right="-6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18, 2021</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SILVER SPIKE ACQUISITION CORP.</w:t>
      </w:r>
    </w:p>
    <w:p>
      <w:pPr>
        <w:spacing w:after="0" w:line="200" w:lineRule="exact"/>
        <w:rPr>
          <w:sz w:val="20"/>
          <w:szCs w:val="20"/>
          <w:color w:val="auto"/>
        </w:rPr>
      </w:pPr>
    </w:p>
    <w:p>
      <w:pPr>
        <w:spacing w:after="0" w:line="245" w:lineRule="exact"/>
        <w:rPr>
          <w:sz w:val="20"/>
          <w:szCs w:val="20"/>
          <w:color w:val="auto"/>
        </w:rPr>
      </w:pPr>
    </w:p>
    <w:p>
      <w:pPr>
        <w:ind w:left="5640"/>
        <w:spacing w:after="0"/>
        <w:tabs>
          <w:tab w:leader="none" w:pos="6080" w:val="left"/>
        </w:tabs>
        <w:rPr>
          <w:sz w:val="20"/>
          <w:szCs w:val="20"/>
          <w:color w:val="auto"/>
        </w:rPr>
      </w:pPr>
      <w:r>
        <w:rPr>
          <w:rFonts w:ascii="Arial" w:cs="Arial" w:eastAsia="Arial" w:hAnsi="Arial"/>
          <w:sz w:val="18"/>
          <w:szCs w:val="18"/>
          <w:color w:val="auto"/>
        </w:rPr>
        <w:t>By:</w:t>
        <w:tab/>
        <w:t>/s/ Greg Gentile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14605</wp:posOffset>
            </wp:positionV>
            <wp:extent cx="25546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Greg Gentile</w:t>
      </w:r>
    </w:p>
    <w:p>
      <w:pPr>
        <w:spacing w:after="0" w:line="23" w:lineRule="exact"/>
        <w:rPr>
          <w:sz w:val="20"/>
          <w:szCs w:val="20"/>
          <w:color w:val="auto"/>
        </w:rPr>
      </w:pPr>
    </w:p>
    <w:p>
      <w:pPr>
        <w:ind w:left="6100"/>
        <w:spacing w:after="0"/>
        <w:tabs>
          <w:tab w:leader="none" w:pos="6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00"/>
          </w:cols>
          <w:pgMar w:left="320" w:top="540" w:right="979" w:bottom="1440" w:gutter="0" w:footer="0" w:header="0"/>
        </w:sectPr>
      </w:pPr>
    </w:p>
    <w:bookmarkStart w:id="3" w:name="page4"/>
    <w:bookmarkEnd w:id="3"/>
    <w:p>
      <w:pPr>
        <w:ind w:left="10120"/>
        <w:spacing w:after="0"/>
        <w:rPr>
          <w:sz w:val="20"/>
          <w:szCs w:val="20"/>
          <w:color w:val="auto"/>
        </w:rPr>
      </w:pPr>
      <w:r>
        <w:rPr>
          <w:rFonts w:ascii="Arial" w:cs="Arial" w:eastAsia="Arial" w:hAnsi="Arial"/>
          <w:sz w:val="19"/>
          <w:szCs w:val="19"/>
          <w:b w:val="1"/>
          <w:bCs w:val="1"/>
          <w:color w:val="auto"/>
        </w:rPr>
        <w:t>Exhibit 10.1</w:t>
      </w:r>
    </w:p>
    <w:p>
      <w:pPr>
        <w:spacing w:after="0" w:line="200" w:lineRule="exact"/>
        <w:rPr>
          <w:sz w:val="20"/>
          <w:szCs w:val="20"/>
          <w:color w:val="auto"/>
        </w:rPr>
      </w:pPr>
    </w:p>
    <w:p>
      <w:pPr>
        <w:spacing w:after="0" w:line="324"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THIS PROMISSORY NOTE (“NOTE”) HAS NOT BEEN REGISTERED UNDER THE SECURITIES ACT OF 1933, AS AMENDED (THE “SECURITIES ACT”). THIS NOTE HAS BEEN ACQUIRED FOR INVESTMENT ONLY AND MAY NOT BE SOLD, TRANSFERRED OR ASSIGNED IN THE ABSENCE OF REGISTRATION OF THE RESALE THEREOF UNDER THE SECURITIES ACT OR AN OPINION OF COUNSEL REASONABLY SATISFACTORY IN FORM, SCOPE AND SUBSTANCE TO THE COMPANY THAT SUCH REGISTRATION IS NOT REQUIRED.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PROMISSORY NOTE</w:t>
      </w:r>
    </w:p>
    <w:p>
      <w:pPr>
        <w:spacing w:after="0" w:line="200" w:lineRule="exact"/>
        <w:rPr>
          <w:sz w:val="20"/>
          <w:szCs w:val="20"/>
          <w:color w:val="auto"/>
        </w:rPr>
      </w:pPr>
    </w:p>
    <w:p>
      <w:pPr>
        <w:spacing w:after="0" w:line="245" w:lineRule="exact"/>
        <w:rPr>
          <w:sz w:val="20"/>
          <w:szCs w:val="20"/>
          <w:color w:val="auto"/>
        </w:rPr>
      </w:pPr>
    </w:p>
    <w:p>
      <w:pPr>
        <w:spacing w:after="0"/>
        <w:tabs>
          <w:tab w:leader="none" w:pos="9040" w:val="left"/>
        </w:tabs>
        <w:rPr>
          <w:sz w:val="20"/>
          <w:szCs w:val="20"/>
          <w:color w:val="auto"/>
        </w:rPr>
      </w:pPr>
      <w:r>
        <w:rPr>
          <w:rFonts w:ascii="Arial" w:cs="Arial" w:eastAsia="Arial" w:hAnsi="Arial"/>
          <w:sz w:val="18"/>
          <w:szCs w:val="18"/>
          <w:color w:val="auto"/>
        </w:rPr>
        <w:t>Principal Amount: $750,000</w:t>
      </w:r>
      <w:r>
        <w:rPr>
          <w:sz w:val="20"/>
          <w:szCs w:val="20"/>
          <w:color w:val="auto"/>
        </w:rPr>
        <w:tab/>
      </w:r>
      <w:r>
        <w:rPr>
          <w:rFonts w:ascii="Arial" w:cs="Arial" w:eastAsia="Arial" w:hAnsi="Arial"/>
          <w:sz w:val="16"/>
          <w:szCs w:val="16"/>
          <w:color w:val="auto"/>
        </w:rPr>
        <w:t>Dated as of February 18, 2021</w:t>
      </w:r>
    </w:p>
    <w:p>
      <w:pPr>
        <w:spacing w:after="0" w:line="221"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Silver Spike Acquisition Corp., a Cayman Islands exempted company and blank check company (the “</w:t>
      </w:r>
      <w:r>
        <w:rPr>
          <w:rFonts w:ascii="Arial" w:cs="Arial" w:eastAsia="Arial" w:hAnsi="Arial"/>
          <w:sz w:val="18"/>
          <w:szCs w:val="18"/>
          <w:b w:val="1"/>
          <w:bCs w:val="1"/>
          <w:color w:val="auto"/>
        </w:rPr>
        <w:t>Maker</w:t>
      </w:r>
      <w:r>
        <w:rPr>
          <w:rFonts w:ascii="Arial" w:cs="Arial" w:eastAsia="Arial" w:hAnsi="Arial"/>
          <w:sz w:val="18"/>
          <w:szCs w:val="18"/>
          <w:color w:val="auto"/>
        </w:rPr>
        <w:t>”), promises to pay to the order of Silver Spike Sponsor, LLC, or its registered assigns or successors in interest (the “</w:t>
      </w:r>
      <w:r>
        <w:rPr>
          <w:rFonts w:ascii="Arial" w:cs="Arial" w:eastAsia="Arial" w:hAnsi="Arial"/>
          <w:sz w:val="18"/>
          <w:szCs w:val="18"/>
          <w:b w:val="1"/>
          <w:bCs w:val="1"/>
          <w:color w:val="auto"/>
        </w:rPr>
        <w:t>Payee</w:t>
      </w:r>
      <w:r>
        <w:rPr>
          <w:rFonts w:ascii="Arial" w:cs="Arial" w:eastAsia="Arial" w:hAnsi="Arial"/>
          <w:sz w:val="18"/>
          <w:szCs w:val="18"/>
          <w:color w:val="auto"/>
        </w:rPr>
        <w:t>”), or order, the principal sum of seven hundred fifty thousand U.S. dollars ($750,000) in lawful money of the United States of America, on the terms and conditions described below. All payments on this Note shall be made by check or wire transfer of immediately available funds or as otherwise determined by the Maker to such account as the Payee may from time to time designate by written notice in accordance with the provisions of this Note.</w:t>
      </w:r>
    </w:p>
    <w:p>
      <w:pPr>
        <w:spacing w:after="0" w:line="183" w:lineRule="exact"/>
        <w:rPr>
          <w:sz w:val="20"/>
          <w:szCs w:val="20"/>
          <w:color w:val="auto"/>
        </w:rPr>
      </w:pPr>
    </w:p>
    <w:p>
      <w:pPr>
        <w:ind w:right="100" w:firstLine="8"/>
        <w:spacing w:after="0" w:line="282" w:lineRule="auto"/>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Principal. </w:t>
      </w:r>
      <w:r>
        <w:rPr>
          <w:rFonts w:ascii="Arial" w:cs="Arial" w:eastAsia="Arial" w:hAnsi="Arial"/>
          <w:sz w:val="18"/>
          <w:szCs w:val="18"/>
          <w:color w:val="auto"/>
        </w:rPr>
        <w:t>The principal balance of this Note shall be payable on the earlier of: (i) June 10, 2021 or (ii) the date on which Maker consummates an initial</w:t>
      </w:r>
      <w:r>
        <w:rPr>
          <w:rFonts w:ascii="Arial" w:cs="Arial" w:eastAsia="Arial" w:hAnsi="Arial"/>
          <w:sz w:val="18"/>
          <w:szCs w:val="18"/>
          <w:b w:val="1"/>
          <w:bCs w:val="1"/>
          <w:color w:val="auto"/>
        </w:rPr>
        <w:t xml:space="preserve"> </w:t>
      </w:r>
      <w:r>
        <w:rPr>
          <w:rFonts w:ascii="Arial" w:cs="Arial" w:eastAsia="Arial" w:hAnsi="Arial"/>
          <w:sz w:val="18"/>
          <w:szCs w:val="18"/>
          <w:color w:val="auto"/>
        </w:rPr>
        <w:t>public offering of its securities. The principal balance may be prepaid at any time.</w:t>
      </w:r>
    </w:p>
    <w:p>
      <w:pPr>
        <w:spacing w:after="0" w:line="161" w:lineRule="exact"/>
        <w:rPr>
          <w:rFonts w:ascii="Arial" w:cs="Arial" w:eastAsia="Arial" w:hAnsi="Arial"/>
          <w:sz w:val="18"/>
          <w:szCs w:val="18"/>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Interest. </w:t>
      </w:r>
      <w:r>
        <w:rPr>
          <w:rFonts w:ascii="Arial" w:cs="Arial" w:eastAsia="Arial" w:hAnsi="Arial"/>
          <w:sz w:val="18"/>
          <w:szCs w:val="18"/>
          <w:color w:val="auto"/>
        </w:rPr>
        <w:t>No interest shall accrue on the unpaid principal balance of this Note.</w:t>
      </w:r>
    </w:p>
    <w:p>
      <w:pPr>
        <w:spacing w:after="0" w:line="225" w:lineRule="exact"/>
        <w:rPr>
          <w:rFonts w:ascii="Arial" w:cs="Arial" w:eastAsia="Arial" w:hAnsi="Arial"/>
          <w:sz w:val="18"/>
          <w:szCs w:val="18"/>
          <w:color w:val="auto"/>
        </w:rPr>
      </w:pPr>
    </w:p>
    <w:p>
      <w:pPr>
        <w:jc w:val="both"/>
        <w:ind w:right="120" w:firstLine="8"/>
        <w:spacing w:after="0" w:line="266" w:lineRule="auto"/>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Application of Payments. </w:t>
      </w:r>
      <w:r>
        <w:rPr>
          <w:rFonts w:ascii="Arial" w:cs="Arial" w:eastAsia="Arial" w:hAnsi="Arial"/>
          <w:sz w:val="18"/>
          <w:szCs w:val="18"/>
          <w:color w:val="auto"/>
        </w:rPr>
        <w:t>All payments shall be applied first to payment in full of any costs incurred in the collection of any sum due under this Note,</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(without limitation) reasonable attorney’s fees, then to the payment in full of any late charges and finally to the reduction of the unpaid principal balance of this Note.</w:t>
      </w:r>
    </w:p>
    <w:p>
      <w:pPr>
        <w:spacing w:after="0" w:line="175" w:lineRule="exact"/>
        <w:rPr>
          <w:rFonts w:ascii="Arial" w:cs="Arial" w:eastAsia="Arial" w:hAnsi="Arial"/>
          <w:sz w:val="18"/>
          <w:szCs w:val="18"/>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Events of Default. </w:t>
      </w:r>
      <w:r>
        <w:rPr>
          <w:rFonts w:ascii="Arial" w:cs="Arial" w:eastAsia="Arial" w:hAnsi="Arial"/>
          <w:sz w:val="18"/>
          <w:szCs w:val="18"/>
          <w:color w:val="auto"/>
        </w:rPr>
        <w:t>The following shall constitute an event of default (“</w:t>
      </w:r>
      <w:r>
        <w:rPr>
          <w:rFonts w:ascii="Arial" w:cs="Arial" w:eastAsia="Arial" w:hAnsi="Arial"/>
          <w:sz w:val="18"/>
          <w:szCs w:val="18"/>
          <w:b w:val="1"/>
          <w:bCs w:val="1"/>
          <w:color w:val="auto"/>
        </w:rPr>
        <w:t>Event of Default</w:t>
      </w:r>
      <w:r>
        <w:rPr>
          <w:rFonts w:ascii="Arial" w:cs="Arial" w:eastAsia="Arial" w:hAnsi="Arial"/>
          <w:sz w:val="18"/>
          <w:szCs w:val="18"/>
          <w:color w:val="auto"/>
        </w:rPr>
        <w:t>”):</w:t>
      </w:r>
    </w:p>
    <w:p>
      <w:pPr>
        <w:spacing w:after="0" w:line="229" w:lineRule="exact"/>
        <w:rPr>
          <w:sz w:val="20"/>
          <w:szCs w:val="20"/>
          <w:color w:val="auto"/>
        </w:rPr>
      </w:pPr>
    </w:p>
    <w:p>
      <w:pPr>
        <w:ind w:right="260" w:firstLine="8"/>
        <w:spacing w:after="0" w:line="277" w:lineRule="auto"/>
        <w:tabs>
          <w:tab w:leader="none" w:pos="244"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Failure to Make Required Payments</w:t>
      </w:r>
      <w:r>
        <w:rPr>
          <w:rFonts w:ascii="Arial" w:cs="Arial" w:eastAsia="Arial" w:hAnsi="Arial"/>
          <w:sz w:val="18"/>
          <w:szCs w:val="18"/>
          <w:color w:val="auto"/>
        </w:rPr>
        <w:t>. Failure by Maker to pay the principal amount due pursuant to this Note within five (5) business days of the date specified above.</w:t>
      </w:r>
    </w:p>
    <w:p>
      <w:pPr>
        <w:spacing w:after="0" w:line="170" w:lineRule="exact"/>
        <w:rPr>
          <w:rFonts w:ascii="Arial" w:cs="Arial" w:eastAsia="Arial" w:hAnsi="Arial"/>
          <w:sz w:val="18"/>
          <w:szCs w:val="18"/>
          <w:color w:val="auto"/>
        </w:rPr>
      </w:pPr>
    </w:p>
    <w:p>
      <w:pPr>
        <w:ind w:right="80" w:firstLine="8"/>
        <w:spacing w:after="0" w:line="257"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Voluntary Bankruptcy, Etc</w:t>
      </w:r>
      <w:r>
        <w:rPr>
          <w:rFonts w:ascii="Arial" w:cs="Arial" w:eastAsia="Arial" w:hAnsi="Arial"/>
          <w:sz w:val="18"/>
          <w:szCs w:val="18"/>
          <w:color w:val="auto"/>
        </w:rPr>
        <w:t>. The commencement by Maker of a voluntary case under any applicable bankruptcy, insolvency, reorganization, rehabilitation or other similar law, or the consent by it to the appointment of or taking possession by a receiver, liquidator, assignee, trustee, custodian, sequestrator (or other similar official) of Maker or for any substantial part of its property, or the making by it of any assignment for the benefit of creditors, or the failure of Maker generally to pay its debts as such debts become due, or the taking of corporate action by Maker in furtherance of any of the foregoing.</w:t>
      </w:r>
    </w:p>
    <w:p>
      <w:pPr>
        <w:spacing w:after="0" w:line="187" w:lineRule="exact"/>
        <w:rPr>
          <w:rFonts w:ascii="Arial" w:cs="Arial" w:eastAsia="Arial" w:hAnsi="Arial"/>
          <w:sz w:val="18"/>
          <w:szCs w:val="18"/>
          <w:color w:val="auto"/>
        </w:rPr>
      </w:pPr>
    </w:p>
    <w:p>
      <w:pPr>
        <w:ind w:firstLine="8"/>
        <w:spacing w:after="0" w:line="259" w:lineRule="auto"/>
        <w:tabs>
          <w:tab w:leader="none" w:pos="244"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Involuntary Bankruptcy, Etc</w:t>
      </w:r>
      <w:r>
        <w:rPr>
          <w:rFonts w:ascii="Arial" w:cs="Arial" w:eastAsia="Arial" w:hAnsi="Arial"/>
          <w:sz w:val="18"/>
          <w:szCs w:val="18"/>
          <w:color w:val="auto"/>
        </w:rPr>
        <w:t>. The entry of a decree or order for relief by a court having jurisdiction in the premises in respect of Maker in an involuntary case under any applicable bankruptcy, insolvency or other similar law, or appointing a receiver, liquidator, assignee, custodian, trustee, sequestrator (or similar official) of Maker or for any substantial part of its property, or ordering the winding-up or liquidation of its affairs, and the continuance of any such decree or order unstayed and in effect for a period of 60 consecutive days.</w:t>
      </w:r>
    </w:p>
    <w:p>
      <w:pPr>
        <w:spacing w:after="0" w:line="183" w:lineRule="exact"/>
        <w:rPr>
          <w:sz w:val="20"/>
          <w:szCs w:val="20"/>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Remedies.</w:t>
      </w:r>
    </w:p>
    <w:p>
      <w:pPr>
        <w:spacing w:after="0" w:line="229" w:lineRule="exact"/>
        <w:rPr>
          <w:sz w:val="20"/>
          <w:szCs w:val="20"/>
          <w:color w:val="auto"/>
        </w:rPr>
      </w:pPr>
    </w:p>
    <w:p>
      <w:pPr>
        <w:ind w:firstLine="8"/>
        <w:spacing w:after="0" w:line="259" w:lineRule="auto"/>
        <w:tabs>
          <w:tab w:leader="none" w:pos="245" w:val="left"/>
        </w:tabs>
        <w:numPr>
          <w:ilvl w:val="0"/>
          <w:numId w:val="5"/>
        </w:numPr>
        <w:rPr>
          <w:rFonts w:ascii="Arial" w:cs="Arial" w:eastAsia="Arial" w:hAnsi="Arial"/>
          <w:sz w:val="18"/>
          <w:szCs w:val="18"/>
          <w:color w:val="auto"/>
        </w:rPr>
      </w:pPr>
      <w:r>
        <w:rPr>
          <w:rFonts w:ascii="Arial" w:cs="Arial" w:eastAsia="Arial" w:hAnsi="Arial"/>
          <w:sz w:val="18"/>
          <w:szCs w:val="18"/>
          <w:color w:val="auto"/>
        </w:rPr>
        <w:t>Upon the occurrence of an Event of Default specified in Section 4(a) hereof, Payee may, by written notice to Maker, declare this Note to be due immediately and payable, whereupon the unpaid principal amount of this Note, and all other amounts payable thereunder, shall become immediately due and payable without presentment, demand, protest or other notice of any kind, all of which are hereby expressly waived, anything contained herein or in the documents evidencing the same to the contrary notwithstanding.</w:t>
      </w:r>
    </w:p>
    <w:p>
      <w:pPr>
        <w:spacing w:after="0" w:line="186" w:lineRule="exact"/>
        <w:rPr>
          <w:rFonts w:ascii="Arial" w:cs="Arial" w:eastAsia="Arial" w:hAnsi="Arial"/>
          <w:sz w:val="18"/>
          <w:szCs w:val="18"/>
          <w:color w:val="auto"/>
        </w:rPr>
      </w:pPr>
    </w:p>
    <w:p>
      <w:pPr>
        <w:ind w:right="280" w:firstLine="8"/>
        <w:spacing w:after="0" w:line="342" w:lineRule="auto"/>
        <w:tabs>
          <w:tab w:leader="none" w:pos="255" w:val="left"/>
        </w:tabs>
        <w:numPr>
          <w:ilvl w:val="0"/>
          <w:numId w:val="5"/>
        </w:numPr>
        <w:rPr>
          <w:rFonts w:ascii="Arial" w:cs="Arial" w:eastAsia="Arial" w:hAnsi="Arial"/>
          <w:sz w:val="16"/>
          <w:szCs w:val="16"/>
          <w:color w:val="auto"/>
        </w:rPr>
      </w:pPr>
      <w:r>
        <w:rPr>
          <w:rFonts w:ascii="Arial" w:cs="Arial" w:eastAsia="Arial" w:hAnsi="Arial"/>
          <w:sz w:val="16"/>
          <w:szCs w:val="16"/>
          <w:color w:val="auto"/>
        </w:rPr>
        <w:t>Upon the occurrence of an Event of Default specified in Sections 4(b) and 4(c), the unpaid principal balance of this Note, and all other sums payable with regard to this Note, shall automatically and immediately become due and payable, in all cases without any action on the part of Payee.</w:t>
      </w:r>
    </w:p>
    <w:p>
      <w:pPr>
        <w:spacing w:after="0" w:line="120" w:lineRule="exact"/>
        <w:rPr>
          <w:sz w:val="20"/>
          <w:szCs w:val="20"/>
          <w:color w:val="auto"/>
        </w:rPr>
      </w:pPr>
    </w:p>
    <w:p>
      <w:pPr>
        <w:ind w:right="60" w:firstLine="8"/>
        <w:spacing w:after="0" w:line="282" w:lineRule="auto"/>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Waivers. </w:t>
      </w:r>
      <w:r>
        <w:rPr>
          <w:rFonts w:ascii="Arial" w:cs="Arial" w:eastAsia="Arial" w:hAnsi="Arial"/>
          <w:sz w:val="18"/>
          <w:szCs w:val="18"/>
          <w:color w:val="auto"/>
        </w:rPr>
        <w:t>Maker and all endorsers and guarantors of, and sureties for, this Note waive presentment for payment, demand, notice of dishonor, protest, and</w:t>
      </w:r>
      <w:r>
        <w:rPr>
          <w:rFonts w:ascii="Arial" w:cs="Arial" w:eastAsia="Arial" w:hAnsi="Arial"/>
          <w:sz w:val="18"/>
          <w:szCs w:val="18"/>
          <w:b w:val="1"/>
          <w:bCs w:val="1"/>
          <w:color w:val="auto"/>
        </w:rPr>
        <w:t xml:space="preserve"> </w:t>
      </w:r>
      <w:r>
        <w:rPr>
          <w:rFonts w:ascii="Arial" w:cs="Arial" w:eastAsia="Arial" w:hAnsi="Arial"/>
          <w:sz w:val="18"/>
          <w:szCs w:val="18"/>
          <w:color w:val="auto"/>
        </w:rPr>
        <w:t>notice of protest with regard to the Note, all errors, defects and imperfections in any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722630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line="257" w:lineRule="auto"/>
        <w:rPr>
          <w:sz w:val="20"/>
          <w:szCs w:val="20"/>
          <w:color w:val="auto"/>
        </w:rPr>
      </w:pPr>
      <w:r>
        <w:rPr>
          <w:rFonts w:ascii="Arial" w:cs="Arial" w:eastAsia="Arial" w:hAnsi="Arial"/>
          <w:sz w:val="18"/>
          <w:szCs w:val="18"/>
          <w:color w:val="auto"/>
        </w:rPr>
        <w:t>instituted by Payee under the terms of this Note, and all benefits that might accrue to Maker by virtue of any present or future laws exempting any property, real or personal, or any part of the proceeds arising from any sale of any such property, from attachment, levy or sale under execution, or providing for any stay of execution, exemption from civil process, or extension of time for payment; and Maker agrees that any real estate that may be levied upon pursuant to a judgment obtained by virtue hereof, on any writ of execution issued hereon, may be sold upon any such writ in whole or in part in any order desired by Payee.</w:t>
      </w:r>
    </w:p>
    <w:p>
      <w:pPr>
        <w:spacing w:after="0" w:line="184" w:lineRule="exact"/>
        <w:rPr>
          <w:sz w:val="20"/>
          <w:szCs w:val="20"/>
          <w:color w:val="auto"/>
        </w:rPr>
      </w:pPr>
    </w:p>
    <w:p>
      <w:pPr>
        <w:ind w:right="100" w:firstLine="8"/>
        <w:spacing w:after="0" w:line="298" w:lineRule="auto"/>
        <w:tabs>
          <w:tab w:leader="none" w:pos="18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Unconditional Liability. </w:t>
      </w:r>
      <w:r>
        <w:rPr>
          <w:rFonts w:ascii="Arial" w:cs="Arial" w:eastAsia="Arial" w:hAnsi="Arial"/>
          <w:sz w:val="16"/>
          <w:szCs w:val="16"/>
          <w:color w:val="auto"/>
        </w:rPr>
        <w:t>Maker hereby waives all notices in connection with the delivery, acceptance, performance, default, or enforcement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payment of this Note, and agrees that its liability shall be unconditional, without regard to the liability of any other party, and shall not be affected in any manner by any indulgence, extension of time, renewal, waiver or modification granted or consented to by Payee, and consents to any and all extensions of time, renewals, waivers, or modifications that may be granted by Payee with respect to the payment or other provisions of this Note, and agrees that additional makers, endorsers, guarantors, or sureties may become parties hereto without notice to Maker or affecting Maker’s liability hereunder.</w:t>
      </w:r>
    </w:p>
    <w:p>
      <w:pPr>
        <w:spacing w:after="0" w:line="153" w:lineRule="exact"/>
        <w:rPr>
          <w:rFonts w:ascii="Arial" w:cs="Arial" w:eastAsia="Arial" w:hAnsi="Arial"/>
          <w:sz w:val="16"/>
          <w:szCs w:val="16"/>
          <w:color w:val="auto"/>
        </w:rPr>
      </w:pPr>
    </w:p>
    <w:p>
      <w:pPr>
        <w:ind w:right="160" w:firstLine="8"/>
        <w:spacing w:after="0" w:line="273" w:lineRule="auto"/>
        <w:tabs>
          <w:tab w:leader="none" w:pos="18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 xml:space="preserve">Notices. </w:t>
      </w:r>
      <w:r>
        <w:rPr>
          <w:rFonts w:ascii="Arial" w:cs="Arial" w:eastAsia="Arial" w:hAnsi="Arial"/>
          <w:sz w:val="17"/>
          <w:szCs w:val="17"/>
          <w:color w:val="auto"/>
        </w:rPr>
        <w:t>All notices, statements or other documents which are required or contemplated by this Agreement shall be: (i) in writing and delivered</w:t>
      </w:r>
      <w:r>
        <w:rPr>
          <w:rFonts w:ascii="Arial" w:cs="Arial" w:eastAsia="Arial" w:hAnsi="Arial"/>
          <w:sz w:val="17"/>
          <w:szCs w:val="17"/>
          <w:b w:val="1"/>
          <w:bCs w:val="1"/>
          <w:color w:val="auto"/>
        </w:rPr>
        <w:t xml:space="preserve"> </w:t>
      </w:r>
      <w:r>
        <w:rPr>
          <w:rFonts w:ascii="Arial" w:cs="Arial" w:eastAsia="Arial" w:hAnsi="Arial"/>
          <w:sz w:val="17"/>
          <w:szCs w:val="17"/>
          <w:color w:val="auto"/>
        </w:rPr>
        <w:t>personally or sent by first class registered or certified mail, overnight courier service or facsimile or electronic transmission to the address designated in writing, (ii) by facsimile to the number most recently provided to such party or such other address or fax number as may be designated in writing by such party and (iii) by electronic mail, to the electronic mail address most recently provided to such party or such other electronic mail address as may be designated in writing by such party. Any notice or other communication so transmitted shall be deemed to have been given on the day of delivery, if delivered personally, on the business day following receipt of written confirmation, if sent by facsimile or electronic transmission, one (1) business day after delivery to an overnight courier service or five (5) days after mailing if sent by mail.</w:t>
      </w:r>
    </w:p>
    <w:p>
      <w:pPr>
        <w:spacing w:after="0" w:line="171" w:lineRule="exact"/>
        <w:rPr>
          <w:rFonts w:ascii="Arial" w:cs="Arial" w:eastAsia="Arial" w:hAnsi="Arial"/>
          <w:sz w:val="17"/>
          <w:szCs w:val="17"/>
          <w:color w:val="auto"/>
        </w:rPr>
      </w:pPr>
    </w:p>
    <w:p>
      <w:pPr>
        <w:ind w:right="380" w:firstLine="8"/>
        <w:spacing w:after="0" w:line="282" w:lineRule="auto"/>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Construction. </w:t>
      </w:r>
      <w:r>
        <w:rPr>
          <w:rFonts w:ascii="Arial" w:cs="Arial" w:eastAsia="Arial" w:hAnsi="Arial"/>
          <w:sz w:val="18"/>
          <w:szCs w:val="18"/>
          <w:color w:val="auto"/>
        </w:rPr>
        <w:t>THIS NOTE SHALL BE CONSTRUED AND ENFORCED IN ACCORDANCE WITH THE LAWS OF NEW YORK,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REGARD TO CONFLICT OF LAW PROVISIONS THEREOF.</w:t>
      </w:r>
    </w:p>
    <w:p>
      <w:pPr>
        <w:spacing w:after="0" w:line="161" w:lineRule="exact"/>
        <w:rPr>
          <w:rFonts w:ascii="Arial" w:cs="Arial" w:eastAsia="Arial" w:hAnsi="Arial"/>
          <w:sz w:val="18"/>
          <w:szCs w:val="18"/>
          <w:color w:val="auto"/>
        </w:rPr>
      </w:pPr>
    </w:p>
    <w:p>
      <w:pPr>
        <w:jc w:val="both"/>
        <w:ind w:right="120" w:firstLine="8"/>
        <w:spacing w:after="0" w:line="266" w:lineRule="auto"/>
        <w:tabs>
          <w:tab w:leader="none" w:pos="27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Severability. </w:t>
      </w:r>
      <w:r>
        <w:rPr>
          <w:rFonts w:ascii="Arial" w:cs="Arial" w:eastAsia="Arial" w:hAnsi="Arial"/>
          <w:sz w:val="18"/>
          <w:szCs w:val="18"/>
          <w:color w:val="auto"/>
        </w:rPr>
        <w:t>Any provision contained in this Note which is prohibited or unenforceable in any jurisdiction shall, as to such jurisdiction, be ineffective</w:t>
      </w:r>
      <w:r>
        <w:rPr>
          <w:rFonts w:ascii="Arial" w:cs="Arial" w:eastAsia="Arial" w:hAnsi="Arial"/>
          <w:sz w:val="18"/>
          <w:szCs w:val="18"/>
          <w:b w:val="1"/>
          <w:bCs w:val="1"/>
          <w:color w:val="auto"/>
        </w:rPr>
        <w:t xml:space="preserve"> </w:t>
      </w:r>
      <w:r>
        <w:rPr>
          <w:rFonts w:ascii="Arial" w:cs="Arial" w:eastAsia="Arial" w:hAnsi="Arial"/>
          <w:sz w:val="18"/>
          <w:szCs w:val="18"/>
          <w:color w:val="auto"/>
        </w:rPr>
        <w:t>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75" w:lineRule="exact"/>
        <w:rPr>
          <w:rFonts w:ascii="Arial" w:cs="Arial" w:eastAsia="Arial" w:hAnsi="Arial"/>
          <w:sz w:val="18"/>
          <w:szCs w:val="18"/>
          <w:color w:val="auto"/>
        </w:rPr>
      </w:pPr>
    </w:p>
    <w:p>
      <w:pPr>
        <w:ind w:right="40" w:firstLine="8"/>
        <w:spacing w:after="0" w:line="256" w:lineRule="auto"/>
        <w:tabs>
          <w:tab w:leader="none" w:pos="263"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Trust Waiver. </w:t>
      </w:r>
      <w:r>
        <w:rPr>
          <w:rFonts w:ascii="Arial" w:cs="Arial" w:eastAsia="Arial" w:hAnsi="Arial"/>
          <w:sz w:val="18"/>
          <w:szCs w:val="18"/>
          <w:color w:val="auto"/>
        </w:rPr>
        <w:t>Notwithstanding anything herein to the contrary, the Payee hereby waives any and all right, title, interest or claim of any kind (“</w:t>
      </w:r>
      <w:r>
        <w:rPr>
          <w:rFonts w:ascii="Arial" w:cs="Arial" w:eastAsia="Arial" w:hAnsi="Arial"/>
          <w:sz w:val="18"/>
          <w:szCs w:val="18"/>
          <w:b w:val="1"/>
          <w:bCs w:val="1"/>
          <w:color w:val="auto"/>
        </w:rPr>
        <w:t>Claim</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in or to any distribution of or from the trust account established in which the proceeds of the initial public offering (the “</w:t>
      </w:r>
      <w:r>
        <w:rPr>
          <w:rFonts w:ascii="Arial" w:cs="Arial" w:eastAsia="Arial" w:hAnsi="Arial"/>
          <w:sz w:val="18"/>
          <w:szCs w:val="18"/>
          <w:b w:val="1"/>
          <w:bCs w:val="1"/>
          <w:color w:val="auto"/>
        </w:rPr>
        <w:t>IPO</w:t>
      </w:r>
      <w:r>
        <w:rPr>
          <w:rFonts w:ascii="Arial" w:cs="Arial" w:eastAsia="Arial" w:hAnsi="Arial"/>
          <w:sz w:val="18"/>
          <w:szCs w:val="18"/>
          <w:color w:val="auto"/>
        </w:rPr>
        <w:t>”) conducted by the Maker (including the deferred underwriting discounts and commissions) and the proceeds of the sale of the warrants issued in a private placement prior to the effectiveness of the IPO are deposited, as described in greater detail in the registration statement and prospectus filed with the Securities and Exchange Commission in connection with the IPO, and hereby agrees not to seek recourse, reimbursement, payment or satisfaction for any Claim against the trust account for any reason whatsoever.</w:t>
      </w:r>
    </w:p>
    <w:p>
      <w:pPr>
        <w:spacing w:after="0" w:line="187" w:lineRule="exact"/>
        <w:rPr>
          <w:rFonts w:ascii="Arial" w:cs="Arial" w:eastAsia="Arial" w:hAnsi="Arial"/>
          <w:sz w:val="18"/>
          <w:szCs w:val="18"/>
          <w:color w:val="auto"/>
        </w:rPr>
      </w:pPr>
    </w:p>
    <w:p>
      <w:pPr>
        <w:ind w:right="220" w:firstLine="8"/>
        <w:spacing w:after="0" w:line="282" w:lineRule="auto"/>
        <w:tabs>
          <w:tab w:leader="none" w:pos="27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Amendment; Waiver. </w:t>
      </w:r>
      <w:r>
        <w:rPr>
          <w:rFonts w:ascii="Arial" w:cs="Arial" w:eastAsia="Arial" w:hAnsi="Arial"/>
          <w:sz w:val="18"/>
          <w:szCs w:val="18"/>
          <w:color w:val="auto"/>
        </w:rPr>
        <w:t>Any amendment hereto or waiver of any provision hereof may be made with, and only with, the written consent of the Maker</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Payee.</w:t>
      </w:r>
    </w:p>
    <w:p>
      <w:pPr>
        <w:spacing w:after="0" w:line="161" w:lineRule="exact"/>
        <w:rPr>
          <w:rFonts w:ascii="Arial" w:cs="Arial" w:eastAsia="Arial" w:hAnsi="Arial"/>
          <w:sz w:val="18"/>
          <w:szCs w:val="18"/>
          <w:color w:val="auto"/>
        </w:rPr>
      </w:pPr>
    </w:p>
    <w:p>
      <w:pPr>
        <w:ind w:right="280" w:firstLine="8"/>
        <w:spacing w:after="0" w:line="347" w:lineRule="auto"/>
        <w:tabs>
          <w:tab w:leader="none" w:pos="27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Assignment. </w:t>
      </w:r>
      <w:r>
        <w:rPr>
          <w:rFonts w:ascii="Arial" w:cs="Arial" w:eastAsia="Arial" w:hAnsi="Arial"/>
          <w:sz w:val="16"/>
          <w:szCs w:val="16"/>
          <w:color w:val="auto"/>
        </w:rPr>
        <w:t>No assignment or transfer of this Note or any rights or obligations hereunder may be made by any party hereto (by operation of law or</w:t>
      </w:r>
      <w:r>
        <w:rPr>
          <w:rFonts w:ascii="Arial" w:cs="Arial" w:eastAsia="Arial" w:hAnsi="Arial"/>
          <w:sz w:val="16"/>
          <w:szCs w:val="16"/>
          <w:b w:val="1"/>
          <w:bCs w:val="1"/>
          <w:color w:val="auto"/>
        </w:rPr>
        <w:t xml:space="preserve"> </w:t>
      </w:r>
      <w:r>
        <w:rPr>
          <w:rFonts w:ascii="Arial" w:cs="Arial" w:eastAsia="Arial" w:hAnsi="Arial"/>
          <w:sz w:val="16"/>
          <w:szCs w:val="16"/>
          <w:color w:val="auto"/>
        </w:rPr>
        <w:t>otherwise) without the prior written consent of the other party hereto and any attempted assignment without the required consent shall be void.</w:t>
      </w: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5" w:name="page6"/>
    <w:bookmarkEnd w:id="5"/>
    <w:p>
      <w:pPr>
        <w:ind w:right="240"/>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Maker, intending to be legally bound hereby, has caused this Note to be duly executed by the undersigned as of the day and</w:t>
      </w:r>
      <w:r>
        <w:rPr>
          <w:rFonts w:ascii="Arial" w:cs="Arial" w:eastAsia="Arial" w:hAnsi="Arial"/>
          <w:sz w:val="18"/>
          <w:szCs w:val="18"/>
          <w:b w:val="1"/>
          <w:bCs w:val="1"/>
          <w:color w:val="auto"/>
        </w:rPr>
        <w:t xml:space="preserve"> </w:t>
      </w:r>
      <w:r>
        <w:rPr>
          <w:rFonts w:ascii="Arial" w:cs="Arial" w:eastAsia="Arial" w:hAnsi="Arial"/>
          <w:sz w:val="18"/>
          <w:szCs w:val="18"/>
          <w:color w:val="auto"/>
        </w:rPr>
        <w:t>year first above written.</w:t>
      </w:r>
    </w:p>
    <w:p>
      <w:pPr>
        <w:spacing w:after="0" w:line="378"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SILVER SPIKE ACQUISITION CORP.</w:t>
      </w:r>
    </w:p>
    <w:p>
      <w:pPr>
        <w:spacing w:after="0" w:line="2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 Cayman Islands exempted company</w:t>
      </w:r>
    </w:p>
    <w:p>
      <w:pPr>
        <w:spacing w:after="0" w:line="200" w:lineRule="exact"/>
        <w:rPr>
          <w:sz w:val="20"/>
          <w:szCs w:val="20"/>
          <w:color w:val="auto"/>
        </w:rPr>
      </w:pPr>
    </w:p>
    <w:p>
      <w:pPr>
        <w:spacing w:after="0" w:line="227" w:lineRule="exact"/>
        <w:rPr>
          <w:sz w:val="20"/>
          <w:szCs w:val="20"/>
          <w:color w:val="auto"/>
        </w:rPr>
      </w:pPr>
    </w:p>
    <w:p>
      <w:pPr>
        <w:ind w:left="6760"/>
        <w:spacing w:after="0"/>
        <w:tabs>
          <w:tab w:leader="none" w:pos="7240" w:val="left"/>
        </w:tabs>
        <w:rPr>
          <w:sz w:val="20"/>
          <w:szCs w:val="20"/>
          <w:color w:val="auto"/>
        </w:rPr>
      </w:pPr>
      <w:r>
        <w:rPr>
          <w:rFonts w:ascii="Arial" w:cs="Arial" w:eastAsia="Arial" w:hAnsi="Arial"/>
          <w:sz w:val="18"/>
          <w:szCs w:val="18"/>
          <w:color w:val="auto"/>
        </w:rPr>
        <w:t>By:</w:t>
        <w:tab/>
        <w:t>/s/ Greg Gentile</w:t>
      </w:r>
    </w:p>
    <w:p>
      <w:pPr>
        <w:spacing w:after="0" w:line="23" w:lineRule="exact"/>
        <w:rPr>
          <w:sz w:val="20"/>
          <w:szCs w:val="20"/>
          <w:color w:val="auto"/>
        </w:rPr>
      </w:pPr>
    </w:p>
    <w:tbl>
      <w:tblPr>
        <w:tblLayout w:type="fixed"/>
        <w:tblInd w:w="7260" w:type="dxa"/>
        <w:tblCellMar>
          <w:top w:w="0" w:type="dxa"/>
          <w:left w:w="0" w:type="dxa"/>
          <w:bottom w:w="0" w:type="dxa"/>
          <w:right w:w="0" w:type="dxa"/>
        </w:tblCellMar>
      </w:tblPr>
      <w:tr>
        <w:trPr>
          <w:trHeight w:val="195"/>
        </w:trPr>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338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Greg Gentile</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380" w:type="dxa"/>
            <w:vAlign w:val="bottom"/>
          </w:tcPr>
          <w:p>
            <w:pPr>
              <w:ind w:left="12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Promissory Note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decimal"/>
      <w:start w:val="5"/>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decimal"/>
      <w:start w:val="6"/>
    </w:lvl>
  </w:abstractNum>
  <w:abstractNum w:abstractNumId="6">
    <w:nsid w:val="41B71EFB"/>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2021-02-18T16:18:44Z</dcterms:created>
  <dcterms:modified xsi:type="dcterms:W3CDTF">2021-02-18T16:18:44Z</dcterms:modified>
</cp:coreProperties>
</file>