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8890</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SCHEDULE 13G</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(Amendment No. )*</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Silver Spike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G8136L106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May 11,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2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720" w:right="9100" w:hanging="86"/>
        <w:spacing w:after="0" w:line="283" w:lineRule="auto"/>
        <w:tabs>
          <w:tab w:leader="none" w:pos="102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 ý Rule 13d-1(c)</w:t>
      </w:r>
    </w:p>
    <w:p>
      <w:pPr>
        <w:ind w:left="1020" w:hanging="386"/>
        <w:spacing w:after="0"/>
        <w:tabs>
          <w:tab w:leader="none" w:pos="10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(Page 1 of 8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5"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240"/>
          </w:cols>
          <w:pgMar w:left="320" w:top="231" w:right="339" w:bottom="1440" w:gutter="0" w:footer="0" w:header="0"/>
        </w:sectPr>
      </w:pPr>
    </w:p>
    <w:bookmarkStart w:id="1" w:name="page2"/>
    <w:bookmarkEnd w:id="1"/>
    <w:p>
      <w:pPr>
        <w:spacing w:after="0"/>
        <w:tabs>
          <w:tab w:leader="none" w:pos="5460" w:val="left"/>
          <w:tab w:leader="none" w:pos="10000" w:val="left"/>
        </w:tabs>
        <w:rPr>
          <w:sz w:val="20"/>
          <w:szCs w:val="20"/>
          <w:color w:val="auto"/>
        </w:rPr>
      </w:pPr>
      <w:r>
        <w:rPr>
          <w:rFonts w:ascii="Arial" w:cs="Arial" w:eastAsia="Arial" w:hAnsi="Arial"/>
          <w:sz w:val="18"/>
          <w:szCs w:val="18"/>
          <w:b w:val="1"/>
          <w:bCs w:val="1"/>
          <w:color w:val="auto"/>
        </w:rPr>
        <w:t>CUSIP No. G8136L106</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Pge 2 of 8 Pages</w:t>
      </w:r>
    </w:p>
    <w:p>
      <w:pPr>
        <w:sectPr>
          <w:pgSz w:w="11900" w:h="16838" w:orient="portrait"/>
          <w:cols w:equalWidth="0" w:num="1">
            <w:col w:w="11240"/>
          </w:cols>
          <w:pgMar w:left="320" w:top="229" w:right="339" w:bottom="1440" w:gutter="0" w:footer="0" w:header="0"/>
        </w:sectPr>
      </w:pPr>
    </w:p>
    <w:p>
      <w:pPr>
        <w:ind w:left="1700" w:hanging="967"/>
        <w:spacing w:after="0" w:line="226" w:lineRule="auto"/>
        <w:tabs>
          <w:tab w:leader="none" w:pos="1700" w:val="left"/>
        </w:tabs>
        <w:numPr>
          <w:ilvl w:val="0"/>
          <w:numId w:val="2"/>
        </w:numPr>
        <w:rPr>
          <w:rFonts w:ascii="Arial" w:cs="Arial" w:eastAsia="Arial" w:hAnsi="Arial"/>
          <w:sz w:val="58"/>
          <w:szCs w:val="58"/>
          <w:b w:val="1"/>
          <w:bCs w:val="1"/>
          <w:color w:val="auto"/>
          <w:vertAlign w:val="subscript"/>
        </w:rPr>
      </w:pP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4800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800600"/>
                    </a:xfrm>
                    <a:prstGeom prst="rect">
                      <a:avLst/>
                    </a:prstGeom>
                    <a:noFill/>
                  </pic:spPr>
                </pic:pic>
              </a:graphicData>
            </a:graphic>
          </wp:anchor>
        </w:drawing>
      </w:r>
    </w:p>
    <w:p>
      <w:pPr>
        <w:spacing w:after="0" w:line="226"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Senvest Management, LLC</w:t>
      </w:r>
    </w:p>
    <w:p>
      <w:pPr>
        <w:ind w:left="1700" w:hanging="967"/>
        <w:spacing w:after="0" w:line="180" w:lineRule="auto"/>
        <w:tabs>
          <w:tab w:leader="none" w:pos="1700" w:val="left"/>
        </w:tabs>
        <w:numPr>
          <w:ilvl w:val="0"/>
          <w:numId w:val="3"/>
        </w:numPr>
        <w:rPr>
          <w:rFonts w:ascii="Arial" w:cs="Arial" w:eastAsia="Arial" w:hAnsi="Arial"/>
          <w:sz w:val="45"/>
          <w:szCs w:val="45"/>
          <w:b w:val="1"/>
          <w:bCs w:val="1"/>
          <w:color w:val="auto"/>
          <w:vertAlign w:val="subscript"/>
        </w:rPr>
      </w:pPr>
      <w:r>
        <w:rPr>
          <w:rFonts w:ascii="Arial" w:cs="Arial" w:eastAsia="Arial" w:hAnsi="Arial"/>
          <w:sz w:val="15"/>
          <w:szCs w:val="15"/>
          <w:color w:val="auto"/>
        </w:rPr>
        <w:t>CHECK THE APPROPRIATE BOX IF A MEMBER OF A GROUP</w:t>
      </w:r>
    </w:p>
    <w:p>
      <w:pPr>
        <w:spacing w:after="0" w:line="103" w:lineRule="exact"/>
        <w:rPr>
          <w:sz w:val="20"/>
          <w:szCs w:val="20"/>
          <w:color w:val="auto"/>
        </w:rPr>
      </w:pPr>
    </w:p>
    <w:p>
      <w:pPr>
        <w:ind w:left="1700" w:hanging="967"/>
        <w:spacing w:after="0"/>
        <w:tabs>
          <w:tab w:leader="none" w:pos="1700" w:val="left"/>
        </w:tabs>
        <w:numPr>
          <w:ilvl w:val="0"/>
          <w:numId w:val="4"/>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9"/>
              </w:rPr>
              <w:t>Delaware</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1,427,273</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1,427,273</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5"/>
              </w:rPr>
              <w:t>1,427,273</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59"/>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5.71%</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OO, IA</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73" w:hanging="273"/>
        <w:spacing w:after="0" w:line="262" w:lineRule="exact"/>
        <w:tabs>
          <w:tab w:leader="none" w:pos="273" w:val="left"/>
        </w:tabs>
        <w:numPr>
          <w:ilvl w:val="0"/>
          <w:numId w:val="5"/>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5"/>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2" w:name="page3"/>
    <w:bookmarkEnd w:id="2"/>
    <w:p>
      <w:pPr>
        <w:spacing w:after="0"/>
        <w:tabs>
          <w:tab w:leader="none" w:pos="5460" w:val="left"/>
          <w:tab w:leader="none" w:pos="10000" w:val="left"/>
        </w:tabs>
        <w:rPr>
          <w:sz w:val="20"/>
          <w:szCs w:val="20"/>
          <w:color w:val="auto"/>
        </w:rPr>
      </w:pPr>
      <w:r>
        <w:rPr>
          <w:rFonts w:ascii="Arial" w:cs="Arial" w:eastAsia="Arial" w:hAnsi="Arial"/>
          <w:sz w:val="18"/>
          <w:szCs w:val="18"/>
          <w:b w:val="1"/>
          <w:bCs w:val="1"/>
          <w:color w:val="auto"/>
        </w:rPr>
        <w:t>CUSIP No. G8136L106</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Pge 3 of 8 Pages</w:t>
      </w:r>
    </w:p>
    <w:p>
      <w:pPr>
        <w:sectPr>
          <w:pgSz w:w="11900" w:h="16838" w:orient="portrait"/>
          <w:cols w:equalWidth="0" w:num="1">
            <w:col w:w="11240"/>
          </w:cols>
          <w:pgMar w:left="320" w:top="229" w:right="339" w:bottom="1440" w:gutter="0" w:footer="0" w:header="0"/>
        </w:sectPr>
      </w:pPr>
    </w:p>
    <w:p>
      <w:pPr>
        <w:spacing w:after="0" w:line="191" w:lineRule="exact"/>
        <w:rPr>
          <w:sz w:val="20"/>
          <w:szCs w:val="20"/>
          <w:color w:val="auto"/>
        </w:rPr>
      </w:pPr>
    </w:p>
    <w:p>
      <w:pPr>
        <w:ind w:left="1700" w:hanging="967"/>
        <w:spacing w:after="0"/>
        <w:tabs>
          <w:tab w:leader="none" w:pos="1700" w:val="left"/>
        </w:tabs>
        <w:numPr>
          <w:ilvl w:val="0"/>
          <w:numId w:val="6"/>
        </w:numPr>
        <w:rPr>
          <w:rFonts w:ascii="Arial" w:cs="Arial" w:eastAsia="Arial" w:hAnsi="Arial"/>
          <w:sz w:val="58"/>
          <w:szCs w:val="58"/>
          <w:b w:val="1"/>
          <w:bCs w:val="1"/>
          <w:color w:val="auto"/>
          <w:vertAlign w:val="subscript"/>
        </w:rPr>
      </w:pP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4800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800600"/>
                    </a:xfrm>
                    <a:prstGeom prst="rect">
                      <a:avLst/>
                    </a:prstGeom>
                    <a:noFill/>
                  </pic:spPr>
                </pic:pic>
              </a:graphicData>
            </a:graphic>
          </wp:anchor>
        </w:drawing>
      </w:r>
    </w:p>
    <w:p>
      <w:pPr>
        <w:spacing w:after="0" w:line="226"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Richard Mashaal</w:t>
      </w:r>
    </w:p>
    <w:p>
      <w:pPr>
        <w:ind w:left="1700" w:hanging="967"/>
        <w:spacing w:after="0" w:line="180" w:lineRule="auto"/>
        <w:tabs>
          <w:tab w:leader="none" w:pos="1700" w:val="left"/>
        </w:tabs>
        <w:numPr>
          <w:ilvl w:val="0"/>
          <w:numId w:val="7"/>
        </w:numPr>
        <w:rPr>
          <w:rFonts w:ascii="Arial" w:cs="Arial" w:eastAsia="Arial" w:hAnsi="Arial"/>
          <w:sz w:val="45"/>
          <w:szCs w:val="45"/>
          <w:b w:val="1"/>
          <w:bCs w:val="1"/>
          <w:color w:val="auto"/>
          <w:vertAlign w:val="subscript"/>
        </w:rPr>
      </w:pPr>
      <w:r>
        <w:rPr>
          <w:rFonts w:ascii="Arial" w:cs="Arial" w:eastAsia="Arial" w:hAnsi="Arial"/>
          <w:sz w:val="15"/>
          <w:szCs w:val="15"/>
          <w:color w:val="auto"/>
        </w:rPr>
        <w:t>CHECK THE APPROPRIATE BOX IF A MEMBER OF A GROUP</w:t>
      </w:r>
    </w:p>
    <w:p>
      <w:pPr>
        <w:spacing w:after="0" w:line="103" w:lineRule="exact"/>
        <w:rPr>
          <w:sz w:val="20"/>
          <w:szCs w:val="20"/>
          <w:color w:val="auto"/>
        </w:rPr>
      </w:pPr>
    </w:p>
    <w:p>
      <w:pPr>
        <w:ind w:left="1700" w:hanging="967"/>
        <w:spacing w:after="0"/>
        <w:tabs>
          <w:tab w:leader="none" w:pos="1700" w:val="left"/>
        </w:tabs>
        <w:numPr>
          <w:ilvl w:val="0"/>
          <w:numId w:val="8"/>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Canada</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1,427,273</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1,427,273</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5"/>
              </w:rPr>
              <w:t>1,427,273</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60"/>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5.71%</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IN, HC</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73" w:hanging="273"/>
        <w:spacing w:after="0" w:line="262" w:lineRule="exact"/>
        <w:tabs>
          <w:tab w:leader="none" w:pos="273" w:val="left"/>
        </w:tabs>
        <w:numPr>
          <w:ilvl w:val="0"/>
          <w:numId w:val="9"/>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9"/>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3" w:name="page4"/>
    <w:bookmarkEnd w:id="3"/>
    <w:p>
      <w:pPr>
        <w:spacing w:after="0"/>
        <w:tabs>
          <w:tab w:leader="none" w:pos="5460" w:val="left"/>
          <w:tab w:leader="none" w:pos="10000" w:val="left"/>
        </w:tabs>
        <w:rPr>
          <w:sz w:val="20"/>
          <w:szCs w:val="20"/>
          <w:color w:val="auto"/>
        </w:rPr>
      </w:pPr>
      <w:r>
        <w:rPr>
          <w:rFonts w:ascii="Arial" w:cs="Arial" w:eastAsia="Arial" w:hAnsi="Arial"/>
          <w:sz w:val="18"/>
          <w:szCs w:val="18"/>
          <w:b w:val="1"/>
          <w:bCs w:val="1"/>
          <w:color w:val="auto"/>
        </w:rPr>
        <w:t>CUSIP No. G8136L106</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Pge 4 of 8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126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9740" w:type="dxa"/>
            <w:vAlign w:val="bottom"/>
            <w:gridSpan w:val="5"/>
          </w:tcPr>
          <w:p>
            <w:pPr>
              <w:ind w:left="420"/>
              <w:spacing w:after="0"/>
              <w:rPr>
                <w:sz w:val="20"/>
                <w:szCs w:val="20"/>
                <w:color w:val="auto"/>
              </w:rPr>
            </w:pPr>
            <w:r>
              <w:rPr>
                <w:rFonts w:ascii="Arial" w:cs="Arial" w:eastAsia="Arial" w:hAnsi="Arial"/>
                <w:sz w:val="20"/>
                <w:szCs w:val="20"/>
                <w:b w:val="1"/>
                <w:bCs w:val="1"/>
                <w:color w:val="auto"/>
              </w:rPr>
              <w:t>Name of Issuer.</w:t>
            </w:r>
          </w:p>
        </w:tc>
      </w:tr>
      <w:tr>
        <w:trPr>
          <w:trHeight w:val="206"/>
        </w:trPr>
        <w:tc>
          <w:tcPr>
            <w:tcW w:w="1260" w:type="dxa"/>
            <w:vAlign w:val="bottom"/>
          </w:tcPr>
          <w:p>
            <w:pPr>
              <w:spacing w:after="0"/>
              <w:rPr>
                <w:sz w:val="17"/>
                <w:szCs w:val="17"/>
                <w:color w:val="auto"/>
              </w:rPr>
            </w:pPr>
          </w:p>
        </w:tc>
        <w:tc>
          <w:tcPr>
            <w:tcW w:w="9740" w:type="dxa"/>
            <w:vAlign w:val="bottom"/>
            <w:gridSpan w:val="5"/>
          </w:tcPr>
          <w:p>
            <w:pPr>
              <w:ind w:left="420"/>
              <w:spacing w:after="0" w:line="206" w:lineRule="exact"/>
              <w:rPr>
                <w:sz w:val="20"/>
                <w:szCs w:val="20"/>
                <w:color w:val="auto"/>
              </w:rPr>
            </w:pPr>
            <w:r>
              <w:rPr>
                <w:rFonts w:ascii="Arial" w:cs="Arial" w:eastAsia="Arial" w:hAnsi="Arial"/>
                <w:sz w:val="20"/>
                <w:szCs w:val="20"/>
                <w:color w:val="auto"/>
              </w:rPr>
              <w:t>Silver Spike Acquisition Corp. (the "Issuer")</w:t>
            </w:r>
          </w:p>
        </w:tc>
      </w:tr>
      <w:tr>
        <w:trPr>
          <w:trHeight w:val="20"/>
        </w:trPr>
        <w:tc>
          <w:tcPr>
            <w:tcW w:w="1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67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9740" w:type="dxa"/>
            <w:vAlign w:val="bottom"/>
            <w:gridSpan w:val="5"/>
          </w:tcPr>
          <w:p>
            <w:pPr>
              <w:ind w:left="420"/>
              <w:spacing w:after="0"/>
              <w:rPr>
                <w:sz w:val="20"/>
                <w:szCs w:val="20"/>
                <w:color w:val="auto"/>
              </w:rPr>
            </w:pPr>
            <w:r>
              <w:rPr>
                <w:rFonts w:ascii="Arial" w:cs="Arial" w:eastAsia="Arial" w:hAnsi="Arial"/>
                <w:sz w:val="20"/>
                <w:szCs w:val="20"/>
                <w:b w:val="1"/>
                <w:bCs w:val="1"/>
                <w:color w:val="auto"/>
              </w:rPr>
              <w:t>Address of Issuer's Principal Executive Offices.</w:t>
            </w:r>
          </w:p>
        </w:tc>
      </w:tr>
      <w:tr>
        <w:trPr>
          <w:trHeight w:val="229"/>
        </w:trPr>
        <w:tc>
          <w:tcPr>
            <w:tcW w:w="1260" w:type="dxa"/>
            <w:vAlign w:val="bottom"/>
          </w:tcPr>
          <w:p>
            <w:pPr>
              <w:spacing w:after="0"/>
              <w:rPr>
                <w:sz w:val="19"/>
                <w:szCs w:val="19"/>
                <w:color w:val="auto"/>
              </w:rPr>
            </w:pPr>
          </w:p>
        </w:tc>
        <w:tc>
          <w:tcPr>
            <w:tcW w:w="9740" w:type="dxa"/>
            <w:vAlign w:val="bottom"/>
            <w:gridSpan w:val="5"/>
          </w:tcPr>
          <w:p>
            <w:pPr>
              <w:ind w:left="420"/>
              <w:spacing w:after="0"/>
              <w:rPr>
                <w:sz w:val="20"/>
                <w:szCs w:val="20"/>
                <w:color w:val="auto"/>
              </w:rPr>
            </w:pPr>
            <w:r>
              <w:rPr>
                <w:rFonts w:ascii="Arial" w:cs="Arial" w:eastAsia="Arial" w:hAnsi="Arial"/>
                <w:sz w:val="20"/>
                <w:szCs w:val="20"/>
                <w:color w:val="auto"/>
              </w:rPr>
              <w:t>660 Madison Ave Ste 1600</w:t>
            </w:r>
          </w:p>
        </w:tc>
      </w:tr>
      <w:tr>
        <w:trPr>
          <w:trHeight w:val="250"/>
        </w:trPr>
        <w:tc>
          <w:tcPr>
            <w:tcW w:w="1260" w:type="dxa"/>
            <w:vAlign w:val="bottom"/>
          </w:tcPr>
          <w:p>
            <w:pPr>
              <w:spacing w:after="0"/>
              <w:rPr>
                <w:sz w:val="21"/>
                <w:szCs w:val="21"/>
                <w:color w:val="auto"/>
              </w:rPr>
            </w:pPr>
          </w:p>
        </w:tc>
        <w:tc>
          <w:tcPr>
            <w:tcW w:w="9740" w:type="dxa"/>
            <w:vAlign w:val="bottom"/>
            <w:gridSpan w:val="5"/>
          </w:tcPr>
          <w:p>
            <w:pPr>
              <w:ind w:left="420"/>
              <w:spacing w:after="0"/>
              <w:rPr>
                <w:sz w:val="20"/>
                <w:szCs w:val="20"/>
                <w:color w:val="auto"/>
              </w:rPr>
            </w:pPr>
            <w:r>
              <w:rPr>
                <w:rFonts w:ascii="Arial" w:cs="Arial" w:eastAsia="Arial" w:hAnsi="Arial"/>
                <w:sz w:val="20"/>
                <w:szCs w:val="20"/>
                <w:color w:val="auto"/>
              </w:rPr>
              <w:t>New York, New York 10065</w:t>
            </w:r>
          </w:p>
        </w:tc>
      </w:tr>
      <w:tr>
        <w:trPr>
          <w:trHeight w:val="438"/>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2(a).</w:t>
            </w:r>
          </w:p>
        </w:tc>
        <w:tc>
          <w:tcPr>
            <w:tcW w:w="9740" w:type="dxa"/>
            <w:vAlign w:val="bottom"/>
            <w:gridSpan w:val="5"/>
          </w:tcPr>
          <w:p>
            <w:pPr>
              <w:ind w:left="420"/>
              <w:spacing w:after="0"/>
              <w:rPr>
                <w:sz w:val="20"/>
                <w:szCs w:val="20"/>
                <w:color w:val="auto"/>
              </w:rPr>
            </w:pPr>
            <w:r>
              <w:rPr>
                <w:rFonts w:ascii="Arial" w:cs="Arial" w:eastAsia="Arial" w:hAnsi="Arial"/>
                <w:sz w:val="20"/>
                <w:szCs w:val="20"/>
                <w:b w:val="1"/>
                <w:bCs w:val="1"/>
                <w:color w:val="auto"/>
              </w:rPr>
              <w:t>Name of Person Filing.</w:t>
            </w:r>
          </w:p>
        </w:tc>
      </w:tr>
      <w:tr>
        <w:trPr>
          <w:trHeight w:val="250"/>
        </w:trPr>
        <w:tc>
          <w:tcPr>
            <w:tcW w:w="1260" w:type="dxa"/>
            <w:vAlign w:val="bottom"/>
          </w:tcPr>
          <w:p>
            <w:pPr>
              <w:spacing w:after="0"/>
              <w:rPr>
                <w:sz w:val="21"/>
                <w:szCs w:val="21"/>
                <w:color w:val="auto"/>
              </w:rPr>
            </w:pPr>
          </w:p>
        </w:tc>
        <w:tc>
          <w:tcPr>
            <w:tcW w:w="9740" w:type="dxa"/>
            <w:vAlign w:val="bottom"/>
            <w:gridSpan w:val="5"/>
          </w:tcPr>
          <w:p>
            <w:pPr>
              <w:ind w:left="420"/>
              <w:spacing w:after="0"/>
              <w:rPr>
                <w:sz w:val="20"/>
                <w:szCs w:val="20"/>
                <w:color w:val="auto"/>
              </w:rPr>
            </w:pPr>
            <w:r>
              <w:rPr>
                <w:rFonts w:ascii="Arial" w:cs="Arial" w:eastAsia="Arial" w:hAnsi="Arial"/>
                <w:sz w:val="20"/>
                <w:szCs w:val="20"/>
                <w:color w:val="auto"/>
              </w:rPr>
              <w:t>This statement is filed by Senvest Management, LLC and Richard Mashaal.</w:t>
            </w:r>
          </w:p>
        </w:tc>
      </w:tr>
      <w:tr>
        <w:trPr>
          <w:trHeight w:val="438"/>
        </w:trPr>
        <w:tc>
          <w:tcPr>
            <w:tcW w:w="1260" w:type="dxa"/>
            <w:vAlign w:val="bottom"/>
          </w:tcPr>
          <w:p>
            <w:pPr>
              <w:spacing w:after="0"/>
              <w:rPr>
                <w:sz w:val="24"/>
                <w:szCs w:val="24"/>
                <w:color w:val="auto"/>
              </w:rPr>
            </w:pPr>
          </w:p>
        </w:tc>
        <w:tc>
          <w:tcPr>
            <w:tcW w:w="9740" w:type="dxa"/>
            <w:vAlign w:val="bottom"/>
            <w:gridSpan w:val="5"/>
          </w:tcPr>
          <w:p>
            <w:pPr>
              <w:ind w:left="420"/>
              <w:spacing w:after="0"/>
              <w:rPr>
                <w:sz w:val="20"/>
                <w:szCs w:val="20"/>
                <w:color w:val="auto"/>
              </w:rPr>
            </w:pPr>
            <w:r>
              <w:rPr>
                <w:rFonts w:ascii="Arial" w:cs="Arial" w:eastAsia="Arial" w:hAnsi="Arial"/>
                <w:sz w:val="20"/>
                <w:szCs w:val="20"/>
                <w:color w:val="auto"/>
                <w:w w:val="89"/>
              </w:rPr>
              <w:t>The reported securities are held in the account of Senvest Master Fund, LP and Senvest Technology Partners Master</w:t>
            </w:r>
          </w:p>
        </w:tc>
      </w:tr>
      <w:tr>
        <w:trPr>
          <w:trHeight w:val="206"/>
        </w:trPr>
        <w:tc>
          <w:tcPr>
            <w:tcW w:w="1260" w:type="dxa"/>
            <w:vAlign w:val="bottom"/>
          </w:tcPr>
          <w:p>
            <w:pPr>
              <w:spacing w:after="0"/>
              <w:rPr>
                <w:sz w:val="17"/>
                <w:szCs w:val="17"/>
                <w:color w:val="auto"/>
              </w:rPr>
            </w:pPr>
          </w:p>
        </w:tc>
        <w:tc>
          <w:tcPr>
            <w:tcW w:w="9740" w:type="dxa"/>
            <w:vAlign w:val="bottom"/>
            <w:gridSpan w:val="5"/>
          </w:tcPr>
          <w:p>
            <w:pPr>
              <w:ind w:left="420"/>
              <w:spacing w:after="0" w:line="206" w:lineRule="exact"/>
              <w:rPr>
                <w:sz w:val="20"/>
                <w:szCs w:val="20"/>
                <w:color w:val="auto"/>
              </w:rPr>
            </w:pPr>
            <w:r>
              <w:rPr>
                <w:rFonts w:ascii="Arial" w:cs="Arial" w:eastAsia="Arial" w:hAnsi="Arial"/>
                <w:sz w:val="20"/>
                <w:szCs w:val="20"/>
                <w:color w:val="auto"/>
              </w:rPr>
              <w:t>Fund, LP (collectively, the "Investment Vehicles").</w:t>
            </w:r>
          </w:p>
        </w:tc>
      </w:tr>
      <w:tr>
        <w:trPr>
          <w:trHeight w:val="20"/>
        </w:trPr>
        <w:tc>
          <w:tcPr>
            <w:tcW w:w="1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0" w:type="dxa"/>
            <w:vAlign w:val="bottom"/>
            <w:gridSpan w:val="3"/>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463"/>
        </w:trPr>
        <w:tc>
          <w:tcPr>
            <w:tcW w:w="1260" w:type="dxa"/>
            <w:vAlign w:val="bottom"/>
          </w:tcPr>
          <w:p>
            <w:pPr>
              <w:spacing w:after="0"/>
              <w:rPr>
                <w:sz w:val="24"/>
                <w:szCs w:val="24"/>
                <w:color w:val="auto"/>
              </w:rPr>
            </w:pPr>
          </w:p>
        </w:tc>
        <w:tc>
          <w:tcPr>
            <w:tcW w:w="9740" w:type="dxa"/>
            <w:vAlign w:val="bottom"/>
            <w:gridSpan w:val="5"/>
          </w:tcPr>
          <w:p>
            <w:pPr>
              <w:ind w:left="420"/>
              <w:spacing w:after="0"/>
              <w:rPr>
                <w:sz w:val="20"/>
                <w:szCs w:val="20"/>
                <w:color w:val="auto"/>
              </w:rPr>
            </w:pPr>
            <w:r>
              <w:rPr>
                <w:rFonts w:ascii="Arial" w:cs="Arial" w:eastAsia="Arial" w:hAnsi="Arial"/>
                <w:sz w:val="20"/>
                <w:szCs w:val="20"/>
                <w:color w:val="auto"/>
                <w:w w:val="93"/>
              </w:rPr>
              <w:t>Senvest Management, LLC may be deemed to beneficially own the securities held by the Investment Vehicles by</w:t>
            </w:r>
          </w:p>
        </w:tc>
      </w:tr>
      <w:tr>
        <w:trPr>
          <w:trHeight w:val="229"/>
        </w:trPr>
        <w:tc>
          <w:tcPr>
            <w:tcW w:w="1260" w:type="dxa"/>
            <w:vAlign w:val="bottom"/>
          </w:tcPr>
          <w:p>
            <w:pPr>
              <w:spacing w:after="0"/>
              <w:rPr>
                <w:sz w:val="19"/>
                <w:szCs w:val="19"/>
                <w:color w:val="auto"/>
              </w:rPr>
            </w:pPr>
          </w:p>
        </w:tc>
        <w:tc>
          <w:tcPr>
            <w:tcW w:w="9740" w:type="dxa"/>
            <w:vAlign w:val="bottom"/>
            <w:gridSpan w:val="5"/>
          </w:tcPr>
          <w:p>
            <w:pPr>
              <w:ind w:left="420"/>
              <w:spacing w:after="0"/>
              <w:rPr>
                <w:sz w:val="20"/>
                <w:szCs w:val="20"/>
                <w:color w:val="auto"/>
              </w:rPr>
            </w:pPr>
            <w:r>
              <w:rPr>
                <w:rFonts w:ascii="Arial" w:cs="Arial" w:eastAsia="Arial" w:hAnsi="Arial"/>
                <w:sz w:val="20"/>
                <w:szCs w:val="20"/>
                <w:color w:val="auto"/>
                <w:w w:val="90"/>
              </w:rPr>
              <w:t>virtue of Senvest Management, LLC's position as investment manager of the Investment Vehicles. Mr. Mashaal may</w:t>
            </w:r>
          </w:p>
        </w:tc>
      </w:tr>
      <w:tr>
        <w:trPr>
          <w:trHeight w:val="229"/>
        </w:trPr>
        <w:tc>
          <w:tcPr>
            <w:tcW w:w="1260" w:type="dxa"/>
            <w:vAlign w:val="bottom"/>
          </w:tcPr>
          <w:p>
            <w:pPr>
              <w:spacing w:after="0"/>
              <w:rPr>
                <w:sz w:val="19"/>
                <w:szCs w:val="19"/>
                <w:color w:val="auto"/>
              </w:rPr>
            </w:pPr>
          </w:p>
        </w:tc>
        <w:tc>
          <w:tcPr>
            <w:tcW w:w="9740" w:type="dxa"/>
            <w:vAlign w:val="bottom"/>
            <w:gridSpan w:val="5"/>
          </w:tcPr>
          <w:p>
            <w:pPr>
              <w:ind w:left="420"/>
              <w:spacing w:after="0"/>
              <w:rPr>
                <w:sz w:val="20"/>
                <w:szCs w:val="20"/>
                <w:color w:val="auto"/>
              </w:rPr>
            </w:pPr>
            <w:r>
              <w:rPr>
                <w:rFonts w:ascii="Arial" w:cs="Arial" w:eastAsia="Arial" w:hAnsi="Arial"/>
                <w:sz w:val="20"/>
                <w:szCs w:val="20"/>
                <w:color w:val="auto"/>
                <w:w w:val="90"/>
              </w:rPr>
              <w:t>be deemed to beneficially own the securities held by the Investment Vehicles by virtue of Mr. Mashaal's status as the</w:t>
            </w:r>
          </w:p>
        </w:tc>
      </w:tr>
      <w:tr>
        <w:trPr>
          <w:trHeight w:val="230"/>
        </w:trPr>
        <w:tc>
          <w:tcPr>
            <w:tcW w:w="1260" w:type="dxa"/>
            <w:vAlign w:val="bottom"/>
          </w:tcPr>
          <w:p>
            <w:pPr>
              <w:spacing w:after="0"/>
              <w:rPr>
                <w:sz w:val="19"/>
                <w:szCs w:val="19"/>
                <w:color w:val="auto"/>
              </w:rPr>
            </w:pPr>
          </w:p>
        </w:tc>
        <w:tc>
          <w:tcPr>
            <w:tcW w:w="9740" w:type="dxa"/>
            <w:vAlign w:val="bottom"/>
            <w:gridSpan w:val="5"/>
          </w:tcPr>
          <w:p>
            <w:pPr>
              <w:ind w:left="420"/>
              <w:spacing w:after="0"/>
              <w:rPr>
                <w:sz w:val="20"/>
                <w:szCs w:val="20"/>
                <w:color w:val="auto"/>
              </w:rPr>
            </w:pPr>
            <w:r>
              <w:rPr>
                <w:rFonts w:ascii="Arial" w:cs="Arial" w:eastAsia="Arial" w:hAnsi="Arial"/>
                <w:sz w:val="20"/>
                <w:szCs w:val="20"/>
                <w:color w:val="auto"/>
                <w:w w:val="92"/>
              </w:rPr>
              <w:t>managing member of Senvest Management, LLC. None of the foregoing should be construed in and of itself as an</w:t>
            </w:r>
          </w:p>
        </w:tc>
      </w:tr>
      <w:tr>
        <w:trPr>
          <w:trHeight w:val="250"/>
        </w:trPr>
        <w:tc>
          <w:tcPr>
            <w:tcW w:w="1260" w:type="dxa"/>
            <w:vAlign w:val="bottom"/>
          </w:tcPr>
          <w:p>
            <w:pPr>
              <w:spacing w:after="0"/>
              <w:rPr>
                <w:sz w:val="21"/>
                <w:szCs w:val="21"/>
                <w:color w:val="auto"/>
              </w:rPr>
            </w:pPr>
          </w:p>
        </w:tc>
        <w:tc>
          <w:tcPr>
            <w:tcW w:w="9740" w:type="dxa"/>
            <w:vAlign w:val="bottom"/>
            <w:gridSpan w:val="5"/>
          </w:tcPr>
          <w:p>
            <w:pPr>
              <w:ind w:left="420"/>
              <w:spacing w:after="0"/>
              <w:rPr>
                <w:sz w:val="20"/>
                <w:szCs w:val="20"/>
                <w:color w:val="auto"/>
              </w:rPr>
            </w:pPr>
            <w:r>
              <w:rPr>
                <w:rFonts w:ascii="Arial" w:cs="Arial" w:eastAsia="Arial" w:hAnsi="Arial"/>
                <w:sz w:val="20"/>
                <w:szCs w:val="20"/>
                <w:color w:val="auto"/>
              </w:rPr>
              <w:t>admission by any Reporting Person as to beneficial ownership of the securities reported herein.</w:t>
            </w:r>
          </w:p>
        </w:tc>
      </w:tr>
      <w:tr>
        <w:trPr>
          <w:trHeight w:val="438"/>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2(b).</w:t>
            </w:r>
          </w:p>
        </w:tc>
        <w:tc>
          <w:tcPr>
            <w:tcW w:w="9740" w:type="dxa"/>
            <w:vAlign w:val="bottom"/>
            <w:gridSpan w:val="5"/>
          </w:tcPr>
          <w:p>
            <w:pPr>
              <w:ind w:left="420"/>
              <w:spacing w:after="0"/>
              <w:rPr>
                <w:sz w:val="20"/>
                <w:szCs w:val="20"/>
                <w:color w:val="auto"/>
              </w:rPr>
            </w:pPr>
            <w:r>
              <w:rPr>
                <w:rFonts w:ascii="Arial" w:cs="Arial" w:eastAsia="Arial" w:hAnsi="Arial"/>
                <w:sz w:val="20"/>
                <w:szCs w:val="20"/>
                <w:b w:val="1"/>
                <w:bCs w:val="1"/>
                <w:color w:val="auto"/>
              </w:rPr>
              <w:t>Address of Principal Business Office.</w:t>
            </w:r>
          </w:p>
        </w:tc>
      </w:tr>
      <w:tr>
        <w:trPr>
          <w:trHeight w:val="234"/>
        </w:trPr>
        <w:tc>
          <w:tcPr>
            <w:tcW w:w="1260" w:type="dxa"/>
            <w:vAlign w:val="bottom"/>
          </w:tcPr>
          <w:p>
            <w:pPr>
              <w:spacing w:after="0"/>
              <w:rPr>
                <w:sz w:val="20"/>
                <w:szCs w:val="20"/>
                <w:color w:val="auto"/>
              </w:rPr>
            </w:pPr>
          </w:p>
        </w:tc>
        <w:tc>
          <w:tcPr>
            <w:tcW w:w="9740" w:type="dxa"/>
            <w:vAlign w:val="bottom"/>
            <w:gridSpan w:val="5"/>
          </w:tcPr>
          <w:p>
            <w:pPr>
              <w:ind w:left="420"/>
              <w:spacing w:after="0"/>
              <w:rPr>
                <w:sz w:val="20"/>
                <w:szCs w:val="20"/>
                <w:color w:val="auto"/>
              </w:rPr>
            </w:pPr>
            <w:r>
              <w:rPr>
                <w:rFonts w:ascii="Arial" w:cs="Arial" w:eastAsia="Arial" w:hAnsi="Arial"/>
                <w:sz w:val="20"/>
                <w:szCs w:val="20"/>
                <w:color w:val="auto"/>
              </w:rPr>
              <w:t>Senvest Management, LLC</w:t>
            </w:r>
          </w:p>
        </w:tc>
      </w:tr>
      <w:tr>
        <w:trPr>
          <w:trHeight w:val="279"/>
        </w:trPr>
        <w:tc>
          <w:tcPr>
            <w:tcW w:w="1260" w:type="dxa"/>
            <w:vAlign w:val="bottom"/>
          </w:tcPr>
          <w:p>
            <w:pPr>
              <w:spacing w:after="0"/>
              <w:rPr>
                <w:sz w:val="24"/>
                <w:szCs w:val="24"/>
                <w:color w:val="auto"/>
              </w:rPr>
            </w:pPr>
          </w:p>
        </w:tc>
        <w:tc>
          <w:tcPr>
            <w:tcW w:w="9740" w:type="dxa"/>
            <w:vAlign w:val="bottom"/>
            <w:gridSpan w:val="5"/>
          </w:tcPr>
          <w:p>
            <w:pPr>
              <w:ind w:left="420"/>
              <w:spacing w:after="0" w:line="280" w:lineRule="exact"/>
              <w:rPr>
                <w:sz w:val="20"/>
                <w:szCs w:val="20"/>
                <w:color w:val="auto"/>
              </w:rPr>
            </w:pPr>
            <w:r>
              <w:rPr>
                <w:rFonts w:ascii="Arial" w:cs="Arial" w:eastAsia="Arial" w:hAnsi="Arial"/>
                <w:sz w:val="20"/>
                <w:szCs w:val="20"/>
                <w:color w:val="auto"/>
              </w:rPr>
              <w:t>540 Madison Avenue, 32</w:t>
            </w:r>
            <w:r>
              <w:rPr>
                <w:rFonts w:ascii="Arial" w:cs="Arial" w:eastAsia="Arial" w:hAnsi="Arial"/>
                <w:sz w:val="32"/>
                <w:szCs w:val="32"/>
                <w:color w:val="auto"/>
                <w:vertAlign w:val="superscript"/>
              </w:rPr>
              <w:t>nd</w:t>
            </w:r>
            <w:r>
              <w:rPr>
                <w:rFonts w:ascii="Arial" w:cs="Arial" w:eastAsia="Arial" w:hAnsi="Arial"/>
                <w:sz w:val="20"/>
                <w:szCs w:val="20"/>
                <w:color w:val="auto"/>
              </w:rPr>
              <w:t xml:space="preserve"> Floor</w:t>
            </w:r>
          </w:p>
        </w:tc>
      </w:tr>
      <w:tr>
        <w:trPr>
          <w:trHeight w:val="250"/>
        </w:trPr>
        <w:tc>
          <w:tcPr>
            <w:tcW w:w="1260" w:type="dxa"/>
            <w:vAlign w:val="bottom"/>
          </w:tcPr>
          <w:p>
            <w:pPr>
              <w:spacing w:after="0"/>
              <w:rPr>
                <w:sz w:val="21"/>
                <w:szCs w:val="21"/>
                <w:color w:val="auto"/>
              </w:rPr>
            </w:pPr>
          </w:p>
        </w:tc>
        <w:tc>
          <w:tcPr>
            <w:tcW w:w="9740" w:type="dxa"/>
            <w:vAlign w:val="bottom"/>
            <w:gridSpan w:val="5"/>
          </w:tcPr>
          <w:p>
            <w:pPr>
              <w:ind w:left="420"/>
              <w:spacing w:after="0"/>
              <w:rPr>
                <w:sz w:val="20"/>
                <w:szCs w:val="20"/>
                <w:color w:val="auto"/>
              </w:rPr>
            </w:pPr>
            <w:r>
              <w:rPr>
                <w:rFonts w:ascii="Arial" w:cs="Arial" w:eastAsia="Arial" w:hAnsi="Arial"/>
                <w:sz w:val="20"/>
                <w:szCs w:val="20"/>
                <w:color w:val="auto"/>
              </w:rPr>
              <w:t>New York, New York 10022</w:t>
            </w:r>
          </w:p>
        </w:tc>
      </w:tr>
      <w:tr>
        <w:trPr>
          <w:trHeight w:val="438"/>
        </w:trPr>
        <w:tc>
          <w:tcPr>
            <w:tcW w:w="1260" w:type="dxa"/>
            <w:vAlign w:val="bottom"/>
          </w:tcPr>
          <w:p>
            <w:pPr>
              <w:spacing w:after="0"/>
              <w:rPr>
                <w:sz w:val="24"/>
                <w:szCs w:val="24"/>
                <w:color w:val="auto"/>
              </w:rPr>
            </w:pPr>
          </w:p>
        </w:tc>
        <w:tc>
          <w:tcPr>
            <w:tcW w:w="9740" w:type="dxa"/>
            <w:vAlign w:val="bottom"/>
            <w:gridSpan w:val="5"/>
          </w:tcPr>
          <w:p>
            <w:pPr>
              <w:ind w:left="420"/>
              <w:spacing w:after="0"/>
              <w:rPr>
                <w:sz w:val="20"/>
                <w:szCs w:val="20"/>
                <w:color w:val="auto"/>
              </w:rPr>
            </w:pPr>
            <w:r>
              <w:rPr>
                <w:rFonts w:ascii="Arial" w:cs="Arial" w:eastAsia="Arial" w:hAnsi="Arial"/>
                <w:sz w:val="20"/>
                <w:szCs w:val="20"/>
                <w:color w:val="auto"/>
              </w:rPr>
              <w:t>Richard Mashaal</w:t>
            </w:r>
          </w:p>
        </w:tc>
      </w:tr>
      <w:tr>
        <w:trPr>
          <w:trHeight w:val="234"/>
        </w:trPr>
        <w:tc>
          <w:tcPr>
            <w:tcW w:w="1260" w:type="dxa"/>
            <w:vAlign w:val="bottom"/>
          </w:tcPr>
          <w:p>
            <w:pPr>
              <w:spacing w:after="0"/>
              <w:rPr>
                <w:sz w:val="20"/>
                <w:szCs w:val="20"/>
                <w:color w:val="auto"/>
              </w:rPr>
            </w:pPr>
          </w:p>
        </w:tc>
        <w:tc>
          <w:tcPr>
            <w:tcW w:w="9740" w:type="dxa"/>
            <w:vAlign w:val="bottom"/>
            <w:gridSpan w:val="5"/>
          </w:tcPr>
          <w:p>
            <w:pPr>
              <w:ind w:left="420"/>
              <w:spacing w:after="0"/>
              <w:rPr>
                <w:sz w:val="20"/>
                <w:szCs w:val="20"/>
                <w:color w:val="auto"/>
              </w:rPr>
            </w:pPr>
            <w:r>
              <w:rPr>
                <w:rFonts w:ascii="Arial" w:cs="Arial" w:eastAsia="Arial" w:hAnsi="Arial"/>
                <w:sz w:val="20"/>
                <w:szCs w:val="20"/>
                <w:color w:val="auto"/>
              </w:rPr>
              <w:t>c/o Senvest Management, LLC</w:t>
            </w:r>
          </w:p>
        </w:tc>
      </w:tr>
      <w:tr>
        <w:trPr>
          <w:trHeight w:val="279"/>
        </w:trPr>
        <w:tc>
          <w:tcPr>
            <w:tcW w:w="1260" w:type="dxa"/>
            <w:vAlign w:val="bottom"/>
          </w:tcPr>
          <w:p>
            <w:pPr>
              <w:spacing w:after="0"/>
              <w:rPr>
                <w:sz w:val="24"/>
                <w:szCs w:val="24"/>
                <w:color w:val="auto"/>
              </w:rPr>
            </w:pPr>
          </w:p>
        </w:tc>
        <w:tc>
          <w:tcPr>
            <w:tcW w:w="9740" w:type="dxa"/>
            <w:vAlign w:val="bottom"/>
            <w:gridSpan w:val="5"/>
          </w:tcPr>
          <w:p>
            <w:pPr>
              <w:ind w:left="420"/>
              <w:spacing w:after="0" w:line="280" w:lineRule="exact"/>
              <w:rPr>
                <w:sz w:val="20"/>
                <w:szCs w:val="20"/>
                <w:color w:val="auto"/>
              </w:rPr>
            </w:pPr>
            <w:r>
              <w:rPr>
                <w:rFonts w:ascii="Arial" w:cs="Arial" w:eastAsia="Arial" w:hAnsi="Arial"/>
                <w:sz w:val="20"/>
                <w:szCs w:val="20"/>
                <w:color w:val="auto"/>
              </w:rPr>
              <w:t>540 Madison Avenue, 32</w:t>
            </w:r>
            <w:r>
              <w:rPr>
                <w:rFonts w:ascii="Arial" w:cs="Arial" w:eastAsia="Arial" w:hAnsi="Arial"/>
                <w:sz w:val="32"/>
                <w:szCs w:val="32"/>
                <w:color w:val="auto"/>
                <w:vertAlign w:val="superscript"/>
              </w:rPr>
              <w:t>nd</w:t>
            </w:r>
            <w:r>
              <w:rPr>
                <w:rFonts w:ascii="Arial" w:cs="Arial" w:eastAsia="Arial" w:hAnsi="Arial"/>
                <w:sz w:val="20"/>
                <w:szCs w:val="20"/>
                <w:color w:val="auto"/>
              </w:rPr>
              <w:t xml:space="preserve"> Floor</w:t>
            </w:r>
          </w:p>
        </w:tc>
      </w:tr>
      <w:tr>
        <w:trPr>
          <w:trHeight w:val="250"/>
        </w:trPr>
        <w:tc>
          <w:tcPr>
            <w:tcW w:w="1260" w:type="dxa"/>
            <w:vAlign w:val="bottom"/>
          </w:tcPr>
          <w:p>
            <w:pPr>
              <w:spacing w:after="0"/>
              <w:rPr>
                <w:sz w:val="21"/>
                <w:szCs w:val="21"/>
                <w:color w:val="auto"/>
              </w:rPr>
            </w:pPr>
          </w:p>
        </w:tc>
        <w:tc>
          <w:tcPr>
            <w:tcW w:w="9740" w:type="dxa"/>
            <w:vAlign w:val="bottom"/>
            <w:gridSpan w:val="5"/>
          </w:tcPr>
          <w:p>
            <w:pPr>
              <w:ind w:left="420"/>
              <w:spacing w:after="0"/>
              <w:rPr>
                <w:sz w:val="20"/>
                <w:szCs w:val="20"/>
                <w:color w:val="auto"/>
              </w:rPr>
            </w:pPr>
            <w:r>
              <w:rPr>
                <w:rFonts w:ascii="Arial" w:cs="Arial" w:eastAsia="Arial" w:hAnsi="Arial"/>
                <w:sz w:val="20"/>
                <w:szCs w:val="20"/>
                <w:color w:val="auto"/>
              </w:rPr>
              <w:t>New York, New York 10022</w:t>
            </w:r>
          </w:p>
        </w:tc>
      </w:tr>
      <w:tr>
        <w:trPr>
          <w:trHeight w:val="438"/>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740" w:type="dxa"/>
            <w:vAlign w:val="bottom"/>
            <w:gridSpan w:val="5"/>
          </w:tcPr>
          <w:p>
            <w:pPr>
              <w:ind w:left="420"/>
              <w:spacing w:after="0"/>
              <w:rPr>
                <w:sz w:val="20"/>
                <w:szCs w:val="20"/>
                <w:color w:val="auto"/>
              </w:rPr>
            </w:pPr>
            <w:r>
              <w:rPr>
                <w:rFonts w:ascii="Arial" w:cs="Arial" w:eastAsia="Arial" w:hAnsi="Arial"/>
                <w:sz w:val="20"/>
                <w:szCs w:val="20"/>
                <w:b w:val="1"/>
                <w:bCs w:val="1"/>
                <w:color w:val="auto"/>
              </w:rPr>
              <w:t>Place of Organization.</w:t>
            </w:r>
          </w:p>
        </w:tc>
      </w:tr>
      <w:tr>
        <w:trPr>
          <w:trHeight w:val="250"/>
        </w:trPr>
        <w:tc>
          <w:tcPr>
            <w:tcW w:w="1260" w:type="dxa"/>
            <w:vAlign w:val="bottom"/>
          </w:tcPr>
          <w:p>
            <w:pPr>
              <w:spacing w:after="0"/>
              <w:rPr>
                <w:sz w:val="21"/>
                <w:szCs w:val="21"/>
                <w:color w:val="auto"/>
              </w:rPr>
            </w:pPr>
          </w:p>
        </w:tc>
        <w:tc>
          <w:tcPr>
            <w:tcW w:w="9740" w:type="dxa"/>
            <w:vAlign w:val="bottom"/>
            <w:gridSpan w:val="5"/>
          </w:tcPr>
          <w:p>
            <w:pPr>
              <w:ind w:left="420"/>
              <w:spacing w:after="0"/>
              <w:rPr>
                <w:sz w:val="20"/>
                <w:szCs w:val="20"/>
                <w:color w:val="auto"/>
              </w:rPr>
            </w:pPr>
            <w:r>
              <w:rPr>
                <w:rFonts w:ascii="Arial" w:cs="Arial" w:eastAsia="Arial" w:hAnsi="Arial"/>
                <w:sz w:val="20"/>
                <w:szCs w:val="20"/>
                <w:color w:val="auto"/>
              </w:rPr>
              <w:t>Senvest Management, LLC – Delaware</w:t>
            </w:r>
          </w:p>
        </w:tc>
      </w:tr>
      <w:tr>
        <w:trPr>
          <w:trHeight w:val="459"/>
        </w:trPr>
        <w:tc>
          <w:tcPr>
            <w:tcW w:w="1260" w:type="dxa"/>
            <w:vAlign w:val="bottom"/>
          </w:tcPr>
          <w:p>
            <w:pPr>
              <w:spacing w:after="0"/>
              <w:rPr>
                <w:sz w:val="24"/>
                <w:szCs w:val="24"/>
                <w:color w:val="auto"/>
              </w:rPr>
            </w:pPr>
          </w:p>
        </w:tc>
        <w:tc>
          <w:tcPr>
            <w:tcW w:w="9740" w:type="dxa"/>
            <w:vAlign w:val="bottom"/>
            <w:gridSpan w:val="5"/>
          </w:tcPr>
          <w:p>
            <w:pPr>
              <w:ind w:left="420"/>
              <w:spacing w:after="0"/>
              <w:rPr>
                <w:sz w:val="20"/>
                <w:szCs w:val="20"/>
                <w:color w:val="auto"/>
              </w:rPr>
            </w:pPr>
            <w:r>
              <w:rPr>
                <w:rFonts w:ascii="Arial" w:cs="Arial" w:eastAsia="Arial" w:hAnsi="Arial"/>
                <w:sz w:val="20"/>
                <w:szCs w:val="20"/>
                <w:color w:val="auto"/>
              </w:rPr>
              <w:t>Richard Mashaal – Canada</w:t>
            </w:r>
          </w:p>
        </w:tc>
      </w:tr>
      <w:tr>
        <w:trPr>
          <w:trHeight w:val="438"/>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740" w:type="dxa"/>
            <w:vAlign w:val="bottom"/>
            <w:gridSpan w:val="5"/>
          </w:tcPr>
          <w:p>
            <w:pPr>
              <w:ind w:left="420"/>
              <w:spacing w:after="0"/>
              <w:rPr>
                <w:sz w:val="20"/>
                <w:szCs w:val="20"/>
                <w:color w:val="auto"/>
              </w:rPr>
            </w:pPr>
            <w:r>
              <w:rPr>
                <w:rFonts w:ascii="Arial" w:cs="Arial" w:eastAsia="Arial" w:hAnsi="Arial"/>
                <w:sz w:val="20"/>
                <w:szCs w:val="20"/>
                <w:b w:val="1"/>
                <w:bCs w:val="1"/>
                <w:color w:val="auto"/>
              </w:rPr>
              <w:t>Title of Class of Securities.</w:t>
            </w:r>
          </w:p>
        </w:tc>
      </w:tr>
      <w:tr>
        <w:trPr>
          <w:trHeight w:val="250"/>
        </w:trPr>
        <w:tc>
          <w:tcPr>
            <w:tcW w:w="1260" w:type="dxa"/>
            <w:vAlign w:val="bottom"/>
          </w:tcPr>
          <w:p>
            <w:pPr>
              <w:spacing w:after="0"/>
              <w:rPr>
                <w:sz w:val="21"/>
                <w:szCs w:val="21"/>
                <w:color w:val="auto"/>
              </w:rPr>
            </w:pPr>
          </w:p>
        </w:tc>
        <w:tc>
          <w:tcPr>
            <w:tcW w:w="9740" w:type="dxa"/>
            <w:vAlign w:val="bottom"/>
            <w:gridSpan w:val="5"/>
          </w:tcPr>
          <w:p>
            <w:pPr>
              <w:ind w:left="420"/>
              <w:spacing w:after="0"/>
              <w:rPr>
                <w:sz w:val="20"/>
                <w:szCs w:val="20"/>
                <w:color w:val="auto"/>
              </w:rPr>
            </w:pPr>
            <w:r>
              <w:rPr>
                <w:rFonts w:ascii="Arial" w:cs="Arial" w:eastAsia="Arial" w:hAnsi="Arial"/>
                <w:sz w:val="20"/>
                <w:szCs w:val="20"/>
                <w:color w:val="auto"/>
              </w:rPr>
              <w:t>Class A Ordinary Shares, par value $0.0001 per share</w:t>
            </w:r>
          </w:p>
        </w:tc>
      </w:tr>
      <w:tr>
        <w:trPr>
          <w:trHeight w:val="438"/>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9740" w:type="dxa"/>
            <w:vAlign w:val="bottom"/>
            <w:gridSpan w:val="5"/>
          </w:tcPr>
          <w:p>
            <w:pPr>
              <w:ind w:left="420"/>
              <w:spacing w:after="0"/>
              <w:rPr>
                <w:sz w:val="20"/>
                <w:szCs w:val="20"/>
                <w:color w:val="auto"/>
              </w:rPr>
            </w:pPr>
            <w:r>
              <w:rPr>
                <w:rFonts w:ascii="Arial" w:cs="Arial" w:eastAsia="Arial" w:hAnsi="Arial"/>
                <w:sz w:val="20"/>
                <w:szCs w:val="20"/>
                <w:b w:val="1"/>
                <w:bCs w:val="1"/>
                <w:color w:val="auto"/>
              </w:rPr>
              <w:t>CUSIP Number.</w:t>
            </w:r>
          </w:p>
        </w:tc>
      </w:tr>
      <w:tr>
        <w:trPr>
          <w:trHeight w:val="250"/>
        </w:trPr>
        <w:tc>
          <w:tcPr>
            <w:tcW w:w="1260" w:type="dxa"/>
            <w:vAlign w:val="bottom"/>
          </w:tcPr>
          <w:p>
            <w:pPr>
              <w:spacing w:after="0"/>
              <w:rPr>
                <w:sz w:val="21"/>
                <w:szCs w:val="21"/>
                <w:color w:val="auto"/>
              </w:rPr>
            </w:pPr>
          </w:p>
        </w:tc>
        <w:tc>
          <w:tcPr>
            <w:tcW w:w="9740" w:type="dxa"/>
            <w:vAlign w:val="bottom"/>
            <w:gridSpan w:val="5"/>
          </w:tcPr>
          <w:p>
            <w:pPr>
              <w:ind w:left="420"/>
              <w:spacing w:after="0"/>
              <w:rPr>
                <w:sz w:val="20"/>
                <w:szCs w:val="20"/>
                <w:color w:val="auto"/>
              </w:rPr>
            </w:pPr>
            <w:r>
              <w:rPr>
                <w:rFonts w:ascii="Arial" w:cs="Arial" w:eastAsia="Arial" w:hAnsi="Arial"/>
                <w:sz w:val="20"/>
                <w:szCs w:val="20"/>
                <w:color w:val="auto"/>
              </w:rPr>
              <w:t>G8136L106</w:t>
            </w:r>
          </w:p>
        </w:tc>
      </w:tr>
    </w:tbl>
    <w:p>
      <w:pPr>
        <w:sectPr>
          <w:pgSz w:w="11900" w:h="16838" w:orient="portrait"/>
          <w:cols w:equalWidth="0" w:num="1">
            <w:col w:w="11240"/>
          </w:cols>
          <w:pgMar w:left="320" w:top="229" w:right="339" w:bottom="1440" w:gutter="0" w:footer="0" w:header="0"/>
          <w:type w:val="continuous"/>
        </w:sectPr>
      </w:pPr>
    </w:p>
    <w:bookmarkStart w:id="4" w:name="page5"/>
    <w:bookmarkEnd w:id="4"/>
    <w:p>
      <w:pPr>
        <w:spacing w:after="0"/>
        <w:tabs>
          <w:tab w:leader="none" w:pos="5460" w:val="left"/>
          <w:tab w:leader="none" w:pos="10000" w:val="left"/>
        </w:tabs>
        <w:rPr>
          <w:sz w:val="20"/>
          <w:szCs w:val="20"/>
          <w:color w:val="auto"/>
        </w:rPr>
      </w:pPr>
      <w:r>
        <w:rPr>
          <w:rFonts w:ascii="Arial" w:cs="Arial" w:eastAsia="Arial" w:hAnsi="Arial"/>
          <w:sz w:val="18"/>
          <w:szCs w:val="18"/>
          <w:b w:val="1"/>
          <w:bCs w:val="1"/>
          <w:color w:val="auto"/>
        </w:rPr>
        <w:t>CUSIP No. G8136L106</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Pge 5 of 8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1800" w:right="100" w:hanging="1686"/>
        <w:spacing w:after="0" w:line="250" w:lineRule="auto"/>
        <w:tabs>
          <w:tab w:leader="none" w:pos="17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20"/>
          <w:szCs w:val="20"/>
          <w:b w:val="1"/>
          <w:bCs w:val="1"/>
          <w:color w:val="auto"/>
        </w:rPr>
        <w:t>If this Statement is Filed Pursuant to §§ 240.13d-1(b) or 240.13d-2(b), or (c), check whether the Person Filing is a:</w:t>
      </w:r>
    </w:p>
    <w:p>
      <w:pPr>
        <w:spacing w:after="0" w:line="2" w:lineRule="exact"/>
        <w:rPr>
          <w:sz w:val="20"/>
          <w:szCs w:val="20"/>
          <w:color w:val="auto"/>
        </w:rPr>
      </w:pPr>
    </w:p>
    <w:p>
      <w:pPr>
        <w:ind w:left="2620" w:hanging="821"/>
        <w:spacing w:after="0" w:line="230" w:lineRule="exact"/>
        <w:tabs>
          <w:tab w:leader="none" w:pos="262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Broker or dealer registered under section 15 of the Act (15 U.S.C. 78o);</w:t>
      </w:r>
    </w:p>
    <w:p>
      <w:pPr>
        <w:spacing w:after="0" w:line="189"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Bank as defined in section 3(a)(6) of the Act (15 U.S.C. 78c);</w:t>
      </w:r>
    </w:p>
    <w:p>
      <w:pPr>
        <w:spacing w:after="0" w:line="229"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Insurance company as defined in section 3(a)(19) of the Act (15 U.S.C. 78c);</w:t>
      </w:r>
    </w:p>
    <w:p>
      <w:pPr>
        <w:spacing w:after="0" w:line="229" w:lineRule="exact"/>
        <w:rPr>
          <w:rFonts w:ascii="Arial" w:cs="Arial" w:eastAsia="Arial" w:hAnsi="Arial"/>
          <w:sz w:val="20"/>
          <w:szCs w:val="20"/>
          <w:color w:val="auto"/>
        </w:rPr>
      </w:pPr>
    </w:p>
    <w:p>
      <w:pPr>
        <w:ind w:left="3140" w:right="200" w:hanging="1341"/>
        <w:spacing w:after="0" w:line="240" w:lineRule="exact"/>
        <w:tabs>
          <w:tab w:leader="none" w:pos="2611"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Investment company registered under section 8 of the Investment Company Act of 1940 (15 U.S.C. 80a-8);</w:t>
      </w:r>
    </w:p>
    <w:p>
      <w:pPr>
        <w:spacing w:after="0" w:line="195"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An investment adviser in accordance with § 240.13d-1(b)(1)(ii)(E);</w:t>
      </w:r>
    </w:p>
    <w:p>
      <w:pPr>
        <w:spacing w:after="0" w:line="229"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An employee benefit plan or endowment fund in accordance with § 240.13d-1(b)(1)(ii)(F);</w:t>
      </w:r>
    </w:p>
    <w:p>
      <w:pPr>
        <w:spacing w:after="0" w:line="229"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A parent holding company or control person in accordance with §240.13d-1(b)(1)(ii)(G);</w:t>
      </w:r>
    </w:p>
    <w:p>
      <w:pPr>
        <w:spacing w:after="0" w:line="229" w:lineRule="exact"/>
        <w:rPr>
          <w:rFonts w:ascii="Arial" w:cs="Arial" w:eastAsia="Arial" w:hAnsi="Arial"/>
          <w:sz w:val="20"/>
          <w:szCs w:val="20"/>
          <w:color w:val="auto"/>
        </w:rPr>
      </w:pPr>
    </w:p>
    <w:p>
      <w:pPr>
        <w:ind w:left="3140" w:right="1020" w:hanging="1341"/>
        <w:spacing w:after="0" w:line="240" w:lineRule="exact"/>
        <w:tabs>
          <w:tab w:leader="none" w:pos="2611"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A savings association as defined in Section 3(b) of the Federal Deposit Insurance Act (12 U.S.C.1813);</w:t>
      </w:r>
    </w:p>
    <w:p>
      <w:pPr>
        <w:spacing w:after="0" w:line="209" w:lineRule="exact"/>
        <w:rPr>
          <w:rFonts w:ascii="Arial" w:cs="Arial" w:eastAsia="Arial" w:hAnsi="Arial"/>
          <w:sz w:val="20"/>
          <w:szCs w:val="20"/>
          <w:color w:val="auto"/>
        </w:rPr>
      </w:pPr>
    </w:p>
    <w:p>
      <w:pPr>
        <w:ind w:left="3140" w:right="180" w:hanging="1341"/>
        <w:spacing w:after="0" w:line="240" w:lineRule="exact"/>
        <w:tabs>
          <w:tab w:leader="none" w:pos="2611"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A church plan that is excluded from the definition of an investment company under section 3(c)(14) of the Investment Company Act of 1940 (15 U.S.C. 80a-3);</w:t>
      </w:r>
    </w:p>
    <w:p>
      <w:pPr>
        <w:spacing w:after="0" w:line="209"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A non-U.S. institution in accordance with §240.13d-1(b)(1)(ii)(J);</w:t>
      </w:r>
    </w:p>
    <w:p>
      <w:pPr>
        <w:spacing w:after="0" w:line="229"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Group, in accordance with §240.13d-1(b)(1)(ii)(K).</w:t>
      </w:r>
    </w:p>
    <w:p>
      <w:pPr>
        <w:spacing w:after="0" w:line="280"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If filing as a non-U.S. institution in accordance with Rule 13d-1(b)(1)(ii)(J), please specify the type of institution:</w:t>
      </w:r>
    </w:p>
    <w:p>
      <w:pPr>
        <w:spacing w:after="0" w:line="27"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__________________________________________</w:t>
      </w:r>
    </w:p>
    <w:p>
      <w:pPr>
        <w:spacing w:after="0" w:line="221"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The information required by Items 4(a) – (c) is set forth in Rows (5) – (11) of the cover page for each Reporting</w:t>
      </w:r>
    </w:p>
    <w:p>
      <w:pPr>
        <w:spacing w:after="0" w:line="11" w:lineRule="exact"/>
        <w:rPr>
          <w:sz w:val="20"/>
          <w:szCs w:val="20"/>
          <w:color w:val="auto"/>
        </w:rPr>
      </w:pPr>
    </w:p>
    <w:p>
      <w:pPr>
        <w:jc w:val="right"/>
        <w:ind w:right="100"/>
        <w:spacing w:after="0"/>
        <w:rPr>
          <w:sz w:val="20"/>
          <w:szCs w:val="20"/>
          <w:color w:val="auto"/>
        </w:rPr>
      </w:pPr>
      <w:r>
        <w:rPr>
          <w:rFonts w:ascii="Arial" w:cs="Arial" w:eastAsia="Arial" w:hAnsi="Arial"/>
          <w:sz w:val="20"/>
          <w:szCs w:val="20"/>
          <w:color w:val="auto"/>
        </w:rPr>
        <w:t>Person hereto and is incorporated herein by reference for each such Reporting Person. The percentages set forth in</w:t>
      </w:r>
    </w:p>
    <w:p>
      <w:pPr>
        <w:ind w:left="1800"/>
        <w:spacing w:after="0"/>
        <w:rPr>
          <w:sz w:val="20"/>
          <w:szCs w:val="20"/>
          <w:color w:val="auto"/>
        </w:rPr>
      </w:pPr>
      <w:r>
        <w:rPr>
          <w:rFonts w:ascii="Arial" w:cs="Arial" w:eastAsia="Arial" w:hAnsi="Arial"/>
          <w:sz w:val="16"/>
          <w:szCs w:val="16"/>
          <w:color w:val="auto"/>
        </w:rPr>
        <w:t>this Schedule 13G are calculated based upon an aggregate of 24,998,575 Class A Ordinary Shares outstanding as of</w:t>
      </w:r>
    </w:p>
    <w:p>
      <w:pPr>
        <w:spacing w:after="0" w:line="46"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May 11, 2021 as reported in the Issuer's Quarterly Report on Form 10-Q for the quarterly period ended March 31,</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2021 filed with the Securities and Exchange Commission on May 13, 2021.</w:t>
      </w:r>
    </w:p>
    <w:p>
      <w:pPr>
        <w:spacing w:after="0" w:line="207"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1240"/>
          </w:cols>
          <w:pgMar w:left="320" w:top="229" w:right="339" w:bottom="1440" w:gutter="0" w:footer="0" w:header="0"/>
          <w:type w:val="continuous"/>
        </w:sectPr>
      </w:pPr>
    </w:p>
    <w:bookmarkStart w:id="5" w:name="page6"/>
    <w:bookmarkEnd w:id="5"/>
    <w:p>
      <w:pPr>
        <w:spacing w:after="0"/>
        <w:tabs>
          <w:tab w:leader="none" w:pos="5460" w:val="left"/>
          <w:tab w:leader="none" w:pos="10000" w:val="left"/>
        </w:tabs>
        <w:rPr>
          <w:sz w:val="20"/>
          <w:szCs w:val="20"/>
          <w:color w:val="auto"/>
        </w:rPr>
      </w:pPr>
      <w:r>
        <w:rPr>
          <w:rFonts w:ascii="Arial" w:cs="Arial" w:eastAsia="Arial" w:hAnsi="Arial"/>
          <w:sz w:val="18"/>
          <w:szCs w:val="18"/>
          <w:b w:val="1"/>
          <w:bCs w:val="1"/>
          <w:color w:val="auto"/>
        </w:rPr>
        <w:t>CUSIP No. G8136L106</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Pge 6 of 8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 w:lineRule="exact"/>
        <w:rPr>
          <w:sz w:val="20"/>
          <w:szCs w:val="20"/>
          <w:color w:val="auto"/>
        </w:rPr>
      </w:pPr>
    </w:p>
    <w:p>
      <w:pPr>
        <w:jc w:val="both"/>
        <w:ind w:left="1700" w:right="120"/>
        <w:spacing w:after="0" w:line="281" w:lineRule="auto"/>
        <w:rPr>
          <w:sz w:val="20"/>
          <w:szCs w:val="20"/>
          <w:color w:val="auto"/>
        </w:rPr>
      </w:pPr>
      <w:r>
        <w:rPr>
          <w:rFonts w:ascii="Arial" w:cs="Arial" w:eastAsia="Arial" w:hAnsi="Arial"/>
          <w:sz w:val="18"/>
          <w:szCs w:val="18"/>
          <w:color w:val="auto"/>
        </w:rPr>
        <w:t>The Investment Vehicles have the right to receive and the power to direct the receipt of dividends from, and the proceeds from the sale of the Class A Ordinary Shares. Senvest Master Fund, LP has the right to receive or the power to direct the receipt of dividends from, or the proceeds from the sale of, more than 5% of the Class A Ordinary Shares.</w:t>
      </w:r>
    </w:p>
    <w:p>
      <w:pPr>
        <w:spacing w:after="0" w:line="169"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20"/>
          <w:szCs w:val="20"/>
          <w:b w:val="1"/>
          <w:bCs w:val="1"/>
          <w:color w:val="auto"/>
        </w:rPr>
        <w:t>Parent Holding Company or Control Person.</w:t>
      </w:r>
    </w:p>
    <w:p>
      <w:pPr>
        <w:ind w:left="170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By signing below each Reporting Person certifies that, to the best of his or its knowledge and belief, the securities</w:t>
      </w:r>
    </w:p>
    <w:p>
      <w:pPr>
        <w:spacing w:after="0" w:line="22" w:lineRule="exact"/>
        <w:rPr>
          <w:sz w:val="20"/>
          <w:szCs w:val="20"/>
          <w:color w:val="auto"/>
        </w:rPr>
      </w:pPr>
    </w:p>
    <w:p>
      <w:pPr>
        <w:jc w:val="right"/>
        <w:ind w:right="100"/>
        <w:spacing w:after="0"/>
        <w:rPr>
          <w:sz w:val="20"/>
          <w:szCs w:val="20"/>
          <w:color w:val="auto"/>
        </w:rPr>
      </w:pPr>
      <w:r>
        <w:rPr>
          <w:rFonts w:ascii="Arial" w:cs="Arial" w:eastAsia="Arial" w:hAnsi="Arial"/>
          <w:sz w:val="20"/>
          <w:szCs w:val="20"/>
          <w:color w:val="auto"/>
        </w:rPr>
        <w:t>referred to above were not acquired and are not held for the purpose of or with the effect of changing or influencing the</w:t>
      </w:r>
    </w:p>
    <w:p>
      <w:pPr>
        <w:ind w:left="1700"/>
        <w:spacing w:after="0"/>
        <w:rPr>
          <w:sz w:val="20"/>
          <w:szCs w:val="20"/>
          <w:color w:val="auto"/>
        </w:rPr>
      </w:pPr>
      <w:r>
        <w:rPr>
          <w:rFonts w:ascii="Arial" w:cs="Arial" w:eastAsia="Arial" w:hAnsi="Arial"/>
          <w:sz w:val="18"/>
          <w:szCs w:val="18"/>
          <w:color w:val="auto"/>
        </w:rPr>
        <w:t>control of the issuer of the securities and were not acquired and are not held in connection with or as a participant in</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any transaction having that purpose or effect.</w:t>
      </w:r>
    </w:p>
    <w:p>
      <w:pPr>
        <w:sectPr>
          <w:pgSz w:w="11900" w:h="16838" w:orient="portrait"/>
          <w:cols w:equalWidth="0" w:num="1">
            <w:col w:w="11240"/>
          </w:cols>
          <w:pgMar w:left="320" w:top="229" w:right="339" w:bottom="1440" w:gutter="0" w:footer="0" w:header="0"/>
          <w:type w:val="continuous"/>
        </w:sectPr>
      </w:pPr>
    </w:p>
    <w:bookmarkStart w:id="6" w:name="page7"/>
    <w:bookmarkEnd w:id="6"/>
    <w:p>
      <w:pPr>
        <w:spacing w:after="0"/>
        <w:tabs>
          <w:tab w:leader="none" w:pos="5460" w:val="left"/>
          <w:tab w:leader="none" w:pos="10000" w:val="left"/>
        </w:tabs>
        <w:rPr>
          <w:sz w:val="20"/>
          <w:szCs w:val="20"/>
          <w:color w:val="auto"/>
        </w:rPr>
      </w:pPr>
      <w:r>
        <w:rPr>
          <w:rFonts w:ascii="Arial" w:cs="Arial" w:eastAsia="Arial" w:hAnsi="Arial"/>
          <w:sz w:val="18"/>
          <w:szCs w:val="18"/>
          <w:b w:val="1"/>
          <w:bCs w:val="1"/>
          <w:color w:val="auto"/>
        </w:rPr>
        <w:t>CUSIP No. G8136L106</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Pge 7 of 8 Pages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SIGNATURE</w:t>
      </w:r>
    </w:p>
    <w:p>
      <w:pPr>
        <w:spacing w:after="0" w:line="222" w:lineRule="exact"/>
        <w:rPr>
          <w:sz w:val="20"/>
          <w:szCs w:val="20"/>
          <w:color w:val="auto"/>
        </w:rPr>
      </w:pPr>
    </w:p>
    <w:p>
      <w:pPr>
        <w:ind w:right="180" w:firstLine="648"/>
        <w:spacing w:after="0" w:line="260" w:lineRule="auto"/>
        <w:rPr>
          <w:sz w:val="20"/>
          <w:szCs w:val="20"/>
          <w:color w:val="auto"/>
        </w:rPr>
      </w:pPr>
      <w:r>
        <w:rPr>
          <w:rFonts w:ascii="Arial" w:cs="Arial" w:eastAsia="Arial" w:hAnsi="Arial"/>
          <w:sz w:val="20"/>
          <w:szCs w:val="20"/>
          <w:color w:val="auto"/>
        </w:rPr>
        <w:t>After reasonable inquiry and to the best of my knowledge and belief, each of the undersigned certifies that the information set forth in this statement is true, complete and correct.</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Date: May 20, 2021</w:t>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SENVEST MANAGEMENT, LLC</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By: /s/ Bobby Trahanas</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Name: Bobby Trahanas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-144780</wp:posOffset>
            </wp:positionV>
            <wp:extent cx="33515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5620"/>
        <w:spacing w:after="0"/>
        <w:tabs>
          <w:tab w:leader="none" w:pos="62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/s/ Richard Mashaal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10160</wp:posOffset>
            </wp:positionV>
            <wp:extent cx="36347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auto"/>
        </w:rPr>
        <w:t>RICHARD MASHAAL</w:t>
      </w:r>
    </w:p>
    <w:p>
      <w:pPr>
        <w:sectPr>
          <w:pgSz w:w="11900" w:h="16838" w:orient="portrait"/>
          <w:cols w:equalWidth="0" w:num="1">
            <w:col w:w="11240"/>
          </w:cols>
          <w:pgMar w:left="320" w:top="229" w:right="339" w:bottom="1440" w:gutter="0" w:footer="0" w:header="0"/>
        </w:sectPr>
      </w:pPr>
    </w:p>
    <w:bookmarkStart w:id="7" w:name="page8"/>
    <w:bookmarkEnd w:id="7"/>
    <w:p>
      <w:pPr>
        <w:spacing w:after="0"/>
        <w:tabs>
          <w:tab w:leader="none" w:pos="5460" w:val="left"/>
          <w:tab w:leader="none" w:pos="10000" w:val="left"/>
        </w:tabs>
        <w:rPr>
          <w:sz w:val="20"/>
          <w:szCs w:val="20"/>
          <w:color w:val="auto"/>
        </w:rPr>
      </w:pPr>
      <w:r>
        <w:rPr>
          <w:rFonts w:ascii="Arial" w:cs="Arial" w:eastAsia="Arial" w:hAnsi="Arial"/>
          <w:sz w:val="18"/>
          <w:szCs w:val="18"/>
          <w:b w:val="1"/>
          <w:bCs w:val="1"/>
          <w:color w:val="auto"/>
        </w:rPr>
        <w:t>CUSIP No. G8136L106</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Pge 8 of 8 Pages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JOINT FILING AGREEMENT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20"/>
          <w:szCs w:val="20"/>
          <w:color w:val="auto"/>
        </w:rPr>
        <w:t>Date: May 20, 2021</w:t>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SENVEST MANAGEMENT, LLC</w:t>
      </w:r>
    </w:p>
    <w:p>
      <w:pPr>
        <w:spacing w:after="0" w:line="213" w:lineRule="exact"/>
        <w:rPr>
          <w:sz w:val="20"/>
          <w:szCs w:val="20"/>
          <w:color w:val="auto"/>
        </w:rPr>
      </w:pPr>
    </w:p>
    <w:p>
      <w:pPr>
        <w:ind w:left="5540"/>
        <w:spacing w:after="0"/>
        <w:tabs>
          <w:tab w:leader="none" w:pos="59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Bobby Trahanas</w:t>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Name: Bobby Trahanas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-144780</wp:posOffset>
            </wp:positionV>
            <wp:extent cx="3351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540"/>
        <w:spacing w:after="0"/>
        <w:tabs>
          <w:tab w:leader="none" w:pos="61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/s/ Richard Mashaal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10160</wp:posOffset>
            </wp:positionV>
            <wp:extent cx="36347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ind w:left="5540"/>
        <w:spacing w:after="0"/>
        <w:rPr>
          <w:sz w:val="20"/>
          <w:szCs w:val="20"/>
          <w:color w:val="auto"/>
        </w:rPr>
      </w:pPr>
      <w:r>
        <w:rPr>
          <w:rFonts w:ascii="Arial" w:cs="Arial" w:eastAsia="Arial" w:hAnsi="Arial"/>
          <w:sz w:val="20"/>
          <w:szCs w:val="20"/>
          <w:color w:val="auto"/>
        </w:rPr>
        <w:t>RICHARD MASHAAL</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bullet"/>
      <w:start w:val="1"/>
    </w:lvl>
  </w:abstractNum>
  <w:abstractNum w:abstractNumId="6">
    <w:nsid w:val="515F007C"/>
    <w:multiLevelType w:val="hybridMultilevel"/>
    <w:lvl w:ilvl="0">
      <w:lvlJc w:val="left"/>
      <w:lvlText w:val="2"/>
      <w:numFmt w:val="bullet"/>
      <w:start w:val="1"/>
    </w:lvl>
  </w:abstractNum>
  <w:abstractNum w:abstractNumId="7">
    <w:nsid w:val="5BD062C2"/>
    <w:multiLevelType w:val="hybridMultilevel"/>
    <w:lvl w:ilvl="0">
      <w:lvlJc w:val="left"/>
      <w:lvlText w:val="3"/>
      <w:numFmt w:val="bullet"/>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2021-05-20T16:08:51Z</dcterms:created>
  <dcterms:modified xsi:type="dcterms:W3CDTF">2021-05-20T16:08:51Z</dcterms:modified>
</cp:coreProperties>
</file>