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12024_080620.xml.htm"/>
      <w:bookmarkStart w:id="1" w:name="ksform406212024_0806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Freeman Brenda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61"/>
        <w:gridCol w:w="299"/>
        <w:gridCol w:w="846"/>
        <w:gridCol w:w="450"/>
        <w:gridCol w:w="851"/>
        <w:gridCol w:w="1163"/>
        <w:gridCol w:w="999"/>
        <w:gridCol w:w="9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06/18/2024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4,038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1.1101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585,589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sold the number of shares of Class A common stock necessary to cover applicable tax withholding obligations realized upon the vesting of restricted stock units, as well as any related brokerage commission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10b5-1 trading plan adopted by the Reporting Person on June 9,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 A. Metzger,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553153" TargetMode="External"/><Relationship Id="rId4" Type="http://schemas.openxmlformats.org/officeDocument/2006/relationships/hyperlink" Target="http://www.sec.gov/cgi-bin/browse-edgar?action=getcompany&amp;CIK=000177947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3315</Characters>
  <CharactersWithSpaces>3863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