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40" w:lineRule="exact"/>
        <w:rPr>
          <w:sz w:val="24"/>
          <w:szCs w:val="24"/>
          <w:color w:val="auto"/>
        </w:rPr>
      </w:pPr>
    </w:p>
    <w:p>
      <w:pPr>
        <w:jc w:val="right"/>
        <w:ind w:right="419"/>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ind w:right="419"/>
        <w:spacing w:after="0"/>
        <w:rPr>
          <w:sz w:val="20"/>
          <w:szCs w:val="20"/>
          <w:color w:val="auto"/>
        </w:rPr>
      </w:pPr>
      <w:r>
        <w:rPr>
          <w:rFonts w:ascii="Arial" w:cs="Arial" w:eastAsia="Arial" w:hAnsi="Arial"/>
          <w:sz w:val="18"/>
          <w:szCs w:val="18"/>
          <w:b w:val="1"/>
          <w:bCs w:val="1"/>
          <w:color w:val="auto"/>
        </w:rPr>
        <w:t>Registration No. 333-261466</w:t>
      </w:r>
    </w:p>
    <w:p>
      <w:pPr>
        <w:spacing w:after="0" w:line="342" w:lineRule="exact"/>
        <w:rPr>
          <w:sz w:val="24"/>
          <w:szCs w:val="24"/>
          <w:color w:val="auto"/>
        </w:rPr>
      </w:pPr>
    </w:p>
    <w:p>
      <w:pPr>
        <w:ind w:left="4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1145540</wp:posOffset>
            </wp:positionH>
            <wp:positionV relativeFrom="paragraph">
              <wp:posOffset>180340</wp:posOffset>
            </wp:positionV>
            <wp:extent cx="3429000" cy="1019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00" cy="10198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Up to 1,938,798 Shares of Class A Common Stock</w:t>
      </w:r>
    </w:p>
    <w:p>
      <w:pPr>
        <w:spacing w:after="0" w:line="36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Offered by the Selling Securityholders</w:t>
      </w:r>
    </w:p>
    <w:p>
      <w:pPr>
        <w:spacing w:after="0" w:line="229" w:lineRule="exact"/>
        <w:rPr>
          <w:sz w:val="24"/>
          <w:szCs w:val="24"/>
          <w:color w:val="auto"/>
        </w:rPr>
      </w:pPr>
    </w:p>
    <w:p>
      <w:pPr>
        <w:jc w:val="both"/>
        <w:ind w:left="400" w:right="419" w:firstLine="360"/>
        <w:spacing w:after="0" w:line="286" w:lineRule="auto"/>
        <w:rPr>
          <w:sz w:val="20"/>
          <w:szCs w:val="20"/>
          <w:color w:val="auto"/>
        </w:rPr>
      </w:pPr>
      <w:r>
        <w:rPr>
          <w:rFonts w:ascii="Arial" w:cs="Arial" w:eastAsia="Arial" w:hAnsi="Arial"/>
          <w:sz w:val="16"/>
          <w:szCs w:val="16"/>
          <w:color w:val="auto"/>
        </w:rPr>
        <w:t>This prospectus relates to the offer and sale from time to time by the selling securityholders named in this prospectus (the “Selling Securityholders”) of up to 1,938,798 shares of our Class A Common Stock, par value $0.0001 per share (“Class A Common Stock”), consisting of (i) 1,244,258 shares of Class A Common Stock issued pursuant to that certain Asset Purchase Agreement, dated September 3, 2021 (the “Asset Purchase Agreement”), by and among MembersRSVP, LLC d/b/a Sprout (“Sprout”), Text Ripple, Inc. (“Text Ripple”), the Company, WM Loyalty, LLC, certain equityholders of Sprout and Text Ripple and Jaret Christopher, as sellers’ representative and (ii) 694,540 shares of Class A Common Stock issued pursuant to that certain Equity Interest Purchase Agreement, dated September 28, 2021 (the “Equity Interest Purchase Agreement” and together with the Asset Purchase Agreement, the “Purchase Agreements”), by and among Ghost Management Group, LLC, Transport Logistics Holding Company, LLC d/b/a Merry Go Jane (“TLHC”), certain securityholders of TLHC and Justin Morris, as sellers’ representative. We will not receive any proceeds from the sale of the shares of Class A Common Stock by the Selling Securityholders pursuant to this prospectus. However, we will pay the expenses, other than underwriting discounts and commissions and expenses incurred by the Selling Securityholders for brokerage, accounting, tax or legal services or any other expenses incurred by the Selling Securityholders in disposing of the securities, associated with the sale of securities pursuant to this prospectus.</w:t>
      </w:r>
    </w:p>
    <w:p>
      <w:pPr>
        <w:spacing w:after="0" w:line="167" w:lineRule="exact"/>
        <w:rPr>
          <w:sz w:val="24"/>
          <w:szCs w:val="24"/>
          <w:color w:val="auto"/>
        </w:rPr>
      </w:pPr>
    </w:p>
    <w:p>
      <w:pPr>
        <w:jc w:val="both"/>
        <w:ind w:left="400" w:right="419" w:firstLine="360"/>
        <w:spacing w:after="0" w:line="293" w:lineRule="auto"/>
        <w:rPr>
          <w:sz w:val="20"/>
          <w:szCs w:val="20"/>
          <w:color w:val="auto"/>
        </w:rPr>
      </w:pPr>
      <w:r>
        <w:rPr>
          <w:rFonts w:ascii="Arial" w:cs="Arial" w:eastAsia="Arial" w:hAnsi="Arial"/>
          <w:sz w:val="16"/>
          <w:szCs w:val="16"/>
          <w:color w:val="auto"/>
        </w:rPr>
        <w:t>Our registration of the securities covered by this prospectus does not mean that the Selling Securityholders will offer or sell any of the shares of Class A Common Stock. The Selling Securityholders may offer, sell or distribute all or a portion of their shares of Class A Common Stock publicly or through private transactions at prevailing market prices or at negotiated prices. We will not receive any proceeds from the sale of shares of Class A Common Stock by the Selling Securityholders pursuant to this prospectus. We provide more information about how the Selling Securityholders may sell the Shares in the section entitled “Plan of Distribution.”</w:t>
      </w:r>
    </w:p>
    <w:p>
      <w:pPr>
        <w:spacing w:after="0" w:line="164" w:lineRule="exact"/>
        <w:rPr>
          <w:sz w:val="24"/>
          <w:szCs w:val="24"/>
          <w:color w:val="auto"/>
        </w:rPr>
      </w:pPr>
    </w:p>
    <w:p>
      <w:pPr>
        <w:jc w:val="both"/>
        <w:ind w:left="400" w:right="419" w:firstLine="360"/>
        <w:spacing w:after="0" w:line="277" w:lineRule="auto"/>
        <w:rPr>
          <w:sz w:val="20"/>
          <w:szCs w:val="20"/>
          <w:color w:val="auto"/>
        </w:rPr>
      </w:pPr>
      <w:r>
        <w:rPr>
          <w:rFonts w:ascii="Arial" w:cs="Arial" w:eastAsia="Arial" w:hAnsi="Arial"/>
          <w:sz w:val="18"/>
          <w:szCs w:val="18"/>
          <w:color w:val="auto"/>
        </w:rPr>
        <w:t>Our Class A Common Stock is listed on The Nasdaq Global Select Market (“Nasdaq”) under the symbol “MAPS.” On May 4, 2022, the closing price of our Class A Common Stock was $6.26.</w:t>
      </w:r>
    </w:p>
    <w:p>
      <w:pPr>
        <w:spacing w:after="0" w:line="170" w:lineRule="exact"/>
        <w:rPr>
          <w:sz w:val="24"/>
          <w:szCs w:val="24"/>
          <w:color w:val="auto"/>
        </w:rPr>
      </w:pPr>
    </w:p>
    <w:p>
      <w:pPr>
        <w:jc w:val="both"/>
        <w:ind w:left="400" w:right="419" w:firstLine="3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See the section entitled “Risk Factors” beginning on page </w:t>
      </w:r>
      <w:hyperlink w:anchor="page10">
        <w:r>
          <w:rPr>
            <w:rFonts w:ascii="Arial" w:cs="Arial" w:eastAsia="Arial" w:hAnsi="Arial"/>
            <w:sz w:val="18"/>
            <w:szCs w:val="18"/>
            <w:u w:val="single" w:color="auto"/>
            <w:color w:val="0000EE"/>
          </w:rPr>
          <w:t>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prospectus to read about factors you should consider before buying our securities.</w:t>
      </w:r>
    </w:p>
    <w:p>
      <w:pPr>
        <w:spacing w:after="0" w:line="170" w:lineRule="exact"/>
        <w:rPr>
          <w:sz w:val="24"/>
          <w:szCs w:val="24"/>
          <w:color w:val="auto"/>
        </w:rPr>
      </w:pPr>
    </w:p>
    <w:p>
      <w:pPr>
        <w:jc w:val="both"/>
        <w:ind w:left="400" w:right="419" w:firstLine="360"/>
        <w:spacing w:after="0" w:line="263"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9019"/>
          </w:cols>
          <w:pgMar w:left="1440" w:top="225"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The date of this prospectus is May 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151765</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25" w:right="1440" w:bottom="1440" w:gutter="0" w:footer="0" w:header="0"/>
          <w:type w:val="continuous"/>
        </w:sectPr>
      </w:pPr>
    </w:p>
    <w:bookmarkStart w:id="1" w:name="page2"/>
    <w:bookmarkEnd w:id="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gridSpan w:val="5"/>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53"/>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120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76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7"/>
        </w:trPr>
        <w:tc>
          <w:tcPr>
            <w:tcW w:w="8120" w:type="dxa"/>
            <w:vAlign w:val="bottom"/>
            <w:gridSpan w:val="25"/>
            <w:shd w:val="clear" w:color="auto" w:fill="CCEEFF"/>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ABOUT THIS PROSPECTUS</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20" w:type="dxa"/>
            <w:vAlign w:val="bottom"/>
            <w:shd w:val="clear" w:color="auto" w:fill="CCEEFF"/>
          </w:tcPr>
          <w:p>
            <w:pPr>
              <w:spacing w:after="0"/>
              <w:rPr>
                <w:sz w:val="20"/>
                <w:szCs w:val="20"/>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CAUTIONARY NOTE REGARDING FORWARD-LOOKING STATEMENTS</w:t>
              </w:r>
            </w:hyperlink>
          </w:p>
        </w:tc>
        <w:tc>
          <w:tcPr>
            <w:tcW w:w="28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5"/>
            <w:shd w:val="clear" w:color="auto" w:fill="CCEEFF"/>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PROSPECTUS SUMMARY</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5"/>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THE OFFERING</w:t>
              </w:r>
            </w:hyperlink>
          </w:p>
        </w:tc>
        <w:tc>
          <w:tcPr>
            <w:tcW w:w="280" w:type="dxa"/>
            <w:vAlign w:val="bottom"/>
            <w:gridSpan w:val="4"/>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7</w:t>
              </w:r>
            </w:hyperlink>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5"/>
            <w:shd w:val="clear" w:color="auto" w:fill="CCEEFF"/>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8</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USE OF PROCEEDS</w:t>
              </w:r>
            </w:hyperlink>
          </w:p>
        </w:tc>
        <w:tc>
          <w:tcPr>
            <w:tcW w:w="280" w:type="dxa"/>
            <w:vAlign w:val="bottom"/>
            <w:gridSpan w:val="4"/>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5"/>
            <w:shd w:val="clear" w:color="auto" w:fill="CCEEFF"/>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DETERMINATION OF OFFERING PRICE</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46</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5"/>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MARKET INFORMATION FOR COMMON STOCK AND DIVIDEND POLICY</w:t>
              </w:r>
            </w:hyperlink>
          </w:p>
        </w:tc>
        <w:tc>
          <w:tcPr>
            <w:tcW w:w="280" w:type="dxa"/>
            <w:vAlign w:val="bottom"/>
            <w:gridSpan w:val="4"/>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47</w:t>
              </w:r>
            </w:hyperlink>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5"/>
            <w:shd w:val="clear" w:color="auto" w:fill="CCEEFF"/>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SELECTED HISTORICAL FINANCIAL AND OPERATING DATA</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120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7760" w:type="dxa"/>
            <w:vAlign w:val="bottom"/>
            <w:tcBorders>
              <w:bottom w:val="single" w:sz="8" w:color="0000EE"/>
            </w:tcBorders>
            <w:gridSpan w:val="24"/>
          </w:tcPr>
          <w:p>
            <w:pPr>
              <w:spacing w:after="0"/>
              <w:rPr>
                <w:rFonts w:ascii="Arial" w:cs="Arial" w:eastAsia="Arial" w:hAnsi="Arial"/>
                <w:sz w:val="18"/>
                <w:szCs w:val="18"/>
                <w:color w:val="0000EE"/>
                <w:w w:val="97"/>
              </w:rPr>
            </w:pPr>
            <w:hyperlink w:anchor="page52">
              <w:r>
                <w:rPr>
                  <w:rFonts w:ascii="Arial" w:cs="Arial" w:eastAsia="Arial" w:hAnsi="Arial"/>
                  <w:sz w:val="18"/>
                  <w:szCs w:val="18"/>
                  <w:color w:val="0000EE"/>
                  <w:w w:val="97"/>
                </w:rPr>
                <w:t>MANAGEMENT’S DISCUSSION AND ANALYSIS OF FINANCIAL CONDITION AND RESULTS OF</w:t>
              </w:r>
            </w:hyperlink>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80" w:type="dxa"/>
            <w:vAlign w:val="bottom"/>
          </w:tcPr>
          <w:p>
            <w:pPr>
              <w:spacing w:after="0"/>
              <w:rPr>
                <w:sz w:val="17"/>
                <w:szCs w:val="17"/>
                <w:color w:val="auto"/>
              </w:rPr>
            </w:pPr>
          </w:p>
        </w:tc>
        <w:tc>
          <w:tcPr>
            <w:tcW w:w="7940" w:type="dxa"/>
            <w:vAlign w:val="bottom"/>
            <w:gridSpan w:val="24"/>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OPERATIONS</w:t>
              </w:r>
            </w:hyperlink>
          </w:p>
        </w:tc>
        <w:tc>
          <w:tcPr>
            <w:tcW w:w="280" w:type="dxa"/>
            <w:vAlign w:val="bottom"/>
            <w:gridSpan w:val="4"/>
          </w:tcPr>
          <w:p>
            <w:pPr>
              <w:jc w:val="right"/>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50</w:t>
              </w:r>
            </w:hyperlink>
          </w:p>
        </w:tc>
        <w:tc>
          <w:tcPr>
            <w:tcW w:w="20" w:type="dxa"/>
            <w:vAlign w:val="bottom"/>
          </w:tcPr>
          <w:p>
            <w:pPr>
              <w:spacing w:after="0"/>
              <w:rPr>
                <w:sz w:val="17"/>
                <w:szCs w:val="17"/>
                <w:color w:val="auto"/>
              </w:rPr>
            </w:pPr>
          </w:p>
        </w:tc>
      </w:tr>
      <w:tr>
        <w:trPr>
          <w:trHeight w:val="74"/>
        </w:trPr>
        <w:tc>
          <w:tcPr>
            <w:tcW w:w="18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5"/>
            <w:shd w:val="clear" w:color="auto" w:fill="CCEEFF"/>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BUSINESS</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69</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5"/>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MANAGEMENT</w:t>
              </w:r>
            </w:hyperlink>
          </w:p>
        </w:tc>
        <w:tc>
          <w:tcPr>
            <w:tcW w:w="280" w:type="dxa"/>
            <w:vAlign w:val="bottom"/>
            <w:gridSpan w:val="4"/>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81</w:t>
              </w:r>
            </w:hyperlink>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5"/>
            <w:shd w:val="clear" w:color="auto" w:fill="CCEEFF"/>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EXECUTIVE COMPENSATION</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90">
              <w:r>
                <w:rPr>
                  <w:rFonts w:ascii="Arial" w:cs="Arial" w:eastAsia="Arial" w:hAnsi="Arial"/>
                  <w:sz w:val="18"/>
                  <w:szCs w:val="18"/>
                  <w:color w:val="0000EE"/>
                </w:rPr>
                <w:t>88</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CERTAIN RELATIONSHIPS AND RELATED PARTY TRANSACTIONS</w:t>
              </w:r>
            </w:hyperlink>
          </w:p>
        </w:tc>
        <w:tc>
          <w:tcPr>
            <w:tcW w:w="280" w:type="dxa"/>
            <w:vAlign w:val="bottom"/>
            <w:gridSpan w:val="4"/>
          </w:tcPr>
          <w:p>
            <w:pPr>
              <w:jc w:val="right"/>
              <w:spacing w:after="0"/>
              <w:rPr>
                <w:rFonts w:ascii="Arial" w:cs="Arial" w:eastAsia="Arial" w:hAnsi="Arial"/>
                <w:sz w:val="18"/>
                <w:szCs w:val="18"/>
                <w:color w:val="0000EE"/>
              </w:rPr>
            </w:pPr>
            <w:hyperlink w:anchor="page99">
              <w:r>
                <w:rPr>
                  <w:rFonts w:ascii="Arial" w:cs="Arial" w:eastAsia="Arial" w:hAnsi="Arial"/>
                  <w:sz w:val="18"/>
                  <w:szCs w:val="18"/>
                  <w:color w:val="0000EE"/>
                </w:rPr>
                <w:t>97</w:t>
              </w:r>
            </w:hyperlink>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5"/>
            <w:shd w:val="clear" w:color="auto" w:fill="CCEEFF"/>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PRINCIPAL SECURITYHOLDERS</w:t>
              </w:r>
            </w:hyperlink>
          </w:p>
        </w:tc>
        <w:tc>
          <w:tcPr>
            <w:tcW w:w="300" w:type="dxa"/>
            <w:vAlign w:val="bottom"/>
            <w:gridSpan w:val="5"/>
            <w:shd w:val="clear" w:color="auto" w:fill="CCEEFF"/>
          </w:tcPr>
          <w:p>
            <w:pPr>
              <w:jc w:val="right"/>
              <w:ind w:right="20"/>
              <w:spacing w:after="0"/>
              <w:rPr>
                <w:rFonts w:ascii="Arial" w:cs="Arial" w:eastAsia="Arial" w:hAnsi="Arial"/>
                <w:sz w:val="18"/>
                <w:szCs w:val="18"/>
                <w:color w:val="0000EE"/>
                <w:w w:val="86"/>
              </w:rPr>
            </w:pPr>
            <w:hyperlink w:anchor="page105">
              <w:r>
                <w:rPr>
                  <w:rFonts w:ascii="Arial" w:cs="Arial" w:eastAsia="Arial" w:hAnsi="Arial"/>
                  <w:sz w:val="18"/>
                  <w:szCs w:val="18"/>
                  <w:color w:val="0000EE"/>
                  <w:w w:val="86"/>
                </w:rPr>
                <w:t>103</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5"/>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SELLING SECURITYHOLDERS</w:t>
              </w:r>
            </w:hyperlink>
          </w:p>
        </w:tc>
        <w:tc>
          <w:tcPr>
            <w:tcW w:w="300" w:type="dxa"/>
            <w:vAlign w:val="bottom"/>
            <w:gridSpan w:val="5"/>
          </w:tcPr>
          <w:p>
            <w:pPr>
              <w:jc w:val="right"/>
              <w:ind w:right="20"/>
              <w:spacing w:after="0"/>
              <w:rPr>
                <w:rFonts w:ascii="Arial" w:cs="Arial" w:eastAsia="Arial" w:hAnsi="Arial"/>
                <w:sz w:val="18"/>
                <w:szCs w:val="18"/>
                <w:color w:val="0000EE"/>
                <w:w w:val="86"/>
              </w:rPr>
            </w:pPr>
            <w:hyperlink w:anchor="page107">
              <w:r>
                <w:rPr>
                  <w:rFonts w:ascii="Arial" w:cs="Arial" w:eastAsia="Arial" w:hAnsi="Arial"/>
                  <w:sz w:val="18"/>
                  <w:szCs w:val="18"/>
                  <w:color w:val="0000EE"/>
                  <w:w w:val="86"/>
                </w:rPr>
                <w:t>105</w:t>
              </w:r>
            </w:hyperlink>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5"/>
            <w:shd w:val="clear" w:color="auto" w:fill="CCEEFF"/>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DESCRIPTION OF SECURITIES</w:t>
              </w:r>
            </w:hyperlink>
          </w:p>
        </w:tc>
        <w:tc>
          <w:tcPr>
            <w:tcW w:w="300" w:type="dxa"/>
            <w:vAlign w:val="bottom"/>
            <w:gridSpan w:val="5"/>
            <w:shd w:val="clear" w:color="auto" w:fill="CCEEFF"/>
          </w:tcPr>
          <w:p>
            <w:pPr>
              <w:jc w:val="right"/>
              <w:ind w:right="20"/>
              <w:spacing w:after="0"/>
              <w:rPr>
                <w:rFonts w:ascii="Arial" w:cs="Arial" w:eastAsia="Arial" w:hAnsi="Arial"/>
                <w:sz w:val="18"/>
                <w:szCs w:val="18"/>
                <w:color w:val="0000EE"/>
                <w:w w:val="86"/>
              </w:rPr>
            </w:pPr>
            <w:hyperlink w:anchor="page109">
              <w:r>
                <w:rPr>
                  <w:rFonts w:ascii="Arial" w:cs="Arial" w:eastAsia="Arial" w:hAnsi="Arial"/>
                  <w:sz w:val="18"/>
                  <w:szCs w:val="18"/>
                  <w:color w:val="0000EE"/>
                  <w:w w:val="86"/>
                </w:rPr>
                <w:t>107</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MATERIAL UNITED STATES FEDERAL INCOME TAX CONSEQUENCES</w:t>
              </w:r>
            </w:hyperlink>
          </w:p>
        </w:tc>
        <w:tc>
          <w:tcPr>
            <w:tcW w:w="280" w:type="dxa"/>
            <w:vAlign w:val="bottom"/>
            <w:gridSpan w:val="4"/>
          </w:tcPr>
          <w:p>
            <w:pPr>
              <w:jc w:val="right"/>
              <w:spacing w:after="0"/>
              <w:rPr>
                <w:rFonts w:ascii="Arial" w:cs="Arial" w:eastAsia="Arial" w:hAnsi="Arial"/>
                <w:sz w:val="18"/>
                <w:szCs w:val="18"/>
                <w:color w:val="0000EE"/>
                <w:w w:val="86"/>
              </w:rPr>
            </w:pPr>
            <w:hyperlink w:anchor="page117">
              <w:r>
                <w:rPr>
                  <w:rFonts w:ascii="Arial" w:cs="Arial" w:eastAsia="Arial" w:hAnsi="Arial"/>
                  <w:sz w:val="18"/>
                  <w:szCs w:val="18"/>
                  <w:color w:val="0000EE"/>
                  <w:w w:val="86"/>
                </w:rPr>
                <w:t>115</w:t>
              </w:r>
            </w:hyperlink>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5"/>
            <w:shd w:val="clear" w:color="auto" w:fill="CCEEFF"/>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PLAN OF DISTRIBUTION</w:t>
              </w:r>
            </w:hyperlink>
          </w:p>
        </w:tc>
        <w:tc>
          <w:tcPr>
            <w:tcW w:w="280" w:type="dxa"/>
            <w:vAlign w:val="bottom"/>
            <w:gridSpan w:val="4"/>
            <w:shd w:val="clear" w:color="auto" w:fill="CCEEFF"/>
          </w:tcPr>
          <w:p>
            <w:pPr>
              <w:jc w:val="right"/>
              <w:spacing w:after="0"/>
              <w:rPr>
                <w:rFonts w:ascii="Arial" w:cs="Arial" w:eastAsia="Arial" w:hAnsi="Arial"/>
                <w:sz w:val="18"/>
                <w:szCs w:val="18"/>
                <w:color w:val="0000EE"/>
                <w:w w:val="86"/>
              </w:rPr>
            </w:pPr>
            <w:hyperlink w:anchor="page121">
              <w:r>
                <w:rPr>
                  <w:rFonts w:ascii="Arial" w:cs="Arial" w:eastAsia="Arial" w:hAnsi="Arial"/>
                  <w:sz w:val="18"/>
                  <w:szCs w:val="18"/>
                  <w:color w:val="0000EE"/>
                  <w:w w:val="86"/>
                </w:rPr>
                <w:t>119</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LEGAL MATTERS</w:t>
              </w:r>
            </w:hyperlink>
          </w:p>
        </w:tc>
        <w:tc>
          <w:tcPr>
            <w:tcW w:w="300" w:type="dxa"/>
            <w:vAlign w:val="bottom"/>
            <w:gridSpan w:val="5"/>
          </w:tcPr>
          <w:p>
            <w:pPr>
              <w:jc w:val="right"/>
              <w:ind w:right="20"/>
              <w:spacing w:after="0"/>
              <w:rPr>
                <w:rFonts w:ascii="Arial" w:cs="Arial" w:eastAsia="Arial" w:hAnsi="Arial"/>
                <w:sz w:val="18"/>
                <w:szCs w:val="18"/>
                <w:color w:val="0000EE"/>
                <w:w w:val="86"/>
              </w:rPr>
            </w:pPr>
            <w:hyperlink w:anchor="page123">
              <w:r>
                <w:rPr>
                  <w:rFonts w:ascii="Arial" w:cs="Arial" w:eastAsia="Arial" w:hAnsi="Arial"/>
                  <w:sz w:val="18"/>
                  <w:szCs w:val="18"/>
                  <w:color w:val="0000EE"/>
                  <w:w w:val="86"/>
                </w:rPr>
                <w:t>121</w:t>
              </w:r>
            </w:hyperlink>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5"/>
            <w:shd w:val="clear" w:color="auto" w:fill="CCEEFF"/>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EXPERTS</w:t>
              </w:r>
            </w:hyperlink>
          </w:p>
        </w:tc>
        <w:tc>
          <w:tcPr>
            <w:tcW w:w="300" w:type="dxa"/>
            <w:vAlign w:val="bottom"/>
            <w:gridSpan w:val="5"/>
            <w:shd w:val="clear" w:color="auto" w:fill="CCEEFF"/>
          </w:tcPr>
          <w:p>
            <w:pPr>
              <w:jc w:val="right"/>
              <w:ind w:right="20"/>
              <w:spacing w:after="0"/>
              <w:rPr>
                <w:rFonts w:ascii="Arial" w:cs="Arial" w:eastAsia="Arial" w:hAnsi="Arial"/>
                <w:sz w:val="18"/>
                <w:szCs w:val="18"/>
                <w:color w:val="0000EE"/>
                <w:w w:val="86"/>
              </w:rPr>
            </w:pPr>
            <w:hyperlink w:anchor="page123">
              <w:r>
                <w:rPr>
                  <w:rFonts w:ascii="Arial" w:cs="Arial" w:eastAsia="Arial" w:hAnsi="Arial"/>
                  <w:sz w:val="18"/>
                  <w:szCs w:val="18"/>
                  <w:color w:val="0000EE"/>
                  <w:w w:val="86"/>
                </w:rPr>
                <w:t>121</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WHERE YOU CAN FIND MORE INFORMATION</w:t>
              </w:r>
            </w:hyperlink>
          </w:p>
        </w:tc>
        <w:tc>
          <w:tcPr>
            <w:tcW w:w="300" w:type="dxa"/>
            <w:vAlign w:val="bottom"/>
            <w:gridSpan w:val="5"/>
          </w:tcPr>
          <w:p>
            <w:pPr>
              <w:jc w:val="right"/>
              <w:ind w:right="20"/>
              <w:spacing w:after="0"/>
              <w:rPr>
                <w:rFonts w:ascii="Arial" w:cs="Arial" w:eastAsia="Arial" w:hAnsi="Arial"/>
                <w:sz w:val="18"/>
                <w:szCs w:val="18"/>
                <w:color w:val="0000EE"/>
                <w:w w:val="86"/>
              </w:rPr>
            </w:pPr>
            <w:hyperlink w:anchor="page124">
              <w:r>
                <w:rPr>
                  <w:rFonts w:ascii="Arial" w:cs="Arial" w:eastAsia="Arial" w:hAnsi="Arial"/>
                  <w:sz w:val="18"/>
                  <w:szCs w:val="18"/>
                  <w:color w:val="0000EE"/>
                  <w:w w:val="86"/>
                </w:rPr>
                <w:t>122</w:t>
              </w:r>
            </w:hyperlink>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5"/>
            <w:shd w:val="clear" w:color="auto" w:fill="CCEEFF"/>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INDEX TO FINANCIAL STATEMENTS</w:t>
              </w:r>
            </w:hyperlink>
          </w:p>
        </w:tc>
        <w:tc>
          <w:tcPr>
            <w:tcW w:w="20" w:type="dxa"/>
            <w:vAlign w:val="bottom"/>
            <w:shd w:val="clear" w:color="auto" w:fill="CCEEFF"/>
          </w:tcPr>
          <w:p>
            <w:pPr>
              <w:spacing w:after="0"/>
              <w:rPr>
                <w:sz w:val="19"/>
                <w:szCs w:val="19"/>
                <w:color w:val="auto"/>
              </w:rPr>
            </w:pPr>
          </w:p>
        </w:tc>
        <w:tc>
          <w:tcPr>
            <w:tcW w:w="280" w:type="dxa"/>
            <w:vAlign w:val="bottom"/>
            <w:gridSpan w:val="4"/>
            <w:shd w:val="clear" w:color="auto" w:fill="CCEEFF"/>
          </w:tcPr>
          <w:p>
            <w:pPr>
              <w:jc w:val="right"/>
              <w:ind w:right="20"/>
              <w:spacing w:after="0"/>
              <w:rPr>
                <w:rFonts w:ascii="Arial" w:cs="Arial" w:eastAsia="Arial" w:hAnsi="Arial"/>
                <w:sz w:val="18"/>
                <w:szCs w:val="18"/>
                <w:color w:val="0000EE"/>
                <w:w w:val="88"/>
              </w:rPr>
            </w:pPr>
            <w:hyperlink w:anchor="page125">
              <w:r>
                <w:rPr>
                  <w:rFonts w:ascii="Arial" w:cs="Arial" w:eastAsia="Arial" w:hAnsi="Arial"/>
                  <w:sz w:val="18"/>
                  <w:szCs w:val="18"/>
                  <w:color w:val="0000EE"/>
                  <w:w w:val="88"/>
                </w:rPr>
                <w:t>F-1</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-4885690</wp:posOffset>
            </wp:positionV>
            <wp:extent cx="1111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You should rely only on the information provided in this prospectus, as well as the information incorporated by reference into this prospectus and any applicable prospectus supplement. Neither we nor the Selling Securityholders have authorized anyone to provide you with different information. Neither we nor the Selling Securityholders are making an offer of these securities in any jurisdiction where the offer is not permitted. You should not assume that the information in this prospectus or any applicable prospectus supplement is accurate as of any date other than the date of the applicable document. Since the date of this prospectus and the documents incorporated by reference into this prospectus, our business, financial condition, results of operations and prospects may have 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88900</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This prospectus is part of a registration statement on Form S-1 that we filed with the Securities and Exchange Commission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w:t>
      </w:r>
    </w:p>
    <w:p>
      <w:pPr>
        <w:spacing w:after="0" w:line="80"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or provide any assurance as to the reliability of, any other information that others may give you. Neither we nor the Selling Securityholders will make an offer to sell these securities in any jurisdiction where the offer or sale is not permitted.</w:t>
      </w:r>
    </w:p>
    <w:p>
      <w:pPr>
        <w:spacing w:after="0" w:line="7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“Where You Can Find More Information.”</w:t>
      </w:r>
    </w:p>
    <w:p>
      <w:pPr>
        <w:spacing w:after="0" w:line="80"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On June 16, 2021 (the “Closing Date”), Silver Spike Acquisition Corp., our predecessor company, consummated the Business Combination (as defined below), which was previously announced, pursuant to that certain Agreement and Plan of Merger, dated December 10, 2020 (the “Merger Agreement”), by and among Silver Spike, Silver Spike Merger Sub LLC, a Delaware limited liability company and a wholly owned direct subsidiary of Silver Spike (“Merger Sub”), WM Holding Company, LLC, a Delaware limited liability company (when referred to for pre-Business Combination (as defined below) periods, “Legacy WMH” and when referred to in for post-Business Combination periods, “WMH LLC”), and Ghost Media Group, LLC, a Nevada limited liability company, solely in its capacity as the initial holder representative (the “Holder Representative”). Pursuant to the Merger Agreement, Merger Sub merged with and into Legacy WMH, whereupon the separate limited liability company existence of Merger Sub ceased and WMH LLC became the surviving company and continued in existence as a subsidiary of Silver Spike (the transactions contemplated by the Merger Agreement, the “Business Combination”). On the Closing Date, and in connection with the closing of the Business Combination (the “Closing”), Silver Spike changed its name to WM Technology, Inc.</w:t>
      </w:r>
    </w:p>
    <w:p>
      <w:pPr>
        <w:spacing w:after="0" w:line="7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Unless the context indicates otherwise, references in this prospectus to the “Company,” “WMTI,” “we,” “us,” “our” and similar terms refer to WM Technology, Inc. (f/k/a Silver Spike Acquisition Corp.) and its consolidated subsidiaries (including Legacy WMH). References to “Silver Spike” refer to our predecessor company prior to the consummation of the Business Combination.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This prospectus contains forward-looking statements within the meaning of Section 27A of the Securities Act, and Section 21E of the Exchange Act. We have based these forward-looking statements on our current expectations and projections about future events. All statements, other than statements of present or historical fact included in this prospectus, our future financial performance, strategy, expansion plans, future operations, future operating results, estimated revenues, losses, projected costs, prospects, plans and objectives of management are forward-looking statements. Any statements that refer to projections, forecasts or other characterizations of future events or circumstances, including any underlying assumptions, are forward-looking statements. In some cases, you can identify forward-looking statements by terminology such as “anticipate,” “believe,” “continue,” “could,” “estimate,” “expect,” “intends,” “may,” “might,” “plan,” “possible,” “potential,” “predict,” “project,” “should,” “will,” “would” or the negative of such terms or other similar expressions.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prospectus. We caution you that these forward-looking statements are subject to numerous risks and uncertainties, most of which are difficult to predict and many of which are beyond our control.</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Forward-looking statements in this prospectus may include, for example, statements about:</w:t>
      </w:r>
    </w:p>
    <w:p>
      <w:pPr>
        <w:spacing w:after="0" w:line="117" w:lineRule="exact"/>
        <w:rPr>
          <w:sz w:val="20"/>
          <w:szCs w:val="20"/>
          <w:color w:val="auto"/>
        </w:rPr>
      </w:pPr>
    </w:p>
    <w:p>
      <w:pPr>
        <w:ind w:left="1000" w:right="319" w:hanging="348"/>
        <w:spacing w:after="0" w:line="277"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financial and business performance, including key business metrics and any underlying assumptions thereunder;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market opportunity and our ability to acquire new customers and retain existing customers;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and timing related to commercial product launches;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success of our go-to-market strategy;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scale our business and expand our offerings;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competitive advantages and growth strategies;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future capital requirements and sources and uses of cash;</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funding for our future operations;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outcome of any known and unknown litigation and regulatory proceedings.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domestic and foreign business, market, financial, political and legal conditions;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global, regional or local economic and market conditions affecting the cannabis industry;</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development, effects and enforcement of and changes to laws and regulations, including with respect to the cannabis industry;</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successfully capitalize on new and existing cannabis markets, including our ability to successfully monetize our solutions in those markets;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manage future growth;</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develop new products and solutions, bring them to market in a timely manner, and make enhancements to our platform and our ability to maintain and grow our two sided digital network, including our ability to acquire and retain paying customers;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effects of competition on our future business;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success in retaining or recruiting, or changes required in, officers, key employees or directors;</w:t>
      </w:r>
    </w:p>
    <w:p>
      <w:pPr>
        <w:spacing w:after="0" w:line="12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that we have identified a material weakness in our internal control over financial reporting which, if not corrected, could affect the reliability of our consolidated financial statements;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possibility that we may be adversely affected by other economic, business or competitive factors.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Given these risks and uncertainties, you should not place undue reliance on these forward-looking statements. Additional cautionary statements or discussions of risks and uncertainties that could affect our results or the achievement of the expectations described in forward-looking statements may also be contained in any accompanying prospectus supplement.</w:t>
      </w:r>
    </w:p>
    <w:p>
      <w:pPr>
        <w:spacing w:after="0" w:line="79"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 xml:space="preserve">Should one or more of the risks or uncertainties described in this prospectus, or should underlying assumptions prove incorrect, actual results and plans could differ materially from those expressed in any forward-looking statements. Additional information concerning these and other factors that may impact the operations and projections discussed herein can be found in the section entitled “Risk Factors” and in our periodic filings with the SEC. Our SEC filings are available publicly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6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You should read this prospectus and any accompanying prospectus supplement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1737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3405" cy="817372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jc w:val="both"/>
        <w:ind w:left="320" w:right="279" w:firstLine="360"/>
        <w:spacing w:after="0" w:line="255" w:lineRule="auto"/>
        <w:rPr>
          <w:sz w:val="20"/>
          <w:szCs w:val="20"/>
          <w:color w:val="auto"/>
        </w:rPr>
      </w:pPr>
      <w:r>
        <w:rPr>
          <w:rFonts w:ascii="Arial" w:cs="Arial" w:eastAsia="Arial" w:hAnsi="Arial"/>
          <w:sz w:val="18"/>
          <w:szCs w:val="18"/>
          <w:color w:val="auto"/>
        </w:rPr>
        <w:t>This summary highlights selected information appearing in this prospectus. Because it is a summary, it may not contain all of the information that may be important to you. To understand this offering fully, you should read this entire prospectus carefully, including the information set forth in the sections entitled “Risk Factors,” “Management’s Discussion and Analysis of Financial Condition and Results of Operations,” “Business” and the consolidated financial statements and related notes included elsewhere in this prospectus before making an investment decision.</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jc w:val="both"/>
        <w:ind w:left="320" w:right="279" w:firstLine="360"/>
        <w:spacing w:after="0" w:line="269" w:lineRule="auto"/>
        <w:rPr>
          <w:sz w:val="20"/>
          <w:szCs w:val="20"/>
          <w:color w:val="auto"/>
        </w:rPr>
      </w:pPr>
      <w:r>
        <w:rPr>
          <w:rFonts w:ascii="Arial" w:cs="Arial" w:eastAsia="Arial" w:hAnsi="Arial"/>
          <w:sz w:val="17"/>
          <w:szCs w:val="17"/>
          <w:color w:val="auto"/>
        </w:rPr>
        <w:t>We were founded in 2008 and operate a leading online marketplace with a comprehensive set of eCommerce and compliance software solutions sold to retailers and brands in the U.S. state-legal and Canadian cannabis markets. The Company’s mission is to power a transparent and inclusive global cannabis economy. We address the challenges facing both consumers seeking to understand cannabis products and businesses who serve cannabis users in a legally compliant fashion with our Weedmaps marketplace and WM Business software solutions. Over the past 13 years, we have grown the Weedmaps marketplace to become a premier destination for cannabis consumers to discover and browse information regarding cannabis and cannabis products, permitting product discovery and order-ahead for pickup or delivery by participating retailers. WM Business is a set of eCommerce-enablement tools designed to help our retailer and brand clients get the best out of their Weedmaps experience, while creating labor efficiency and managing their compliance needs.</w:t>
      </w:r>
    </w:p>
    <w:p>
      <w:pPr>
        <w:spacing w:after="0" w:line="77"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8"/>
          <w:szCs w:val="18"/>
          <w:color w:val="auto"/>
        </w:rPr>
        <w:t>The mailing address of our principal executive office is 41 Discovery, Irvine, California 92618. Our telephone number is (844) 933-3627.</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jc w:val="both"/>
        <w:ind w:left="320" w:right="299" w:firstLine="360"/>
        <w:spacing w:after="0" w:line="279" w:lineRule="auto"/>
        <w:rPr>
          <w:sz w:val="20"/>
          <w:szCs w:val="20"/>
          <w:color w:val="auto"/>
        </w:rPr>
      </w:pPr>
      <w:r>
        <w:rPr>
          <w:rFonts w:ascii="Arial" w:cs="Arial" w:eastAsia="Arial" w:hAnsi="Arial"/>
          <w:sz w:val="17"/>
          <w:szCs w:val="17"/>
          <w:color w:val="auto"/>
        </w:rPr>
        <w:t>On September 3, 2021, we entered into the Asset Purchase Agreement with Sprout, Text Ripple, WM Loyalty, LLC, certain equityholders of Sprout and Text Ripple, and Jaret Christopher, as sellers’ representative. We issued 1,244,258 shares of Class A Common Stock pursuant to the Asset Purchase Agreement , and we are required under the Asset Purchase Agreement to register such shares for resale under the Securities Act.</w:t>
      </w:r>
    </w:p>
    <w:p>
      <w:pPr>
        <w:spacing w:after="0" w:line="63" w:lineRule="exact"/>
        <w:rPr>
          <w:sz w:val="20"/>
          <w:szCs w:val="20"/>
          <w:color w:val="auto"/>
        </w:rPr>
      </w:pPr>
    </w:p>
    <w:p>
      <w:pPr>
        <w:jc w:val="both"/>
        <w:ind w:left="320" w:right="279" w:firstLine="360"/>
        <w:spacing w:after="0" w:line="259" w:lineRule="auto"/>
        <w:rPr>
          <w:sz w:val="20"/>
          <w:szCs w:val="20"/>
          <w:color w:val="auto"/>
        </w:rPr>
      </w:pPr>
      <w:r>
        <w:rPr>
          <w:rFonts w:ascii="Arial" w:cs="Arial" w:eastAsia="Arial" w:hAnsi="Arial"/>
          <w:sz w:val="18"/>
          <w:szCs w:val="18"/>
          <w:color w:val="auto"/>
        </w:rPr>
        <w:t>On September 28, 2021, Ghost Management Group, LLC, a subsidiary of the Company, entered into the Equity Interest Purchase Agreement with TLHC, certain securityholders of TLHC, and Justin Morris, as sellers’ representative. We issued 694,540 shares of Class A Common Stock pursuant to the Equity Interest Purchase Agreement.</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Risks Associated with Our Business</w:t>
      </w:r>
    </w:p>
    <w:p>
      <w:pPr>
        <w:spacing w:after="0" w:line="117" w:lineRule="exact"/>
        <w:rPr>
          <w:sz w:val="20"/>
          <w:szCs w:val="20"/>
          <w:color w:val="auto"/>
        </w:rPr>
      </w:pPr>
    </w:p>
    <w:p>
      <w:pPr>
        <w:jc w:val="both"/>
        <w:ind w:left="320" w:right="279" w:firstLine="360"/>
        <w:spacing w:after="0" w:line="286" w:lineRule="auto"/>
        <w:rPr>
          <w:sz w:val="20"/>
          <w:szCs w:val="20"/>
          <w:color w:val="auto"/>
        </w:rPr>
      </w:pPr>
      <w:r>
        <w:rPr>
          <w:rFonts w:ascii="Arial" w:cs="Arial" w:eastAsia="Arial" w:hAnsi="Arial"/>
          <w:sz w:val="17"/>
          <w:szCs w:val="17"/>
          <w:color w:val="auto"/>
        </w:rPr>
        <w:t>Our ability to implement our business strategy is subject to numerous risks that you should be aware of before making an investment decision. These risks are described more fully in the section entitled “Risk Factors,” immediately following this prospectus summary. These risks include the following, among others:</w:t>
      </w:r>
    </w:p>
    <w:p>
      <w:pPr>
        <w:spacing w:after="0" w:line="57" w:lineRule="exact"/>
        <w:rPr>
          <w:sz w:val="20"/>
          <w:szCs w:val="20"/>
          <w:color w:val="auto"/>
        </w:rPr>
      </w:pPr>
    </w:p>
    <w:p>
      <w:pPr>
        <w:ind w:left="1020" w:right="299" w:hanging="350"/>
        <w:spacing w:after="0" w:line="277"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our costs increase, we may not be able to generate sufficient revenue to maintain profitability in the future.</w:t>
      </w:r>
    </w:p>
    <w:p>
      <w:pPr>
        <w:spacing w:after="0" w:line="62"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we fail to retain our existing clients and consumers or to acquire new clients and consumers in a cost-effective manner, our revenue may decrease and our business may be harmed.</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fail to offer the optimal pricing of our products and solutions.</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2"/>
        </w:numPr>
        <w:rPr>
          <w:rFonts w:ascii="Arial" w:cs="Arial" w:eastAsia="Arial" w:hAnsi="Arial"/>
          <w:sz w:val="17"/>
          <w:szCs w:val="17"/>
          <w:color w:val="auto"/>
        </w:rPr>
      </w:pPr>
      <w:r>
        <w:rPr>
          <w:rFonts w:ascii="Arial" w:cs="Arial" w:eastAsia="Arial" w:hAnsi="Arial"/>
          <w:sz w:val="17"/>
          <w:szCs w:val="17"/>
          <w:color w:val="auto"/>
        </w:rPr>
        <w:t>If we fail to expand effectively into new markets, our revenue and business will be adversely affected.</w:t>
      </w:r>
    </w:p>
    <w:p>
      <w:pPr>
        <w:spacing w:after="0" w:line="128" w:lineRule="exact"/>
        <w:rPr>
          <w:rFonts w:ascii="Arial" w:cs="Arial" w:eastAsia="Arial" w:hAnsi="Arial"/>
          <w:sz w:val="17"/>
          <w:szCs w:val="17"/>
          <w:color w:val="auto"/>
        </w:rPr>
      </w:pPr>
    </w:p>
    <w:p>
      <w:pPr>
        <w:ind w:left="1020" w:right="299" w:hanging="350"/>
        <w:spacing w:after="0" w:line="277"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business is concentrated in California, and, as a result, our performance may be affected by factors unique to the California market.</w:t>
      </w:r>
    </w:p>
    <w:p>
      <w:pPr>
        <w:spacing w:after="0" w:line="62" w:lineRule="exact"/>
        <w:rPr>
          <w:rFonts w:ascii="Arial" w:cs="Arial" w:eastAsia="Arial" w:hAnsi="Arial"/>
          <w:sz w:val="18"/>
          <w:szCs w:val="18"/>
          <w:color w:val="auto"/>
        </w:rPr>
      </w:pPr>
    </w:p>
    <w:p>
      <w:pPr>
        <w:jc w:val="both"/>
        <w:ind w:left="1020" w:right="299" w:hanging="350"/>
        <w:spacing w:after="0" w:line="259"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Federal law enforcement may deem our clients to be in violation of U.S. federal law, and, in particular the CSA. A change in U.S. federal policy on cannabis enforcement and strict enforcement of federal cannabis laws against our clients would undermine our business model and materially affect our business and operations.</w:t>
      </w:r>
    </w:p>
    <w:p>
      <w:pPr>
        <w:spacing w:after="0" w:line="78" w:lineRule="exact"/>
        <w:rPr>
          <w:rFonts w:ascii="Arial" w:cs="Arial" w:eastAsia="Arial" w:hAnsi="Arial"/>
          <w:sz w:val="18"/>
          <w:szCs w:val="18"/>
          <w:color w:val="auto"/>
        </w:rPr>
      </w:pPr>
    </w:p>
    <w:p>
      <w:pPr>
        <w:ind w:left="1020" w:right="299" w:hanging="350"/>
        <w:spacing w:after="0" w:line="308" w:lineRule="auto"/>
        <w:tabs>
          <w:tab w:leader="none" w:pos="1020" w:val="left"/>
        </w:tabs>
        <w:numPr>
          <w:ilvl w:val="0"/>
          <w:numId w:val="2"/>
        </w:numPr>
        <w:rPr>
          <w:rFonts w:ascii="Arial" w:cs="Arial" w:eastAsia="Arial" w:hAnsi="Arial"/>
          <w:sz w:val="17"/>
          <w:szCs w:val="17"/>
          <w:color w:val="auto"/>
        </w:rPr>
      </w:pPr>
      <w:r>
        <w:rPr>
          <w:rFonts w:ascii="Arial" w:cs="Arial" w:eastAsia="Arial" w:hAnsi="Arial"/>
          <w:sz w:val="17"/>
          <w:szCs w:val="17"/>
          <w:color w:val="auto"/>
        </w:rPr>
        <w:t>Some of our clients or their listings currently and in the future may not be in compliance with licensing and related requirements under applicable laws and regulations. Allowing unlicensed or noncompliant</w:t>
      </w:r>
    </w:p>
    <w:p>
      <w:pPr>
        <w:sectPr>
          <w:pgSz w:w="11900" w:h="16838" w:orient="portrait"/>
          <w:cols w:equalWidth="0" w:num="1">
            <w:col w:w="9019"/>
          </w:cols>
          <w:pgMar w:left="1440" w:top="265" w:right="1440" w:bottom="1440" w:gutter="0" w:footer="0" w:header="0"/>
          <w:type w:val="continuous"/>
        </w:sect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 w:name="page7"/>
    <w:bookmarkEnd w:id="6"/>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787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3405" cy="77876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1020" w:right="279"/>
        <w:spacing w:after="0" w:line="275" w:lineRule="auto"/>
        <w:rPr>
          <w:sz w:val="20"/>
          <w:szCs w:val="20"/>
          <w:color w:val="auto"/>
        </w:rPr>
      </w:pPr>
      <w:r>
        <w:rPr>
          <w:rFonts w:ascii="Arial" w:cs="Arial" w:eastAsia="Arial" w:hAnsi="Arial"/>
          <w:sz w:val="17"/>
          <w:szCs w:val="17"/>
          <w:color w:val="auto"/>
        </w:rPr>
        <w:t>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68" w:lineRule="exact"/>
        <w:rPr>
          <w:sz w:val="20"/>
          <w:szCs w:val="20"/>
          <w:color w:val="auto"/>
        </w:rPr>
      </w:pPr>
    </w:p>
    <w:p>
      <w:pPr>
        <w:jc w:val="both"/>
        <w:ind w:left="1020" w:right="299" w:hanging="350"/>
        <w:spacing w:after="0" w:line="272"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While our solutions provide features to support our clients’ compliance with the complex, disparate and constantly evolving regulations and other legal requirements applicable to the cannabis industry, we generally do not, and cannot, ensure that our clients will conduct their business activities in a manner compliant with such regulations and requirements.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69" w:lineRule="exact"/>
        <w:rPr>
          <w:rFonts w:ascii="Arial" w:cs="Arial" w:eastAsia="Arial" w:hAnsi="Arial"/>
          <w:sz w:val="17"/>
          <w:szCs w:val="17"/>
          <w:color w:val="auto"/>
        </w:rPr>
      </w:pPr>
    </w:p>
    <w:p>
      <w:pPr>
        <w:ind w:left="1020" w:right="299" w:hanging="350"/>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is dependent on U.S. state laws and regulations and Canadian federal and provincial laws and regulations pertaining to the cannabis industry.</w:t>
      </w:r>
    </w:p>
    <w:p>
      <w:pPr>
        <w:spacing w:after="0" w:line="62" w:lineRule="exact"/>
        <w:rPr>
          <w:rFonts w:ascii="Arial" w:cs="Arial" w:eastAsia="Arial" w:hAnsi="Arial"/>
          <w:sz w:val="18"/>
          <w:szCs w:val="18"/>
          <w:color w:val="auto"/>
        </w:rPr>
      </w:pPr>
    </w:p>
    <w:p>
      <w:pPr>
        <w:ind w:left="1020" w:right="299" w:hanging="350"/>
        <w:spacing w:after="0" w:line="308"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rapid changes in the cannabis industry and applicable laws and regulations make predicting and evaluating our future prospects difficult, and may increase the risk that we will not be successful.</w:t>
      </w:r>
    </w:p>
    <w:p>
      <w:pPr>
        <w:spacing w:after="0" w:line="38" w:lineRule="exact"/>
        <w:rPr>
          <w:rFonts w:ascii="Arial" w:cs="Arial" w:eastAsia="Arial" w:hAnsi="Arial"/>
          <w:sz w:val="17"/>
          <w:szCs w:val="17"/>
          <w:color w:val="auto"/>
        </w:rPr>
      </w:pPr>
    </w:p>
    <w:p>
      <w:pPr>
        <w:ind w:left="1020" w:right="299" w:hanging="350"/>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Because our business is dependent, in part, upon continued market acceptance of cannabis by consumers, any negative trends could adversely affect our business operations.</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Expansion of our business is dependent on the continued legalization of cannabis.</w:t>
      </w:r>
    </w:p>
    <w:p>
      <w:pPr>
        <w:spacing w:after="0" w:line="117"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clients and consumers using our platform fail to provide high-quality content that attracts consumers, we may not be able to generate sufficient consumer traffic to remain competitive.</w:t>
      </w:r>
    </w:p>
    <w:p>
      <w:pPr>
        <w:spacing w:after="0" w:line="62" w:lineRule="exact"/>
        <w:rPr>
          <w:rFonts w:ascii="Arial" w:cs="Arial" w:eastAsia="Arial" w:hAnsi="Arial"/>
          <w:sz w:val="18"/>
          <w:szCs w:val="18"/>
          <w:color w:val="auto"/>
        </w:rPr>
      </w:pPr>
    </w:p>
    <w:p>
      <w:pPr>
        <w:jc w:val="both"/>
        <w:ind w:left="1020" w:right="299" w:hanging="350"/>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is highly dependent upon our brand recognition and reputation, and the erosion or degradation of our brand recognition or reputation would likely adversely affect our business and operating results.</w:t>
      </w:r>
    </w:p>
    <w:p>
      <w:pPr>
        <w:spacing w:after="0" w:line="75"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currently face intense competition in the cannabis information market, and we expect competition to further intensify as the cannabis industry continues to evolve.</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we fail to manage our growth effectively, our brand, business and operating results could be harmed.</w:t>
      </w:r>
    </w:p>
    <w:p>
      <w:pPr>
        <w:spacing w:after="0" w:line="128" w:lineRule="exact"/>
        <w:rPr>
          <w:rFonts w:ascii="Arial" w:cs="Arial" w:eastAsia="Arial" w:hAnsi="Arial"/>
          <w:sz w:val="17"/>
          <w:szCs w:val="17"/>
          <w:color w:val="auto"/>
        </w:rPr>
      </w:pPr>
    </w:p>
    <w:p>
      <w:pPr>
        <w:ind w:left="1020" w:right="299" w:hanging="350"/>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recruit, train, retain and motivate key personnel, we may not achieve our business objectives.</w:t>
      </w:r>
    </w:p>
    <w:p>
      <w:pPr>
        <w:spacing w:after="0" w:line="62" w:lineRule="exact"/>
        <w:rPr>
          <w:rFonts w:ascii="Arial" w:cs="Arial" w:eastAsia="Arial" w:hAnsi="Arial"/>
          <w:sz w:val="18"/>
          <w:szCs w:val="18"/>
          <w:color w:val="auto"/>
        </w:rPr>
      </w:pPr>
    </w:p>
    <w:p>
      <w:pPr>
        <w:jc w:val="both"/>
        <w:ind w:left="1020" w:right="299" w:hanging="350"/>
        <w:spacing w:after="0" w:line="279"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63" w:lineRule="exact"/>
        <w:rPr>
          <w:rFonts w:ascii="Arial" w:cs="Arial" w:eastAsia="Arial" w:hAnsi="Arial"/>
          <w:sz w:val="17"/>
          <w:szCs w:val="17"/>
          <w:color w:val="auto"/>
        </w:rPr>
      </w:pPr>
    </w:p>
    <w:p>
      <w:pPr>
        <w:jc w:val="both"/>
        <w:ind w:left="1020" w:right="299" w:hanging="350"/>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our current marketing model is not effective in attracting new clients, we may need to employ higher-cost sales and marketing methods to attract and retain clients, which could adversely affect our profitability.</w:t>
      </w:r>
    </w:p>
    <w:p>
      <w:pPr>
        <w:spacing w:after="0" w:line="75" w:lineRule="exact"/>
        <w:rPr>
          <w:rFonts w:ascii="Arial" w:cs="Arial" w:eastAsia="Arial" w:hAnsi="Arial"/>
          <w:sz w:val="18"/>
          <w:szCs w:val="18"/>
          <w:color w:val="auto"/>
        </w:rPr>
      </w:pPr>
    </w:p>
    <w:p>
      <w:pPr>
        <w:jc w:val="both"/>
        <w:ind w:left="1020" w:right="299" w:hanging="350"/>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75" w:lineRule="exact"/>
        <w:rPr>
          <w:rFonts w:ascii="Arial" w:cs="Arial" w:eastAsia="Arial" w:hAnsi="Arial"/>
          <w:sz w:val="18"/>
          <w:szCs w:val="18"/>
          <w:color w:val="auto"/>
        </w:rPr>
      </w:pPr>
    </w:p>
    <w:p>
      <w:pPr>
        <w:jc w:val="both"/>
        <w:ind w:left="1020" w:right="299" w:hanging="350"/>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75"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payment system and the payment systems of our clients depend on third-party providers and are subject to evolving laws and regulations.</w:t>
      </w:r>
    </w:p>
    <w:p>
      <w:pPr>
        <w:spacing w:after="0" w:line="62"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trading price of our Class A Common Stock and Warrants have been, and may continue to be, volatile, and the value of our Class A Common Stock and Warrants may decline.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20961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3405" cy="209613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left="320" w:right="279" w:firstLine="360"/>
        <w:spacing w:after="0" w:line="269" w:lineRule="auto"/>
        <w:rPr>
          <w:sz w:val="20"/>
          <w:szCs w:val="20"/>
          <w:color w:val="auto"/>
        </w:rPr>
      </w:pPr>
      <w:r>
        <w:rPr>
          <w:rFonts w:ascii="Arial" w:cs="Arial" w:eastAsia="Arial" w:hAnsi="Arial"/>
          <w:sz w:val="17"/>
          <w:szCs w:val="17"/>
          <w:color w:val="auto"/>
        </w:rPr>
        <w:t>Silver Spike, which was incorporated on June 7, 2019 as a Cayman Islands exempted company and formed for the purpose of effecting a merger, amalgamation, share exchange, asset acquisition, share purchase, reorganization or similar business combination with one or more businesses. Silver Spike completed its initial public offering in August 2019. In June 2021, Merger Sub merged with and into Legacy WMH, whereupon the separate limited liability company existence of Merger Sub ceased and Legacy WMH became the surviving company and continued in existence as a subsidiary of Silver Spike. Prior to the Closing Date, Silver Spike changed its jurisdiction of incorporation from the Cayman Islands to the State of Delaware by deregistering as an exempted company in the Cayman Islands and domesticating and continuing as a corporation formed under the laws of the State of Delaware (the “Domestication”). On the Closing Date, and in connection with the Closing, Silver Spike changed its name to WM Technology. The mailing address of our principal executive office is 41 Discovery, Irvine, California 92618. Our telephone number is (844) 933-3627.</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108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90170</wp:posOffset>
            </wp:positionV>
            <wp:extent cx="5653405" cy="36385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3405" cy="363855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020"/>
          </w:cols>
          <w:pgMar w:left="440" w:top="265" w:right="439" w:bottom="1440" w:gutter="0" w:footer="0" w:header="0"/>
        </w:sectPr>
      </w:pPr>
    </w:p>
    <w:p>
      <w:pPr>
        <w:spacing w:after="0" w:line="131"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Issuer</w:t>
      </w:r>
    </w:p>
    <w:p>
      <w:pPr>
        <w:spacing w:after="0" w:line="185"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Resale of Class A Common Stock</w:t>
      </w:r>
    </w:p>
    <w:p>
      <w:pPr>
        <w:spacing w:after="0" w:line="117" w:lineRule="exact"/>
        <w:rPr>
          <w:sz w:val="20"/>
          <w:szCs w:val="20"/>
          <w:color w:val="auto"/>
        </w:rPr>
      </w:pPr>
    </w:p>
    <w:p>
      <w:pPr>
        <w:ind w:left="1480" w:hanging="179"/>
        <w:spacing w:after="0" w:line="282" w:lineRule="auto"/>
        <w:rPr>
          <w:sz w:val="20"/>
          <w:szCs w:val="20"/>
          <w:color w:val="auto"/>
        </w:rPr>
      </w:pPr>
      <w:r>
        <w:rPr>
          <w:rFonts w:ascii="Arial" w:cs="Arial" w:eastAsia="Arial" w:hAnsi="Arial"/>
          <w:sz w:val="18"/>
          <w:szCs w:val="18"/>
          <w:b w:val="1"/>
          <w:bCs w:val="1"/>
          <w:color w:val="auto"/>
        </w:rPr>
        <w:t>Shares of Class A Common Stock Offered by the Selling Securityholders</w:t>
      </w:r>
    </w:p>
    <w:p>
      <w:pPr>
        <w:spacing w:after="0" w:line="135"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WM Technology,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Up to 1,938,798 shares of Class A Common Stock.</w:t>
      </w:r>
    </w:p>
    <w:p>
      <w:pPr>
        <w:spacing w:after="0" w:line="158" w:lineRule="exact"/>
        <w:rPr>
          <w:sz w:val="20"/>
          <w:szCs w:val="20"/>
          <w:color w:val="auto"/>
        </w:rPr>
      </w:pPr>
    </w:p>
    <w:p>
      <w:pPr>
        <w:jc w:val="both"/>
        <w:ind w:right="1280"/>
        <w:spacing w:after="0" w:line="263" w:lineRule="auto"/>
        <w:rPr>
          <w:sz w:val="20"/>
          <w:szCs w:val="20"/>
          <w:color w:val="auto"/>
        </w:rPr>
      </w:pPr>
      <w:r>
        <w:rPr>
          <w:rFonts w:ascii="Arial" w:cs="Arial" w:eastAsia="Arial" w:hAnsi="Arial"/>
          <w:sz w:val="18"/>
          <w:szCs w:val="18"/>
          <w:color w:val="auto"/>
        </w:rPr>
        <w:t>We will not receive any proceeds from the sale of shares of Class A Common Stock by the Selling Securityholders.</w:t>
      </w:r>
    </w:p>
    <w:p>
      <w:pPr>
        <w:spacing w:after="0" w:line="99" w:lineRule="exact"/>
        <w:rPr>
          <w:sz w:val="20"/>
          <w:szCs w:val="20"/>
          <w:color w:val="auto"/>
        </w:rPr>
      </w:pPr>
    </w:p>
    <w:p>
      <w:pPr>
        <w:sectPr>
          <w:pgSz w:w="11900" w:h="16838" w:orient="portrait"/>
          <w:cols w:equalWidth="0" w:num="2">
            <w:col w:w="5040" w:space="600"/>
            <w:col w:w="5380"/>
          </w:cols>
          <w:pgMar w:left="440" w:top="265" w:right="4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108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Arial" w:cs="Arial" w:eastAsia="Arial" w:hAnsi="Arial"/>
                <w:sz w:val="18"/>
                <w:szCs w:val="18"/>
                <w:b w:val="1"/>
                <w:bCs w:val="1"/>
                <w:color w:val="auto"/>
              </w:rPr>
              <w:t>Lock-Up Restrictions</w:t>
            </w:r>
          </w:p>
        </w:tc>
        <w:tc>
          <w:tcPr>
            <w:tcW w:w="6280" w:type="dxa"/>
            <w:vAlign w:val="bottom"/>
            <w:gridSpan w:val="2"/>
          </w:tcPr>
          <w:p>
            <w:pPr>
              <w:ind w:left="900"/>
              <w:spacing w:after="0"/>
              <w:rPr>
                <w:sz w:val="20"/>
                <w:szCs w:val="20"/>
                <w:color w:val="auto"/>
              </w:rPr>
            </w:pPr>
            <w:r>
              <w:rPr>
                <w:rFonts w:ascii="Arial" w:cs="Arial" w:eastAsia="Arial" w:hAnsi="Arial"/>
                <w:sz w:val="18"/>
                <w:szCs w:val="18"/>
                <w:color w:val="auto"/>
              </w:rPr>
              <w:t>Certain  of  our  stockholders  are  subject  to  certain</w:t>
            </w:r>
          </w:p>
        </w:tc>
      </w:tr>
      <w:tr>
        <w:trPr>
          <w:trHeight w:val="216"/>
        </w:trPr>
        <w:tc>
          <w:tcPr>
            <w:tcW w:w="10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80" w:type="dxa"/>
            <w:vAlign w:val="bottom"/>
            <w:gridSpan w:val="2"/>
          </w:tcPr>
          <w:p>
            <w:pPr>
              <w:ind w:left="900"/>
              <w:spacing w:after="0"/>
              <w:rPr>
                <w:sz w:val="20"/>
                <w:szCs w:val="20"/>
                <w:color w:val="auto"/>
              </w:rPr>
            </w:pPr>
            <w:r>
              <w:rPr>
                <w:rFonts w:ascii="Arial" w:cs="Arial" w:eastAsia="Arial" w:hAnsi="Arial"/>
                <w:sz w:val="18"/>
                <w:szCs w:val="18"/>
                <w:color w:val="auto"/>
              </w:rPr>
              <w:t>restrictions  on  transfer  until  the  termination  of</w:t>
            </w:r>
          </w:p>
        </w:tc>
      </w:tr>
      <w:tr>
        <w:trPr>
          <w:trHeight w:val="216"/>
        </w:trPr>
        <w:tc>
          <w:tcPr>
            <w:tcW w:w="10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80" w:type="dxa"/>
            <w:vAlign w:val="bottom"/>
            <w:gridSpan w:val="2"/>
          </w:tcPr>
          <w:p>
            <w:pPr>
              <w:ind w:left="900"/>
              <w:spacing w:after="0"/>
              <w:rPr>
                <w:sz w:val="20"/>
                <w:szCs w:val="20"/>
                <w:color w:val="auto"/>
              </w:rPr>
            </w:pPr>
            <w:r>
              <w:rPr>
                <w:rFonts w:ascii="Arial" w:cs="Arial" w:eastAsia="Arial" w:hAnsi="Arial"/>
                <w:sz w:val="18"/>
                <w:szCs w:val="18"/>
                <w:color w:val="auto"/>
              </w:rPr>
              <w:t>applicable  lock-up  periods.  See  the  section  entitled</w:t>
            </w:r>
          </w:p>
        </w:tc>
      </w:tr>
      <w:tr>
        <w:trPr>
          <w:trHeight w:val="216"/>
        </w:trPr>
        <w:tc>
          <w:tcPr>
            <w:tcW w:w="10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80" w:type="dxa"/>
            <w:vAlign w:val="bottom"/>
            <w:gridSpan w:val="2"/>
          </w:tcPr>
          <w:p>
            <w:pPr>
              <w:ind w:left="900"/>
              <w:spacing w:after="0"/>
              <w:rPr>
                <w:sz w:val="20"/>
                <w:szCs w:val="20"/>
                <w:color w:val="auto"/>
              </w:rPr>
            </w:pPr>
            <w:r>
              <w:rPr>
                <w:rFonts w:ascii="Arial" w:cs="Arial" w:eastAsia="Arial" w:hAnsi="Arial"/>
                <w:sz w:val="18"/>
                <w:szCs w:val="18"/>
                <w:color w:val="auto"/>
              </w:rPr>
              <w:t>“Certain Relationships and Related Party Transactions”</w:t>
            </w:r>
          </w:p>
        </w:tc>
      </w:tr>
      <w:tr>
        <w:trPr>
          <w:trHeight w:val="230"/>
        </w:trPr>
        <w:tc>
          <w:tcPr>
            <w:tcW w:w="10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280" w:type="dxa"/>
            <w:vAlign w:val="bottom"/>
            <w:gridSpan w:val="2"/>
          </w:tcPr>
          <w:p>
            <w:pPr>
              <w:ind w:left="900"/>
              <w:spacing w:after="0"/>
              <w:rPr>
                <w:sz w:val="20"/>
                <w:szCs w:val="20"/>
                <w:color w:val="auto"/>
              </w:rPr>
            </w:pPr>
            <w:r>
              <w:rPr>
                <w:rFonts w:ascii="Arial" w:cs="Arial" w:eastAsia="Arial" w:hAnsi="Arial"/>
                <w:sz w:val="18"/>
                <w:szCs w:val="18"/>
                <w:color w:val="auto"/>
              </w:rPr>
              <w:t>for further discussion.</w:t>
            </w:r>
          </w:p>
        </w:tc>
      </w:tr>
      <w:tr>
        <w:trPr>
          <w:trHeight w:val="350"/>
        </w:trPr>
        <w:tc>
          <w:tcPr>
            <w:tcW w:w="1080" w:type="dxa"/>
            <w:vAlign w:val="bottom"/>
          </w:tcPr>
          <w:p>
            <w:pPr>
              <w:spacing w:after="0"/>
              <w:rPr>
                <w:sz w:val="24"/>
                <w:szCs w:val="24"/>
                <w:color w:val="auto"/>
              </w:rPr>
            </w:pPr>
          </w:p>
        </w:tc>
        <w:tc>
          <w:tcPr>
            <w:tcW w:w="3660" w:type="dxa"/>
            <w:vAlign w:val="bottom"/>
          </w:tcPr>
          <w:p>
            <w:pPr>
              <w:ind w:left="240"/>
              <w:spacing w:after="0"/>
              <w:rPr>
                <w:sz w:val="20"/>
                <w:szCs w:val="20"/>
                <w:color w:val="auto"/>
              </w:rPr>
            </w:pPr>
            <w:r>
              <w:rPr>
                <w:rFonts w:ascii="Arial" w:cs="Arial" w:eastAsia="Arial" w:hAnsi="Arial"/>
                <w:sz w:val="18"/>
                <w:szCs w:val="18"/>
                <w:b w:val="1"/>
                <w:bCs w:val="1"/>
                <w:color w:val="auto"/>
              </w:rPr>
              <w:t>Market for Class A Common Stock</w:t>
            </w:r>
          </w:p>
        </w:tc>
        <w:tc>
          <w:tcPr>
            <w:tcW w:w="6280" w:type="dxa"/>
            <w:vAlign w:val="bottom"/>
            <w:gridSpan w:val="2"/>
          </w:tcPr>
          <w:p>
            <w:pPr>
              <w:ind w:left="900"/>
              <w:spacing w:after="0"/>
              <w:rPr>
                <w:sz w:val="20"/>
                <w:szCs w:val="20"/>
                <w:color w:val="auto"/>
              </w:rPr>
            </w:pPr>
            <w:r>
              <w:rPr>
                <w:rFonts w:ascii="Arial" w:cs="Arial" w:eastAsia="Arial" w:hAnsi="Arial"/>
                <w:sz w:val="18"/>
                <w:szCs w:val="18"/>
                <w:color w:val="auto"/>
              </w:rPr>
              <w:t>Our Class A Common Stock is currently traded on</w:t>
            </w:r>
          </w:p>
        </w:tc>
      </w:tr>
      <w:tr>
        <w:trPr>
          <w:trHeight w:val="230"/>
        </w:trPr>
        <w:tc>
          <w:tcPr>
            <w:tcW w:w="10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280" w:type="dxa"/>
            <w:vAlign w:val="bottom"/>
            <w:gridSpan w:val="2"/>
          </w:tcPr>
          <w:p>
            <w:pPr>
              <w:ind w:left="900"/>
              <w:spacing w:after="0"/>
              <w:rPr>
                <w:sz w:val="20"/>
                <w:szCs w:val="20"/>
                <w:color w:val="auto"/>
              </w:rPr>
            </w:pPr>
            <w:r>
              <w:rPr>
                <w:rFonts w:ascii="Arial" w:cs="Arial" w:eastAsia="Arial" w:hAnsi="Arial"/>
                <w:sz w:val="18"/>
                <w:szCs w:val="18"/>
                <w:color w:val="auto"/>
              </w:rPr>
              <w:t>Nasdaq under the symbol “MAPS.”</w:t>
            </w:r>
          </w:p>
        </w:tc>
      </w:tr>
      <w:tr>
        <w:trPr>
          <w:trHeight w:val="350"/>
        </w:trPr>
        <w:tc>
          <w:tcPr>
            <w:tcW w:w="1080" w:type="dxa"/>
            <w:vAlign w:val="bottom"/>
          </w:tcPr>
          <w:p>
            <w:pPr>
              <w:spacing w:after="0"/>
              <w:rPr>
                <w:sz w:val="24"/>
                <w:szCs w:val="24"/>
                <w:color w:val="auto"/>
              </w:rPr>
            </w:pPr>
          </w:p>
        </w:tc>
        <w:tc>
          <w:tcPr>
            <w:tcW w:w="3660" w:type="dxa"/>
            <w:vAlign w:val="bottom"/>
          </w:tcPr>
          <w:p>
            <w:pPr>
              <w:ind w:left="240"/>
              <w:spacing w:after="0"/>
              <w:rPr>
                <w:sz w:val="20"/>
                <w:szCs w:val="20"/>
                <w:color w:val="auto"/>
              </w:rPr>
            </w:pPr>
            <w:r>
              <w:rPr>
                <w:rFonts w:ascii="Arial" w:cs="Arial" w:eastAsia="Arial" w:hAnsi="Arial"/>
                <w:sz w:val="18"/>
                <w:szCs w:val="18"/>
                <w:b w:val="1"/>
                <w:bCs w:val="1"/>
                <w:color w:val="auto"/>
              </w:rPr>
              <w:t>Risk Factors</w:t>
            </w:r>
          </w:p>
        </w:tc>
        <w:tc>
          <w:tcPr>
            <w:tcW w:w="6280" w:type="dxa"/>
            <w:vAlign w:val="bottom"/>
            <w:gridSpan w:val="2"/>
          </w:tcPr>
          <w:p>
            <w:pPr>
              <w:ind w:left="900"/>
              <w:spacing w:after="0"/>
              <w:rPr>
                <w:sz w:val="20"/>
                <w:szCs w:val="20"/>
                <w:color w:val="auto"/>
              </w:rPr>
            </w:pPr>
            <w:r>
              <w:rPr>
                <w:rFonts w:ascii="Arial" w:cs="Arial" w:eastAsia="Arial" w:hAnsi="Arial"/>
                <w:sz w:val="18"/>
                <w:szCs w:val="18"/>
                <w:color w:val="auto"/>
              </w:rPr>
              <w:t>See  the  section  entitled  “Risk  Factors”  and  other</w:t>
            </w:r>
          </w:p>
        </w:tc>
      </w:tr>
      <w:tr>
        <w:trPr>
          <w:trHeight w:val="216"/>
        </w:trPr>
        <w:tc>
          <w:tcPr>
            <w:tcW w:w="10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80" w:type="dxa"/>
            <w:vAlign w:val="bottom"/>
            <w:gridSpan w:val="2"/>
          </w:tcPr>
          <w:p>
            <w:pPr>
              <w:ind w:left="900"/>
              <w:spacing w:after="0"/>
              <w:rPr>
                <w:sz w:val="20"/>
                <w:szCs w:val="20"/>
                <w:color w:val="auto"/>
              </w:rPr>
            </w:pPr>
            <w:r>
              <w:rPr>
                <w:rFonts w:ascii="Arial" w:cs="Arial" w:eastAsia="Arial" w:hAnsi="Arial"/>
                <w:sz w:val="18"/>
                <w:szCs w:val="18"/>
                <w:color w:val="auto"/>
              </w:rPr>
              <w:t>information included in this prospectus for a discussion</w:t>
            </w:r>
          </w:p>
        </w:tc>
      </w:tr>
      <w:tr>
        <w:trPr>
          <w:trHeight w:val="216"/>
        </w:trPr>
        <w:tc>
          <w:tcPr>
            <w:tcW w:w="10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80" w:type="dxa"/>
            <w:vAlign w:val="bottom"/>
            <w:gridSpan w:val="2"/>
          </w:tcPr>
          <w:p>
            <w:pPr>
              <w:ind w:left="900"/>
              <w:spacing w:after="0"/>
              <w:rPr>
                <w:sz w:val="20"/>
                <w:szCs w:val="20"/>
                <w:color w:val="auto"/>
              </w:rPr>
            </w:pPr>
            <w:r>
              <w:rPr>
                <w:rFonts w:ascii="Arial" w:cs="Arial" w:eastAsia="Arial" w:hAnsi="Arial"/>
                <w:sz w:val="18"/>
                <w:szCs w:val="18"/>
                <w:color w:val="auto"/>
              </w:rPr>
              <w:t>of factors you should consider before investing in our</w:t>
            </w:r>
          </w:p>
        </w:tc>
      </w:tr>
      <w:tr>
        <w:trPr>
          <w:trHeight w:val="230"/>
        </w:trPr>
        <w:tc>
          <w:tcPr>
            <w:tcW w:w="10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280" w:type="dxa"/>
            <w:vAlign w:val="bottom"/>
            <w:gridSpan w:val="2"/>
          </w:tcPr>
          <w:p>
            <w:pPr>
              <w:ind w:left="900"/>
              <w:spacing w:after="0"/>
              <w:rPr>
                <w:sz w:val="20"/>
                <w:szCs w:val="20"/>
                <w:color w:val="auto"/>
              </w:rPr>
            </w:pPr>
            <w:r>
              <w:rPr>
                <w:rFonts w:ascii="Arial" w:cs="Arial" w:eastAsia="Arial" w:hAnsi="Arial"/>
                <w:sz w:val="18"/>
                <w:szCs w:val="18"/>
                <w:color w:val="auto"/>
              </w:rPr>
              <w:t>securities.</w:t>
            </w:r>
          </w:p>
        </w:tc>
      </w:tr>
      <w:tr>
        <w:trPr>
          <w:trHeight w:val="213"/>
        </w:trPr>
        <w:tc>
          <w:tcPr>
            <w:tcW w:w="1080" w:type="dxa"/>
            <w:vAlign w:val="bottom"/>
          </w:tcPr>
          <w:p>
            <w:pPr>
              <w:spacing w:after="0"/>
              <w:rPr>
                <w:sz w:val="18"/>
                <w:szCs w:val="18"/>
                <w:color w:val="auto"/>
              </w:rPr>
            </w:pPr>
          </w:p>
        </w:tc>
        <w:tc>
          <w:tcPr>
            <w:tcW w:w="3660" w:type="dxa"/>
            <w:vAlign w:val="bottom"/>
            <w:tcBorders>
              <w:bottom w:val="single" w:sz="8" w:color="auto"/>
            </w:tcBorders>
          </w:tcPr>
          <w:p>
            <w:pPr>
              <w:spacing w:after="0"/>
              <w:rPr>
                <w:sz w:val="18"/>
                <w:szCs w:val="18"/>
                <w:color w:val="auto"/>
              </w:rPr>
            </w:pPr>
          </w:p>
        </w:tc>
        <w:tc>
          <w:tcPr>
            <w:tcW w:w="524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429"/>
        </w:trPr>
        <w:tc>
          <w:tcPr>
            <w:tcW w:w="10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240" w:type="dxa"/>
            <w:vAlign w:val="bottom"/>
          </w:tcPr>
          <w:p>
            <w:pPr>
              <w:ind w:left="720"/>
              <w:spacing w:after="0"/>
              <w:rPr>
                <w:sz w:val="20"/>
                <w:szCs w:val="20"/>
                <w:color w:val="auto"/>
              </w:rPr>
            </w:pPr>
            <w:r>
              <w:rPr>
                <w:rFonts w:ascii="Arial" w:cs="Arial" w:eastAsia="Arial" w:hAnsi="Arial"/>
                <w:sz w:val="18"/>
                <w:szCs w:val="18"/>
                <w:color w:val="auto"/>
              </w:rPr>
              <w:t>7</w:t>
            </w:r>
          </w:p>
        </w:tc>
        <w:tc>
          <w:tcPr>
            <w:tcW w:w="1040" w:type="dxa"/>
            <w:vAlign w:val="bottom"/>
          </w:tcPr>
          <w:p>
            <w:pPr>
              <w:spacing w:after="0"/>
              <w:rPr>
                <w:sz w:val="24"/>
                <w:szCs w:val="24"/>
                <w:color w:val="auto"/>
              </w:rPr>
            </w:pPr>
          </w:p>
        </w:tc>
      </w:tr>
      <w:tr>
        <w:trPr>
          <w:trHeight w:val="182"/>
        </w:trPr>
        <w:tc>
          <w:tcPr>
            <w:tcW w:w="108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tcPr>
          <w:p>
            <w:pPr>
              <w:spacing w:after="0"/>
              <w:rPr>
                <w:sz w:val="15"/>
                <w:szCs w:val="15"/>
                <w:color w:val="auto"/>
              </w:rPr>
            </w:pPr>
          </w:p>
        </w:tc>
        <w:tc>
          <w:tcPr>
            <w:tcW w:w="5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type w:val="continuous"/>
        </w:sectPr>
      </w:pPr>
    </w:p>
    <w:bookmarkStart w:id="9" w:name="page10"/>
    <w:bookmarkEnd w:id="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i w:val="1"/>
          <w:iCs w:val="1"/>
          <w:color w:val="auto"/>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Risks:</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Our business is subject to a number of risks, any of which could have an adverse effect on our business financial condition, operating results, or prospects:</w:t>
      </w:r>
    </w:p>
    <w:p>
      <w:pPr>
        <w:spacing w:after="0" w:line="62" w:lineRule="exact"/>
        <w:rPr>
          <w:sz w:val="20"/>
          <w:szCs w:val="20"/>
          <w:color w:val="auto"/>
        </w:rPr>
      </w:pPr>
    </w:p>
    <w:p>
      <w:pPr>
        <w:ind w:left="1000" w:right="3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our costs increase, we may not be able to generate sufficient revenue to maintain profitability in the future.</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retain our existing clients and consumers or to acquire new clients and consumers in a cost-effective manner, our revenue may decrease and our business may be harmed.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fail to offer the optimal pricing of our products and solutions.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fail to expand effectively into new markets, our revenue and business will be adversely affected.</w:t>
      </w:r>
    </w:p>
    <w:p>
      <w:pPr>
        <w:spacing w:after="0" w:line="12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is concentrated in California, and, as a result, our performance may be affected by factors unique to the California market.</w:t>
      </w:r>
    </w:p>
    <w:p>
      <w:pPr>
        <w:spacing w:after="0" w:line="62"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Federal law enforcement may deem our clients to be in violation of U.S. federal law, and, in particular the CSA. A change in U.S. federal policy on cannabis enforcement and strict enforcement of federal cannabis laws against our clients would undermine our business model and materially affect our business and operations.</w:t>
      </w:r>
    </w:p>
    <w:p>
      <w:pPr>
        <w:spacing w:after="0" w:line="78" w:lineRule="exact"/>
        <w:rPr>
          <w:rFonts w:ascii="Arial" w:cs="Arial" w:eastAsia="Arial" w:hAnsi="Arial"/>
          <w:sz w:val="18"/>
          <w:szCs w:val="18"/>
          <w:color w:val="auto"/>
        </w:rPr>
      </w:pPr>
    </w:p>
    <w:p>
      <w:pPr>
        <w:jc w:val="both"/>
        <w:ind w:left="1000" w:right="299" w:hanging="348"/>
        <w:spacing w:after="0" w:line="272" w:lineRule="auto"/>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69" w:lineRule="exact"/>
        <w:rPr>
          <w:rFonts w:ascii="Arial" w:cs="Arial" w:eastAsia="Arial" w:hAnsi="Arial"/>
          <w:sz w:val="17"/>
          <w:szCs w:val="17"/>
          <w:color w:val="auto"/>
        </w:rPr>
      </w:pPr>
    </w:p>
    <w:p>
      <w:pPr>
        <w:jc w:val="both"/>
        <w:ind w:left="1000" w:right="299" w:hanging="348"/>
        <w:spacing w:after="0" w:line="272" w:lineRule="auto"/>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While our solutions provide features to support our clients’ compliance with the complex, disparate and constantly evolving regulations and other legal requirements applicable to the cannabis industry, we generally do not, and cannot, ensure that our clients will conduct their business activities in a manner compliant with such regulations and requirements.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69"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is dependent on U.S. state laws and regulations and Canadian federal and provincial laws and regulations pertaining to the cannabis industry.</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rapid changes in the cannabis industry and applicable laws and regulations make predicting and evaluating our future prospects difficult, and may increase the risk that we will not be successful.</w:t>
      </w:r>
    </w:p>
    <w:p>
      <w:pPr>
        <w:spacing w:after="0" w:line="3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Because our business is dependent, in part, upon continued market acceptance of cannabis by consumers, any negative trends could adversely affect our business operations.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Expansion of our business is dependent on the continued legalization of cannabis.</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clients and consumers using our platform fail to provide high-quality content that attracts consumers, we may not be able to generate sufficient consumer traffic to remain competitive.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263"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is highly dependent upon our brand recognition and reputation, and the erosion or degradation of our brand recognition or reputation would likely adversely affect our business and operating results.</w:t>
      </w:r>
    </w:p>
    <w:p>
      <w:pPr>
        <w:spacing w:after="0" w:line="75"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currently face intense competition in the cannabis information market, and we expect competition to further intensify as the cannabis industry continues to evolve.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fail to manage our growth effectively, our brand, business and operating results could be harmed.</w:t>
      </w:r>
    </w:p>
    <w:p>
      <w:pPr>
        <w:spacing w:after="0" w:line="12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recruit, train, retain and motivate key personnel, we may not achieve our business objectives.</w:t>
      </w:r>
    </w:p>
    <w:p>
      <w:pPr>
        <w:spacing w:after="0" w:line="62" w:lineRule="exact"/>
        <w:rPr>
          <w:rFonts w:ascii="Arial" w:cs="Arial" w:eastAsia="Arial" w:hAnsi="Arial"/>
          <w:sz w:val="18"/>
          <w:szCs w:val="18"/>
          <w:color w:val="auto"/>
        </w:rPr>
      </w:pPr>
    </w:p>
    <w:p>
      <w:pPr>
        <w:jc w:val="both"/>
        <w:ind w:left="1000" w:right="299" w:hanging="348"/>
        <w:spacing w:after="0" w:line="279"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63" w:lineRule="exact"/>
        <w:rPr>
          <w:rFonts w:ascii="Arial" w:cs="Arial" w:eastAsia="Arial" w:hAnsi="Arial"/>
          <w:sz w:val="17"/>
          <w:szCs w:val="17"/>
          <w:color w:val="auto"/>
        </w:rPr>
      </w:pPr>
    </w:p>
    <w:p>
      <w:pPr>
        <w:jc w:val="both"/>
        <w:ind w:left="1000" w:right="299" w:hanging="348"/>
        <w:spacing w:after="0" w:line="263"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our current marketing model is not effective in attracting new clients, we may need to employ higher-cost sales and marketing methods to attract and retain clients, which could adversely affect our profitability.</w:t>
      </w:r>
    </w:p>
    <w:p>
      <w:pPr>
        <w:spacing w:after="0" w:line="75"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payment system and the payment systems of our clients depend on third-party providers and are subject to evolving laws and regulations.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trading price of our Class A Common Stock and Warrants have been, and may continue to be, volatile, and the value of our Class A Common Stock and Warrants may decline.</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As our costs increase, we may not be able to generate sufficient revenue to maintain profitability in the future.</w:t>
      </w:r>
    </w:p>
    <w:p>
      <w:pPr>
        <w:spacing w:after="0" w:line="140"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While our revenue has grown in recent periods, this growth may not be sustainable due to a number of factors, including the maturation of our business, slowdowns in the pace of issuance of new licenses to cannabis retailers and brands, and the eventual decline in the number of new major geographic markets in which the sale of cannabis is permitted and to which we have not already expanded. We may not be able to generate sufficient revenue to sustain profitability. Additionally, we expect our costs to increase in future periods as we expend substantial financial and other resources on, among other things:</w:t>
      </w:r>
    </w:p>
    <w:p>
      <w:pPr>
        <w:spacing w:after="0" w:line="84" w:lineRule="exact"/>
        <w:rPr>
          <w:sz w:val="20"/>
          <w:szCs w:val="20"/>
          <w:color w:val="auto"/>
        </w:rPr>
      </w:pPr>
    </w:p>
    <w:p>
      <w:pPr>
        <w:ind w:left="1000" w:right="31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and marketing, including continued investment in our current marketing efforts and future marketing initiatives;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hiring of additional employees, including in our product and engineering teams;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expansion domestically and internationally in an effort to increase our consumer and client usage, client base, and our sales to our clients;</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development of new products, and increased investment in the ongoing development of our existing products;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integrating our acquired companies into our operations; and</w:t>
      </w:r>
    </w:p>
    <w:p>
      <w:pPr>
        <w:spacing w:after="0" w:line="117"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general administration, including a significant increase in legal and accounting expenses related to public company compliance, continued compliance with various regulations applicable to cannabis industry businesses and other work arising from the growth and maturity of our company.</w:t>
      </w:r>
    </w:p>
    <w:p>
      <w:pPr>
        <w:spacing w:after="0" w:line="5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These expenditures may not result in additional revenue or the growth of our business. If we fail to continue to grow revenue or to sustain profitability, the market price of our securities could decline, and our business, operating results and financial condition could be adversely affected.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If we fail to retain our existing clients and consumers or to acquire new clients and consumers in a cost-effective manner, our revenue may decrease and our business may be harmed.</w:t>
      </w:r>
    </w:p>
    <w:p>
      <w:pPr>
        <w:spacing w:after="0" w:line="62"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We compete in a dynamic, innovative market, which we expect will continue to evolve rapidly. We believe that our success is dependent on our ability to continue identifying and anticipating the needs of our clients and consumers and growing our two-sided network by retaining our existing clients and consumers and adding new clients and consumers. This two-sided network takes time to build and may grow more slowly than we expect or than it has grown in the past. As we have become larger through organic growth, the growth rates for MAUs, number of paying clients and monthly revenue per client have at times slowed and may similarly slow in the future, even if we continue to add clients and consumers on an absolute basis. Although we expect that our growth rates will continue to slow during certain periods as our business increases in size, if we fail to retain either our existing clients or consumers, the value of our two-sided network will be diminished.</w:t>
      </w:r>
    </w:p>
    <w:p>
      <w:pPr>
        <w:spacing w:after="0" w:line="73"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In addition, the costs associated with client and consumer retention are substantially lower than costs associated with the acquisition of new clients or consumers. We have incurred significant costs to attract clients and consumers to our platform and expect to incur significant additional costs to attract and retain clients and consumers for the foreseeable future. Because expenditures on our platform can represent a significant financial investment for our clients, our ability to retain clients depends in part on our ability to create and maintain high levels of client and consumer satisfaction, which we may not always be capable of providing, including for reasons outside of our control. Additionally, in order to retain our clients, we may be required to identify ways to help our clients convert consumers more effectively. Our clients generally do not have long-term obligations to purchase our products and solutions and generally may cancel their use of our products and solutions at any time without penalty. Thus, any decrease in client satisfaction or other change negatively affecting our ability to retain clients could result in a rapid, concentrated impact to our results going forward. Therefore, our failure to retain existing clients or consumers, even if such losses are offset by an increase in revenue resulting from the acquisition of new clients or consumers, could have an adverse effect on our business and operating results.</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We may fail to offer the optimal pricing of our products and solutions.</w:t>
      </w:r>
    </w:p>
    <w:p>
      <w:pPr>
        <w:spacing w:after="0" w:line="117"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have limited experience in determining the optimal pricing of our products and solutions, including our newly acquired products and solutions, and we may need to change our pricing model from time to time. For example, at the end of 2020 we changed our pricing model for our subscription software services to our WM Business bundled software services model and increased the amount our clients need to pay to access our listing products. We also have historically priced our add-on premium offerings in a bid-auction format. Our ability to continue growing depends on our ability to maintain and expand our client base. If our clients do not believe the incremental additional cost we are charging for WM Business is justified by the additional components included in our software bundles or that our add-on offerings do not generate proper return on investment, such clients may decline to continue using our services, and our revenue and other financial results may be adversely impacted.</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If we fail to expand effectively into new markets, our revenue and business will be adversely affected.</w:t>
      </w:r>
    </w:p>
    <w:p>
      <w:pPr>
        <w:spacing w:after="0" w:line="129"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While a key part of our business strategy is to add clients and consumers in our existing geographic markets, we intend to expand our operations into new markets if and as cannabis continues to be legalized. Any such expansion places us in competitive markets with which we may be unfamiliar, requires us to analyze the potential applicability of new and potentially complicated regulations regarding the usage, sale and marketing of cannabis, and involves various risks, including the need to invest significant time and resources and the possibility that returns on such investments will not be achieved for several years, if at all. For example, we intend to expand in 2022 with the launch of our products and solutions and attracting and retaining clients and consumers on the East Coast. As a result of such expansion, we may incur losses or otherwise fail to enter new markets successfully. In attempting to establish a presence in new markets, we expect to incur significant expenses and face various other challenges, such as expanding our compliance efforts to cover those new markets. These efforts may prove more expensive than we currently anticipate, and we may not succeed in increasing our revenues sufficiently to offset these expenses. Our current and any future expansion plans will require significant resources and management attention.</w:t>
      </w:r>
    </w:p>
    <w:p>
      <w:pPr>
        <w:spacing w:after="0" w:line="168"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Our business is concentrated in California, and, as a result, our performance may be affected by factors unique to the California market.</w:t>
      </w:r>
    </w:p>
    <w:p>
      <w:pPr>
        <w:spacing w:after="0" w:line="62"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California represents one of the largest state legal cannabis markets in the United States, and approximately 64.1% of our revenue for the year ended December 31, 2021, was generated in California. As new markets develop and our current markets expand, we anticipate that there will be a reduction in the percentage of our revenue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generated in California, but we do not know with any certainty when and to what degree, if ever, this would occur. Moreover, the cannabis market in California is rapidly evolving, and we expect our growth in California to continue as the cannabis industry continues to develop, which could further concentrate our client base. As a result, our business and results of operations are particularly susceptible to trends in the California cannabis market, as well as adverse economic, regulatory, political and other conditions in California. Additionally, adverse economic, regulatory, political or other developments that are limited to California may have a disproportionately greater effect on us. In particular, we rely on licensed cannabis businesses to drive the growth of our revenue and the use of our products, and the failure of the licensed cannabis markets to sufficiently overtake or eliminate the illegal market may have an adverse effect on our ability to grow our revenue, particularly if the slow pace of licensing allows the illegal market to gain a foothold, which may be more likely to occur in jurisdictions with an extended period of time between the authorization of consumer possession and the time at which licensed retailers become operational. In such jurisdictions, the timeline for licensed cannabis businesses overtaking the illegal market may be extended.</w:t>
      </w:r>
    </w:p>
    <w:p>
      <w:pPr>
        <w:spacing w:after="0" w:line="168" w:lineRule="exact"/>
        <w:rPr>
          <w:sz w:val="20"/>
          <w:szCs w:val="20"/>
          <w:color w:val="auto"/>
        </w:rPr>
      </w:pPr>
    </w:p>
    <w:p>
      <w:pPr>
        <w:jc w:val="both"/>
        <w:ind w:left="300" w:right="319"/>
        <w:spacing w:after="0" w:line="311" w:lineRule="auto"/>
        <w:rPr>
          <w:sz w:val="20"/>
          <w:szCs w:val="20"/>
          <w:color w:val="auto"/>
        </w:rPr>
      </w:pPr>
      <w:r>
        <w:rPr>
          <w:rFonts w:ascii="Arial" w:cs="Arial" w:eastAsia="Arial" w:hAnsi="Arial"/>
          <w:sz w:val="16"/>
          <w:szCs w:val="16"/>
          <w:b w:val="1"/>
          <w:bCs w:val="1"/>
          <w:i w:val="1"/>
          <w:iCs w:val="1"/>
          <w:color w:val="auto"/>
        </w:rPr>
        <w:t>Federal law enforcement may deem our clients to be in violation of U.S. federal law, and, in particular the CSA. A change in U.S. federal policy on cannabis enforcement and strict enforcement of federal cannabis laws against our clients would undermine our business model and materially affect our business and operations.</w:t>
      </w:r>
    </w:p>
    <w:p>
      <w:pPr>
        <w:spacing w:after="0" w:line="4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U.S. federal law, and more specifically the CSA, proscribes the cultivation, processing, distribution, sale, advertisement and possession of cannabis. As a result, U.S. federal law enforcement authorities, in their attempt to regulate the illegal or unauthorized production, distribution, promotion, sale, possession, or use of cannabis, may seek to bring criminal actions against our clients under the CSA. On August 4, 2021, the U.S. Attorney’s Office for the Eastern District of California (“DOJ”) withdrew a subpoena served on us in September 2019, and informed us that it had no present plan to exercise its discretion to proceed further in the matter. The DOJ also stated that its decision was not a grant of immunity, however, and there can be no assurance that the DOJ — either the U.S. Attorney’s Office for the Eastern District of California or another DOJ entity — will not initiate another investigation in the future. If our clients are found to be violating U.S. federal law relating to cannabis, they may be subject not only to criminal charges and convictions, but also to forfeiture of property, significant fines and penalties, disgorgement of profits, administrative sanctions, cessation of business activities, or civil liabilities arising from proceedings initiated by either the U.S. government or private citizens. Any of these actions or consequences on our clients could have a material adverse effect on our business, operating results or financial condition, or could force us to cease operations, and as a result, our investors could lose their entire investment.</w:t>
      </w:r>
    </w:p>
    <w:p>
      <w:pPr>
        <w:spacing w:after="0" w:line="63"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Further, to the extent any law enforcement actions require us to respond to subpoenas, or undergo search warrants, for client records, cannabis businesses could elect to cease using our products. Until the U.S. federal government changes the laws with respect to cannabis, and particularly if the U.S. Congress does not extend the Omnibus Spending Bill’s protection of state medical cannabis programs, described below, to apply to all state cannabis programs, U.S. federal authorities could more strictly enforce current federal prohibitions and restrictions. An increase in federal enforcement against companies licensed under state cannabis laws could negatively impact the state cannabis industries and, in turn, our business, operating results, financial condition, brand and reputation.</w:t>
      </w:r>
    </w:p>
    <w:p>
      <w:pPr>
        <w:spacing w:after="0" w:line="166"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b w:val="1"/>
          <w:bCs w:val="1"/>
          <w:i w:val="1"/>
          <w:iCs w:val="1"/>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6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Our clients are contractually required to represent, warrant and covenant to us that they conduct their business in compliance with applicable state law, which includes any applicable licensing requirements and the regulatory framework enacted by each state or province in which they do business. Clients further contractually agree to indemnify us for any damages we may suffer as a result of their noncompliance. We rely on our clients’ contractual representations, and generally do not verify them, other than with respect to the licensing information of our clients operating cannabis retail businesses, where we currently require such clients to provide evidence of a valid state or provincial cannabis license prior to their initial access and from time to time during the term of their use of such products. Previously, we only required retail listings and premium placement clients to provide us with a state license number at the time we initially onboarded them, and did not routinely validate whether that license number actually was authorized for use by the client or whether it remains valid. We require all operational cannabis retailer clients,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including storefronts and delivery services, to display on their listing a valid, unexpired state-issued license number. We also currently require cannabis brand clients to provide evidence of a valid state or provincial license in order to get access to our listings and premium placement products. Additionally, many states do not require a license to sell CBD products at retail, and the illicit market could fraudulently attempt to use our CBD listings product to sell products containing THC. While we periodically audit and respond to reports related to our CBD listings, it is difficult to monitor the individual products listed, and marketing claims contained, in the listings of our CBD clients. As a result, some of our clients or their listings currently and in the future may not be in compliance with licensing and related requirements under applicable state or provincial laws and regulations. There could be legal enforcement actions against unlicensed or insufficiently licensed entities selling cannabis or CBD, which could negatively impact us.</w:t>
      </w:r>
    </w:p>
    <w:p>
      <w:pPr>
        <w:spacing w:after="0" w:line="86"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Any legal or regulatory enforcement against us based on the business solutions that we offer, the third-party content available on our platform or noncompliance by our clients with licensing and other legal requirements, could subject us to various risks, including monetary penalties and the risk that we elect or are compelled to remove content from our platform and would likely cause us to experience negative publicity. Any of these developments could materially and adversely impact our business, operating results, financial condition, brand, and reputation.</w:t>
      </w:r>
    </w:p>
    <w:p>
      <w:pPr>
        <w:spacing w:after="0" w:line="161" w:lineRule="exact"/>
        <w:rPr>
          <w:sz w:val="20"/>
          <w:szCs w:val="20"/>
          <w:color w:val="auto"/>
        </w:rPr>
      </w:pPr>
    </w:p>
    <w:p>
      <w:pPr>
        <w:jc w:val="both"/>
        <w:ind w:left="300" w:right="299"/>
        <w:spacing w:after="0" w:line="316" w:lineRule="auto"/>
        <w:rPr>
          <w:sz w:val="20"/>
          <w:szCs w:val="20"/>
          <w:color w:val="auto"/>
        </w:rPr>
      </w:pPr>
      <w:r>
        <w:rPr>
          <w:rFonts w:ascii="Arial" w:cs="Arial" w:eastAsia="Arial" w:hAnsi="Arial"/>
          <w:sz w:val="15"/>
          <w:szCs w:val="15"/>
          <w:b w:val="1"/>
          <w:bCs w:val="1"/>
          <w:i w:val="1"/>
          <w:iCs w:val="1"/>
          <w:color w:val="auto"/>
        </w:rPr>
        <w:t>While our solutions provide features to support our clients’ compliance with the complex, disparate and constantly evolving regulations and other legal requirements applicable to the cannabis industry, we generally do not, and cannot, ensure that our clients will conduct their business activities in a manner compliant with such regulations and requirements.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4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While our solutions provide features to support our clients’ compliance with certain regulations and other legal requirements applicable to the cannabis industry, we generally do not, and cannot, ensure that our clients will conduct their business activities in a manner compliant with such regulations and requirements, in whole or in part. Their legal noncompliance could result in regulatory and even criminal actions against them, which could a material adverse impact on our business and operating results or financial condition, and as a result, our investors could lose their entire investment. For additional information, see the other risk factors in this section entitled “Risk Factors— Risks Related to our Business and Industry,” including “Some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who engage in false or deceptive advertising practices to use our solutions may subject us to negative publicity, which could have similar adverse impacts on us.”</w:t>
      </w:r>
    </w:p>
    <w:p>
      <w:pPr>
        <w:spacing w:after="0" w:line="174"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Our business is dependent on U.S. state laws and regulations and Canadian federal and provincial laws and regulations pertaining to the cannabis industry.</w:t>
      </w:r>
    </w:p>
    <w:p>
      <w:pPr>
        <w:spacing w:after="0" w:line="62"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Although the federal CSA classifies cannabis as a Schedule I controlled substance, many U.S. states have legalized cannabis to varying degrees. In addition, the enactment of the Cannabis Act legalized the commercial cultivation and processing of cannabis for medical and adult-use purposes in Canada and created a federal legal framework for controlling the production, distribution, promotion, sale and possession of cannabis. The Cannabis Act also provides the provinces and territories of Canada with the authority to regulate other aspects of adult-use cannabis, such as distribution, sale, minimum age requirements (subject to the minimum set forth in the Cannabis Act), places where cannabis can be consumed, and a range of other matters. The governments of every Canadian province and territory have implemented regulatory regimes for the distribution and sale of cannabis for recreational purposes. In addition, subsection 23(1) of the Cannabis Act provides that it is prohibited to publish, broadcast or otherwise disseminate, on behalf of another person, with or without consideration, any promotion that is prohibited by a number of sections of the Cannabis Act. The Cannabis Act therefore includes provisions that could apply to certain aspects of our business, both directly to the solutions we provide and indirectly on account of any noncompliance by those who use our offerings. However, as the Cannabis Act has been recently enacted, there is a lack of available interpretation, application and enforcement of the provisions that may be relevant to digital platforms such as ours, and as a result, it is difficult to assess our potential exposure under the Cannabis Act.</w:t>
      </w:r>
    </w:p>
    <w:p>
      <w:pPr>
        <w:spacing w:after="0" w:line="59"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Laws and regulations affecting the cannabis industry in U.S. states and Canada are continually changing. Any change or even the speed of changes could require us to incur substantial costs associated with compliance or alter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our business plan, and could detrimentally affect our operations, revenue, and profitability. Similarly, if the pace of issuance of new cannabis licenses is slower than expected, our ability to acquire new clients and grow our revenue could be harmed. The commercial cannabis industry is still a young industry, and we cannot predict the impact of the compliance regime to which it may be subject. We will incur ongoing costs and obligations related to regulatory compliance, and such costs may prove to be material. Failure to comply with regulations may result in additional costs for corrective measures, penalties or restrictions on our operations. In addition, changes in regulations, more vigorous enforcement thereof, or other unanticipated events could require extensive changes to our operations or increased compliance costs or give rise to material liabilities, which could have a material adverse effect on us.</w:t>
      </w:r>
    </w:p>
    <w:p>
      <w:pPr>
        <w:spacing w:after="0" w:line="5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Given the concentration of our revenue from the sale of listing products, any increase in the stringency of any applicable laws, including U.S. state, or Canadian federal, provincial or territorial, laws and regulations relating to cannabis, or any escalation in the enforcement of such existing laws and regulations against the current or putative cannabis industry within any jurisdiction, could negatively impact the profitability or viability of cannabis businesses in such affected jurisdictions, which in turn could materially adversely affect our business and operating results.</w:t>
      </w:r>
    </w:p>
    <w:p>
      <w:pPr>
        <w:spacing w:after="0" w:line="84"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In addition, although we have not yet been required to obtain any cannabis license as a result of existing cannabis regulations, it is possible that cannabis regulations may be enacted in the future that will require us to obtain such a cannabis license or otherwise seek to substantially regulate our business. Additionally, in some jurisdictions we may be required to seek and obtain a blanket approval of our platform in order to enable potential clients to access our services, and such approval may be subject to significant regulator discretion. U.S. and Canadian federal, state, provincial, local and other non-U.S. jurisdictions’ cannabis laws and regulations are broad in scope and subject to evolving interpretations, which could require us to incur substantial costs associated with compliance or alter our business plan. Our failure to adequately manage the risk associated with future regulations and adequately manage future compliance requirements may adversely affect our business, our status as a reporting company and our public listing. Further, any adverse pronouncements from political leaders or regulators about businesses related to the legal cannabis industry could adversely affect the price of our securities.</w:t>
      </w:r>
    </w:p>
    <w:p>
      <w:pPr>
        <w:spacing w:after="0" w:line="334" w:lineRule="exact"/>
        <w:rPr>
          <w:sz w:val="20"/>
          <w:szCs w:val="20"/>
          <w:color w:val="auto"/>
        </w:rPr>
      </w:pPr>
    </w:p>
    <w:p>
      <w:pPr>
        <w:jc w:val="both"/>
        <w:ind w:left="300" w:right="319"/>
        <w:spacing w:after="0" w:line="308" w:lineRule="auto"/>
        <w:rPr>
          <w:sz w:val="20"/>
          <w:szCs w:val="20"/>
          <w:color w:val="auto"/>
        </w:rPr>
      </w:pPr>
      <w:r>
        <w:rPr>
          <w:rFonts w:ascii="Arial" w:cs="Arial" w:eastAsia="Arial" w:hAnsi="Arial"/>
          <w:sz w:val="17"/>
          <w:szCs w:val="17"/>
          <w:b w:val="1"/>
          <w:bCs w:val="1"/>
          <w:i w:val="1"/>
          <w:iCs w:val="1"/>
          <w:color w:val="auto"/>
        </w:rPr>
        <w:t>The rapid changes in the cannabis industry and applicable laws and regulations make predicting and evaluating our future prospects difficult, and may increase the risk that we will not be successful.</w:t>
      </w:r>
    </w:p>
    <w:p>
      <w:pPr>
        <w:spacing w:after="0" w:line="38"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The cannabis industry - and the complex regulatory regime applicable to it - is evolving rapidly and may develop in ways that we cannot anticipate. The pace of dramatic change in the cannabis industry makes it difficult to assess our future prospects, and you should evaluate our business in light of the risks and difficulties we may encounter as the industry continues to evolve. These risks and difficulties include:</w:t>
      </w:r>
    </w:p>
    <w:p>
      <w:pPr>
        <w:spacing w:after="0" w:line="79" w:lineRule="exact"/>
        <w:rPr>
          <w:sz w:val="20"/>
          <w:szCs w:val="20"/>
          <w:color w:val="auto"/>
        </w:rPr>
      </w:pPr>
    </w:p>
    <w:p>
      <w:pPr>
        <w:jc w:val="both"/>
        <w:ind w:left="1000" w:right="319" w:hanging="348"/>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managing complex, disparate and rapidly evolving regulatory regimes imposed by U.S. and Canadian federal, state and provincial, local and other non-U.S. governments around the world applicable to cannabis and cannabis-related businesses;</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adapting to rapidly evolving trends in the cannabis industry and the way consumers and cannabis industry businesses interact with technology;</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maintaining and increasing our base of clients and consumers;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continuing to preserve and build our brand while upgrading our existing offerings;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successfully attracting, hiring, and retaining qualified personnel to manage operations;</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adapting to changes in the cannabis industry if sales of cannabis expands significantly beyond a regulated model, and commodification of the cannabis industry;</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successfully implementing and executing our business and marketing strategies;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successfully expanding our business into new and existing cannabis markets.</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If the demand for our software solutions does not develop as we expect, or if we fail to address the needs of our clients or consumers, our business will be harmed. We may not be able to successfully address these risks and difficulties, which could harm our business and operating results.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Because our business is dependent, in part, upon continued market acceptance of cannabis by consumers, any negative trends could adversely affect our business operations.</w:t>
      </w:r>
    </w:p>
    <w:p>
      <w:pPr>
        <w:spacing w:after="0" w:line="62"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We are dependent on public support, continued market acceptance and the proliferation of consumers in the state-level and Canadian legal cannabis markets. While we believe that the market and opportunities in the space will continue to grow, we cannot predict the future growth rate or size of the market. Any downturns in, or negative outlooks on, the cannabis industry may adversely affect our business and financial condition.</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Expansion of our business is dependent on the continued legalization of cannabis.</w:t>
      </w:r>
    </w:p>
    <w:p>
      <w:pPr>
        <w:spacing w:after="0" w:line="117"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Expansion of our business is in part dependent upon continued legislative authorization, including by voter initiatives and referenda, of cannabis in various jurisdictions worldwide. Any number of factors could slow, halt, or even reverse progress in this area. For example, some ballot measures in 2020 were delayed due to the COVID-19 pandemic. Further, progress for the industry, while encouraging, is not assured. While there may be ample public support for legislative action in a particular jurisdiction, numerous factors could impact the legislative process, including lobbying efforts by opposing stakeholders as well as legislators’ disagreements about how to legalize cannabis as well as the interpretation, implementation, and enforcement of applicable laws or regulations. Any one of these factors could slow or halt the legalization of cannabis, which would negatively impact our ability to expand our business. Additionally, the expansion of our business also depends on jurisdictions in which cannabis is currently legalized not narrowing, limiting or repealing existing laws legalizing and regulating cannabis, or altering the regulatory landscape in a way that diminishes the viability of cannabis businesses in those jurisdictions. For example, in April 2019, a lawsuit was filed in the Fresno County Superior Court challenging the California Bureau of Cannabis Control regulation that allowed cannabis businesses to deliver products in local jurisdictions which had prohibited the sale of cannabis. In November 2020, in a mixed result, the Fresno County Superior Court upheld the state regulation that allows licensed cannabis delivery companies to offer services anywhere in the state, while also affirming that cities and counties can forbid those operations, though enforcement of the bans is also up to the local governments. More litigation is likely to follow if local governments ban deliveries into their jurisdictions. This result may negatively impact the viability and attractiveness of our offerings in California going forward. We generated approximately 64.1% of our revenue for the year ended December 31, 2021 in California, and such developments may in turn have a material adverse effect on our business, operating results and financial condition. For more information, see “—Our business is concentrated in California, and, as a result, our performance may be affected by factors unique to the California market.” Additionally, if such challenges are successful in any other jurisdictions that have legalized or are in the process of legalizing cannabis, our ability to expand our business would be negatively impacted.</w:t>
      </w:r>
    </w:p>
    <w:p>
      <w:pPr>
        <w:spacing w:after="0" w:line="200" w:lineRule="exact"/>
        <w:rPr>
          <w:sz w:val="20"/>
          <w:szCs w:val="20"/>
          <w:color w:val="auto"/>
        </w:rPr>
      </w:pPr>
    </w:p>
    <w:p>
      <w:pPr>
        <w:spacing w:after="0" w:line="34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If clients and consumers using our platform fail to provide high-quality content that attracts consumers, we may not be able to generate sufficient consumer traffic to remain competitive.</w:t>
      </w:r>
    </w:p>
    <w:p>
      <w:pPr>
        <w:spacing w:after="0" w:line="62"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Our success depends on our platform providing consumers with useful information about our clients and their products, which in turn depends on the content provided by consumers and clients. For example, the platform will not provide useful information about cannabis brands or products if clients or consumers do not contribute content that is helpful and reliable, or if they remove previously submitted content.</w:t>
      </w:r>
    </w:p>
    <w:p>
      <w:pPr>
        <w:spacing w:after="0" w:line="63"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Additionally, if we filter out helpful content or fail to filter out unhelpful content, clients and consumers alike may stop or reduce their use of our platform and products, which could negatively impact our business. For example, in 2016, the media reported allegations that many of the consumer-generated reviews on our website were fake or inauthentic. Allegations made against us, whether or not accurate, can materially harm our reputation and operating results. While we are continually seeking to improve our ability to identify and remove offensive, biased, unreliable, inauthentic, duplicative, fraudulent or otherwise unhelpful content, and have implemented safeguards on the platform to facilitate those efforts, we cannot guarantee that those efforts or safeguards will be effective or adequate. If our website is not perceived as providing useful, accurate and current information about our clients and their products, consumers may stop or reduce their use of our platform, which could suppress the demand for our advertising placements and adversely affect our business and operating results.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42" w:lineRule="auto"/>
        <w:rPr>
          <w:sz w:val="20"/>
          <w:szCs w:val="20"/>
          <w:color w:val="auto"/>
        </w:rPr>
      </w:pPr>
      <w:r>
        <w:rPr>
          <w:rFonts w:ascii="Arial" w:cs="Arial" w:eastAsia="Arial" w:hAnsi="Arial"/>
          <w:sz w:val="16"/>
          <w:szCs w:val="16"/>
          <w:b w:val="1"/>
          <w:bCs w:val="1"/>
          <w:i w:val="1"/>
          <w:iCs w:val="1"/>
          <w:color w:val="auto"/>
        </w:rPr>
        <w:t>Our business is highly dependent upon our brand recognition and reputation, and the erosion or degradation of our brand recognition or reputation would likely adversely affect our business and operating results.</w:t>
      </w:r>
    </w:p>
    <w:p>
      <w:pPr>
        <w:spacing w:after="0" w:line="16"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believe that our business is highly dependent on our brand identity and our reputation, which is critical to our ability to attract and retain clients and consumers. We also believe that the importance of our brand recognition and reputation will continue to increase as competition in the markets in which we operate continues to develop. Our success in this area will depend on a wide range of factors, some of which are within our control and some of which are not. The factors affecting our brand recognition and reputation that are within our control include the following:</w:t>
      </w:r>
    </w:p>
    <w:p>
      <w:pPr>
        <w:spacing w:after="0" w:line="53" w:lineRule="exact"/>
        <w:rPr>
          <w:sz w:val="20"/>
          <w:szCs w:val="20"/>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efficacy of our marketing efforts;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a high-quality, innovative, and error- and bug-free platform;</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high satisfaction among clients and consumers;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quality and perceived value of our platform;</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successfully implementing and developing new features, including alternative revenue streams;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maintain and enforce trademarks and other indicia of origin that are valuable to our brand;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successfully differentiate our platform from competitors’ products;</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compliance with laws and regulations, including those applicable to any political action committees affiliated with us and to our registered lobbying activities;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provide client support;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actual or perceived data breach or data loss, or misuse or perceived misuse of our platform.</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our brand recognition and reputation may be affected by factors that are outside our control, such</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w:t>
      </w:r>
    </w:p>
    <w:p>
      <w:pPr>
        <w:spacing w:after="0" w:line="103" w:lineRule="exact"/>
        <w:rPr>
          <w:sz w:val="20"/>
          <w:szCs w:val="20"/>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actions of competitors or other third parties;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quality and timeliness of our clients’ delivery businesses;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consumers’ experiences with clients or products identified through our platform;</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negative publicity regarding our company or operations, as well as with respect to events or activities attributed to us, our employees, partners, including celebrities who endorse or promote our brand, or others associated with any of these parties;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interruptions, delays or attacks on our platform;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litigation or regulatory developments.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Damage to our reputation and loss of brand equity from one or more of the factors listed above may reduce demand for our platform and have an adverse effect on our business, operating results and financial condition. Moreover, any attempts to rebuild our reputation and restore the value of our brand may be costly and time-consuming, and such efforts may not ultimately be successful.</w:t>
      </w:r>
    </w:p>
    <w:p>
      <w:pPr>
        <w:spacing w:after="0" w:line="187"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We currently face intense competition in the cannabis information market, and we expect competition to further intensify as the cannabis industry continues to evolve.</w:t>
      </w:r>
    </w:p>
    <w:p>
      <w:pPr>
        <w:spacing w:after="0" w:line="62"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The cannabis information market is rapidly evolving and is currently characterized by intense competition, due in part to relatively low barriers to entry. We expect competition to further intensify in the future as cannabis continues to be legalized and regulated, new technologies are developed and new participants enter the cannabis information market. Our direct competitors for individual components of our platform include cannabis-focused, two-sided networks like Leafly (for retailer listing pages), Dutchie and Jane Technologies (for menu embed and orders functionality), Leaflink and Leaftrade (for B2B sales) and a variety of cannabis-focused point-of-sale providers. In addition, our platform also may compete with current or potential products and solutions offered by internet search engines and advertising networks, like Google, general two-sided networks like Yelp, various other newspaper, television, media companies, outdoor billboard advertising, and online merchant platforms, such as Shopify, Square, and Lightspeed. For example, Uber Eats announced a partnership with a Canadian retailer in November 2021 to allow consumers to place cannabis orders for pickup via Uber Eats. If the regulatory regime for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cannabis becomes more settled and the legal market for cannabis becomes more accepted, competition may further intensify as new participants may be encouraged to enter the cannabis information market, including established companies, such as tobacco and alcohol companies, with substantially greater financial, technical, and other resources than existing market participants. Additionally, as consumers and cannabis industry clients demand richer data, integrations with other cannabis industry participants such as point-of-sale providers and loyalty service providers may become increasingly important. If we are unable to complete such new integrations as quickly as our competitors, or improve our existing integrations based on legacy systems, we may lose market share to such competitors. Our current and future competitors may also enjoy other competitive advantages, such as greater name recognition, more varied or more focused offerings, better market acceptance, and larger budgets. Some of our competitors recently raised significant amounts of capital. For example, in August 2021, Jane announced the closing of a $100 million Series C round of funding; in October 2021, Dutchie announced the closing of a $350 million Series D round of funding at a valuation of $3.75 billion; and in February 2022, Leafly became a public company and began trading on Nasdaq via a SPAC business combination. Our competitors may be able to use such capital infusions to more successfully enter new markets opening up, such as major east coast markets opening up in 2022.</w:t>
      </w:r>
    </w:p>
    <w:p>
      <w:pPr>
        <w:spacing w:after="0" w:line="63"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Additionally, as the legalization of cannabis continues, cannabis cultivators and distributors could experience consolidation as existing cannabis businesses seek to obtain greater market share and purchasing power and new entrants seek to establish a significant market presence. Consolidation of the cannabis markets could reduce the size of our potential client base and give remaining clients greater bargaining or purchasing power. This may in turn erode the prices for our advertising placements and result in decreased margins. Consolidation could particularly affect smaller cannabis businesses, with whom we have historically conducted the majority of our business. Further, heightened competition between cannabis businesses could ultimately have a negative impact on the viability of individual market participants, which could reduce or eliminate their ability to purchase our products and solution.</w:t>
      </w:r>
    </w:p>
    <w:p>
      <w:pPr>
        <w:spacing w:after="0" w:line="57"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If we are unable to compete effectively for any of these reasons, we may be unable to maintain our operations or develop our products and solutions, and as a result our business and operating results may be adversely affected.</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If we fail to manage our growth effectively, our brand, business and operating results could be harmed.</w:t>
      </w:r>
    </w:p>
    <w:p>
      <w:pPr>
        <w:spacing w:after="0" w:line="129"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have experienced rapid organic growth in our headcount and operations, which places substantial demands on management and our operational infrastructure. As a result of our rapid growth, many of our employees have been with us for less than 24 months. To manage the expected growth of our operations and personnel, we will be required to improve existing, and implement new, transaction processing, operational and financial systems, procedures and controls. We will also be required to expand our finance, administrative and operations staff. We intend to continue making substantial investments in our technology, sales and data infrastructure. As we continue to grow, we must effectively integrate, develop and motivate a significant number of new employees, while maintaining the beneficial aspects of our existing corporate culture, which we believe fosters innovation, teamwork and a passion for our products and clients. In addition, our revenue may not grow at the same rate as the expansion of our business. There can be no assurance that our current and planned personnel, systems, procedures and controls will be adequate to support our future operations or that management will be able to hire, train, retrain, motivate and manage required personnel. If we are unable to manage our growth effectively, the quality of our platform, efficiency of our operations, and management of our expenses could suffer, which could negatively impact our brand, business, profitability and operating results.</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If we are unable to recruit, train, retain and motivate key personnel, we may not achieve our business objectives.</w:t>
      </w:r>
    </w:p>
    <w:p>
      <w:pPr>
        <w:spacing w:after="0" w:line="152"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Our future success depends on our ability to recruit, train, retain and motivate key personnel, including Christopher Beals, our Chief Executive Officer; Brian Camire, our General Counsel; Justin Dean, our Chief Technology Officer and Chief Information Officer; Juanjo Feijoo, our Chief Operating Officer; and Arden Lee, our Chief Financial Officer. Competition for qualified personnel in the technology industry is intense, particularly in Southern California, where we are headquartered. Additionally, we face additional challenges in attracting, retaining and motivating highly qualified personnel due to our relationship to the cannabis industry, which is rapidly evolving and has varying levels of social acceptance. We generally do not maintain fixed term employment contracts or key man life insurance with any of our employees. Any failure to attract, train, retain and motivate qualified personnel could materially harm our operating results and growth prospects.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79" w:lineRule="auto"/>
        <w:rPr>
          <w:sz w:val="20"/>
          <w:szCs w:val="20"/>
          <w:color w:val="auto"/>
        </w:rPr>
      </w:pPr>
      <w:r>
        <w:rPr>
          <w:rFonts w:ascii="Arial" w:cs="Arial" w:eastAsia="Arial" w:hAnsi="Arial"/>
          <w:sz w:val="17"/>
          <w:szCs w:val="17"/>
          <w:b w:val="1"/>
          <w:bCs w:val="1"/>
          <w:i w:val="1"/>
          <w:iCs w:val="1"/>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63"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Many consumers locate our website through internet search engines, like Google, and paid digital advertisements in certain jurisdictions. The prominence of our website in response to internet searches is a critical factor in the attractiveness of our advertising placements, and our digital marketing efforts, such as search engine optimization, are intended to improve our search result rankings and draw additional traffic to our website. Visits to our website could decline significantly if we are listed less prominently or fail to appear in search results for any reason, including ineffective implementation of our digital marketing strategies or any change by a search engine to its ranking algorithms or advertising policies.</w:t>
      </w:r>
    </w:p>
    <w:p>
      <w:pPr>
        <w:spacing w:after="0" w:line="8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Visits to our website could also decline if our accounts on Facebook, Instagram or Twitter are shut down or restricted. We work across these social networks to increase brand awareness of our company by consumers and clients, and to promote client acquisition. Our engagement on these social media platforms is subject to their respective terms of service and community guidelines, which generally restrict the promotion, sale and, often, depiction of cannabis. While we do not directly promote the sale of cannabis or cannabis-related products by our clients on these social media platforms, the perception that we may be engaging in such promotion or our inadvertent violation of other aspects of these platforms’ terms of service or community guidelines may result in our accounts being shut down or restricted. For example, our Instagram account was suspended in 2015, and it was recently suspended again in December 2021 until February 2022. Our accounts might also be suspended or restricted due to changes in the rules and regulations of such social media platforms. Any such suspension or restriction could result in reduced traffic to our website and diminished demand for our products, which could adversely affect our business and operating results.</w:t>
      </w:r>
    </w:p>
    <w:p>
      <w:pPr>
        <w:spacing w:after="0" w:line="179" w:lineRule="exact"/>
        <w:rPr>
          <w:sz w:val="20"/>
          <w:szCs w:val="20"/>
          <w:color w:val="auto"/>
        </w:rPr>
      </w:pPr>
    </w:p>
    <w:p>
      <w:pPr>
        <w:jc w:val="both"/>
        <w:ind w:left="300" w:right="319"/>
        <w:spacing w:after="0" w:line="342" w:lineRule="auto"/>
        <w:rPr>
          <w:sz w:val="20"/>
          <w:szCs w:val="20"/>
          <w:color w:val="auto"/>
        </w:rPr>
      </w:pPr>
      <w:r>
        <w:rPr>
          <w:rFonts w:ascii="Arial" w:cs="Arial" w:eastAsia="Arial" w:hAnsi="Arial"/>
          <w:sz w:val="16"/>
          <w:szCs w:val="16"/>
          <w:b w:val="1"/>
          <w:bCs w:val="1"/>
          <w:i w:val="1"/>
          <w:iCs w:val="1"/>
          <w:color w:val="auto"/>
        </w:rPr>
        <w:t>If our current marketing model is not effective in attracting new clients, we may need to employ higher-cost sales and marketing methods to attract and retain clients, which could adversely affect our profitability.</w:t>
      </w:r>
    </w:p>
    <w:p>
      <w:pPr>
        <w:spacing w:after="0" w:line="16"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We use our sales team to build relationships with our client base. Our sales team builds and maintains relationships with clients primarily through phone and email contact, which is designed to allow us to cost-effectively service a large number of clients. We have significantly invested in our enterprise and field sales teams, and we may need to further employ more resource-intensive sales methods to continue to attract and retain clients, particularly as we increase the number of our clients and our client base employs more sophisticated marketing operations, strategies and processes. This could cause us to incur higher sales and marketing expenses, which could adversely affect our business and operating results.</w:t>
      </w:r>
    </w:p>
    <w:p>
      <w:pPr>
        <w:spacing w:after="0" w:line="17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76"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Our platform is available for download on iOS and Android, and is also accessible online. The availability of our platform and its various functionalities to a significant percentage of our clients is subject to standard policies and terms of service of these third-party platforms, which govern the promotion, distribution and operation generally of our platform. In addition, each platform provider has broad discretion to change and interpret its terms of service and other policies with respect to our platform and its functionalities, and those changes and interpretations may be unfavorable. A platform provider may also change its fee structure, add fees associated with access to and use of its platform, or restrict how users can access the platform, which would similarly be unfavorable.</w:t>
      </w:r>
    </w:p>
    <w:p>
      <w:pPr>
        <w:spacing w:after="0" w:line="58"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For example, we have at times been unable to offer our WM Orders functionality in our iOS Weedmaps mobile application and are currently unable to offer such functionality in our Android Weedmaps mobile application due to restrictions imposed by the Apple iTunes App Store and Google Play, respectively. While our platform is still available in the Apple iTunes App Store and on Google Play for download, there can be no assurance that our platform or all of its functionalities will remain available in the immediate or longer term. To the extent that we are limited or prohibited from making some or all of our solutions available through any third-party platform, including the Apple iTunes App Store or the Google Play Store, we may need, or choose, to provide our solutions through alternative venues that may be more difficult for potential users to access. Limits on, or discontinuation of, access to our mobile platform or its various functionalities could, in turn, have a material adverse impact on utilization of our platform, our business, and our ability to attract clients and consumers.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76"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It is critical to our success that clients and consumers within our geographic markets be able to access our platform at all times. We have previously experienced service disruptions, and in the future, we may experience service disruptions, outages or other performance problems due to a variety of factors, including infrastructure changes, human or software errors, capacity constraints, and distributed denial of service, or DDoS, fraud or security attacks. In some instances, we may not be able to identify the cause or causes of these performance problems within an acceptable period of time. It may become increasingly difficult to maintain and improve the availability of our platform, especially during peak usage times and as our products become more complex and our traffic increases. If our platform is unavailable when consumers attempt to access it or it does not load as quickly as they expect, consumers may seek other solutions and may not return to our platform as often in the future, or at all. This would harm our ability to attract clients and decrease the frequency with which they subscribe for our advertising placements. We expect to continue to make significant investments to maintain and improve the availability of our platform and to enable rapid releases of new features and products. To the extent that we do not effectively address capacity constraints, respond adequately to service disruptions, upgrade our systems as needed or continually develop our technology and network architecture to accommodate actual and anticipated changes in technology, our business and operating results would be harmed.</w:t>
      </w:r>
    </w:p>
    <w:p>
      <w:pPr>
        <w:spacing w:after="0" w:line="5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expect to continue making significant investments in the functionality, performance, reliability, design, security and scalability of our platform. We may experience difficulties with the development of our platform that could delay or prevent the implementation of new solutions and enhancements. Software development involves a significant amount of time and resources for our product development team, and we may not be able to continue making those investments in the future.</w:t>
      </w:r>
    </w:p>
    <w:p>
      <w:pPr>
        <w:spacing w:after="0" w:line="8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To the extent we are not able to continue successfully improving and enhancing our platform, our business could be adversely affected.</w:t>
      </w:r>
    </w:p>
    <w:p>
      <w:pPr>
        <w:spacing w:after="0" w:line="170"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Our payment system and the payment systems of our clients depend on third-party providers and are subject to evolving laws and regulations.</w:t>
      </w:r>
    </w:p>
    <w:p>
      <w:pPr>
        <w:spacing w:after="0" w:line="62"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7"/>
          <w:szCs w:val="17"/>
          <w:color w:val="auto"/>
        </w:rPr>
        <w:t>We have engaged third-party service providers to perform credit and debit card processing services for client’s payments to us, and we understand that some of our clients use those services, and we may engage third-party service providers in the future to provide fraud analysis services. We also may integrate with third-party service providers used by our clients to process payments made by consumers. If these service providers do not perform adequately or if our relationships, or the relationships of our clients, with these service providers were to terminate, our ability or the ability of our clients to process payments could be adversely affected and our business could be harmed. The laws and regulations related to payments are complex and are potentially impacted by tensions between federal and state treatment of the vaporization, tobacco, nicotine, cannabis, CBD and hemp, and cannabis accessories industries. These laws and regulations also vary across different jurisdictions in the United States, Canada and globally. As a result, we are required to spend significant time and effort to comply with those laws and regulations. Any failure or claim of our failure to comply, or any failure by our third-party service providers to comply, could cost us substantial resources, could result in liabilities, or could force us to stop offering our clients the ability to pay with credit cards, debit cards and bank transfers. As we expand the availability of these payment methods or offer new payment methods to our clients in the future, we may become subject to additional regulations and compliance requirements. Due to the constantly evolving and complex laws and regulations applicable to our industry, third-party merchant banks and third-party payment processors may consider our business a high risk. This could cause a third party to discontinue its services to us, and we may not be able to find a suitable replacement. If this were to occur, we would need to collect from our clients using less efficient methods, which could adversely impact our collections, revenues and financial performance. Additionally, if a third party were to discontinue its services to us or if the applicable laws and regulations were to evolve in a way that impacted us negatively, we may not be able to realize our plans of expanding our business offerings, which could have a material adverse effect on our operations and our plans for expansion. For more information, see “—We are subject to industry standards, governmental laws, regulations and other legal obligations, particularly related to privacy, data protection and information security, and any actual or perceived failure to comply with such obligations could harm our business” below.</w:t>
      </w:r>
    </w:p>
    <w:p>
      <w:pPr>
        <w:spacing w:after="0" w:line="92"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Further, through our agreement with our third-party credit card processors, we are subject to payment card association operating rules and certification requirements, including restrictions on product mix and the Payment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Card Industry Data Security Standard, or PCI-DSS. We are also subject to rules governing electronic funds transfers. Any change in these rules and requirements could make it difficult or impossible for us to comply. Additionally, any data breach or failure to hold certain information in accordance with PCI-DSS may have an adverse effect on our business and results of operations.</w:t>
      </w:r>
    </w:p>
    <w:p>
      <w:pPr>
        <w:spacing w:after="0" w:line="322"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b w:val="1"/>
          <w:bCs w:val="1"/>
          <w:i w:val="1"/>
          <w:iCs w:val="1"/>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57"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We calculate and track performance metrics with internal tools, which are not independently verified by any third-party. While we believe our metrics are reasonable estimates of our user or client base for the applicable period of measurement, the methodologies used to measure these metrics require significant judgment and may be susceptible to algorithm or other technical errors. For example, user accounts are based on email addresses, and a user could use multiple email addresses to establish multiple accounts, and clients in many instances will have multiple accounts. As a result, the data we report may not be accurate. Our internal tools and processes we use to identify multiple accounts or fraudulent accounts have a number of limitations, and our methodologies for tracking key metrics may change over time, which could result in unexpected changes to our metrics, including historical metrics. Our ability to recalculate our historical metrics may be impacted by data limitations or other factors that require us to apply different methodologies for such adjustments and we generally do not intend to update previously disclosed metrics for any such changes. Though we regularly review our processes for calculating metrics and may adjust our processes for calculating metrics to improve their accuracy, limitations or errors with respect to how we measure data (or the data that we measure) may affect our understanding of certain details of our business, which could affect our longer term strategies. If our performance metrics are not accurate representations of our business, user or client base, or traffic levels; if we discover material inaccuracies in our metrics; or if the metrics we rely on to track our performance do not provide an accurate measurement of our business, user or client base or traffic levels, we may not be able to effectively implement our business strategy, our reputation may be harmed, and our operating and financial results could be adversely affected.</w:t>
      </w:r>
    </w:p>
    <w:p>
      <w:pPr>
        <w:spacing w:after="0" w:line="6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Our clients and investors rely on our key metrics as a representation of our performance. If these third parties do not perceive our user metrics to be accurate representations of our user base or user engagement, or if we discover material inaccuracies in our user metrics, our reputation may be harmed and retailers may be less willing to list a business on our platform, which could negatively affect our business, financial condition, or results of operations.</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We may be unable to prevent others from aggregating or misappropriating data from our websites.</w:t>
      </w:r>
    </w:p>
    <w:p>
      <w:pPr>
        <w:spacing w:after="0" w:line="129"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From time to time, third parties have misappropriated data from our website through website scraping, software robots or other means, and aggregated this data on their websites with data from other companies. Additionally, copycat websites have misappropriated data on our network and attempted to imitate our brand or the functionality of our website. We may be unable to detect all such websites in a timely manner and even timely technological and legal measures may be insufficient to halt their operations or protect us against the impact of the operation of such websites. Regardless of whether we can successfully enforce our rights against the operators of these websites, any measures that we may take could require us to expend significant financial or other resources, which could harm our business, operating results or financial condition. In addition, to the extent that such activity creates confusion among clients or consumers, decreases the likelihood that consumers use our platform to access information, or reduces the distinctiveness of our products in the marketplace, our brand and business could be harmed.</w:t>
      </w:r>
    </w:p>
    <w:p>
      <w:pPr>
        <w:spacing w:after="0" w:line="317"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Real or perceived errors, failures, or bugs in our platform could adversely affect our operating results and growth prospects.</w:t>
      </w:r>
    </w:p>
    <w:p>
      <w:pPr>
        <w:spacing w:after="0" w:line="62"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We update our platform on a frequent basis. Despite efforts to test our updates, errors, failures or bugs may not be found in our platform until after it is deployed to our clients. We have discovered and expect we will continue to discover errors, failures and bugs in our platform and anticipate that certain of these errors, failures and bugs will only be discovered and remediated after deployment to clients. Real or perceived errors, failures or bugs in our platform could result in negative publicity, security incidents, such as data breaches, government inquiries, loss of or delay in market acceptance of our platform, loss of competitive position, or claims by clients for losses sustained by them. In such an event, we may be required, or may choose, for client relations or other reasons, to expend additional resources in order to help correct the problem.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We implement bug fixes and upgrades as part of our regular system maintenance, which may lead to system downtime. Even if we are able to implement the bug fixes and upgrades in a timely manner, any history of inaccuracies in the data we collect for our clients, or unauthorized access or damage to, or the loss, acquisition, or inadvertent release or exposure of confidential or other sensitive data could cause our reputation to be harmed and result in claims against us, and cannabis businesses may elect not to purchase our products or, in the case of existing clients, renew their agreements with us or we may incur increased insurance costs. The costs associated with any material defects or errors in our software or other performance problems may be substantial and could harm our operating results and growth prospects.</w:t>
      </w:r>
    </w:p>
    <w:p>
      <w:pPr>
        <w:spacing w:after="0" w:line="340"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b w:val="1"/>
          <w:bCs w:val="1"/>
          <w:i w:val="1"/>
          <w:iCs w:val="1"/>
          <w:color w:val="auto"/>
        </w:rPr>
        <w:t>A distributed denial of service attack, ransomware attack, security breach or unauthorized data access could impair or incapacitate our information technology systems and delay or interrupt service to our clients and consumers, harm our reputation, or subject us to significant liability.</w:t>
      </w:r>
    </w:p>
    <w:p>
      <w:pPr>
        <w:spacing w:after="0" w:line="76"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We may become subject to DDoS attacks, a technique used by hackers to take an internet service offline by overloading its servers. In addition, ransomware attacks against businesses of all sizes are becoming increasingly common. Further, as a result of the COVID-19 pandemic, we may face increased cybersecurity risks due to our reliance on internet technology and the number of our employees who are working remotely, which may create additional opportunities for cybercriminals to exploit vulnerabilities. Our platform may be subject to DDoS, ransomware or other cybersecurity attacks in the future and we cannot guarantee that applicable recovery systems, security protocols, network protection mechanisms and other procedures are or will be adequate to prevent network and service interruption, system failure or data loss. Moreover, our platform could be breached if vulnerabilities in our platform are exploited by unauthorized third parties or others. Techniques used to obtain unauthorized access change frequently, and the size of DDoS attacks and the number and types of ransomware attacks are increasing. As a result, we may be unable to implement adequate preventative measures or stop such attacks while they are occurring. A DDoS attack, ransomware attack or security breach could delay or interrupt service to our clients and consumers and may deter the utilization of our platform.</w:t>
      </w:r>
    </w:p>
    <w:p>
      <w:pPr>
        <w:spacing w:after="0" w:line="66"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We also use information technology and security systems to maintain the physical security of our facilities and to protect our proprietary and confidential information, including that of our clients, consumers, and employees. Accidental or willful security breaches or other unauthorized access to our facilities or information systems, or viruses, loggers, malware, ransomware, or other malfeasant code in our data or software, could compromise this information or render our systems and data unusable. Additionally, we rely on a number of third-party “cloud-based” providers of corporate infrastructure services relating to, among other things, human resources, electronic communication services, some financial functions, and systems used to provide solutions to our clients, and we are therefore dependent on the security systems of these providers. Any security breaches or other unauthorized access to our service providers’ facilities or systems, or viruses, loggers, malware, ransomware or other malfeasant code in their data or software, could expose us to information loss, and misappropriation of confidential information, and other security breaches. In addition, our employees, contractors, or other third parties with whom we do business may attempt to circumvent security measures in order to misappropriate personal information, confidential information or other data, or may inadvertently release or compromise such data. Because the techniques used to obtain unauthorized access to or sabotage security systems, or to obtain unauthorized access to data we or our contractors maintain, change frequently and are often not recognized until after an attack, we and our service providers may be unable to anticipate the techniques or implement adequate preventative measures.</w:t>
      </w:r>
    </w:p>
    <w:p>
      <w:pPr>
        <w:spacing w:after="0" w:line="68"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Any actual or perceived DDoS attack, ransomware attack, security breach or other unauthorized access could damage our reputation and brand, result in decreased utilization of our platform, expose us to fines and penalties, government investigations, and a risk of litigation and possible liability, require us to expend significant capital and other resources to alleviate any resulting problems and otherwise to remediate the incident, and require us to expend increased cybersecurity protection costs. We expect to incur significant costs in an effort to detect and prevent security breaches and other security related incidents. Numerous state, federal and foreign laws and regulations require companies to notify individuals and/or regulatory authorities of data security breaches involving certain types of personal data. Any disclosures of security breaches, pursuant to these laws or regulations or otherwise, could lead to regulatory investigations and enforcement and negative publicity, and may cause our clients and consumers to lose confidence in the effectiveness of our data security measures.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Additionally, our discovery of any security breach or other security-related incident, or our provision of any related notice, may be delayed or be perceived to have been delayed. Any of these impacts or circumstances arising from an actual or perceived attack, breach or other unauthorized access could materially and adversely affect our business, financial condition, reputation and relationships with clients and consumers.</w:t>
      </w:r>
    </w:p>
    <w:p>
      <w:pPr>
        <w:spacing w:after="0" w:line="63"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Furthermore, while our errors and omissions insurance policies include liability coverage for certain of these matters, if we experienced a significant security incident, we could be subject to claims or damages that exceed our insurance coverage.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insurance requirements, could have a material and adverse effect on our business, including our financial condition, operating results, and reputation.</w:t>
      </w:r>
    </w:p>
    <w:p>
      <w:pPr>
        <w:spacing w:after="0" w:line="165"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b w:val="1"/>
          <w:bCs w:val="1"/>
          <w:i w:val="1"/>
          <w:iCs w:val="1"/>
          <w:color w:val="auto"/>
        </w:rPr>
        <w:t>We rely upon cloud-based data centers, infrastructure and technologies provided by third parties, and technology systems and electronic networks supplied and managed by third parties, to operate our business, and interruptions or performance problems with these systems, technologies and networks may adversely affect our business and operating results.</w:t>
      </w:r>
    </w:p>
    <w:p>
      <w:pPr>
        <w:spacing w:after="0" w:line="79"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We rely on data centers and other technologies and services provided by third parties in order to host our cloud-based infrastructure that operates our business. If any of these services becomes unavailable or otherwise is unable to serve our requirements due to extended outages, interruptions, or facility closure, or because it is no longer available on commercially reasonable terms, our expenses could increase, our ability to manage finances could be interrupted and our operations otherwise could be disrupted or otherwise impacted until appropriate substitute services, if available, are identified, obtained, and implemented.</w:t>
      </w:r>
    </w:p>
    <w:p>
      <w:pPr>
        <w:spacing w:after="0" w:line="70"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do not control, or in some cases have limited control over, the operation of the data center facilities and infrastructure we use, and they are vulnerable to damage or interruption from earthquakes, floods, fires, power loss, telecommunications failures, cyberattack, terrorism and similar other events. They may also be subject to break-ins, sabotage, intentional acts of vandalism and similar misconduct, to adverse events caused by operator error, and to interruptions, data loss or corruption, and other performance problems due to various factors, including introductions of new capabilities, technology errors, infrastructure changes, DDoS attacks, or other security-related incidents. Changes in law or regulations applicable to data centers in various jurisdictions could also cause a disruption in service. Despite precautions taken at these facilities, the occurrence of a natural disaster, an act of terrorism or other act of malfeasance, a decision to close the facilities without adequate notice or other unanticipated problems at these facilities could result in lengthy interruptions in our platform operations and the loss, corruption of, unauthorized access to or acquisition of client or consumer data.</w:t>
      </w:r>
    </w:p>
    <w:p>
      <w:pPr>
        <w:spacing w:after="0" w:line="74"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Our platform also depends on our ability to communicate through the public internet and electronic networks that are owned and operated by third parties. In addition, in order to provide our solutions on-demand and promptly, our computer equipment and network servers must be functional 24 hours per day, which requires access to telecommunications facilities managed by third parties and the availability of electricity, which we do not control. A severe disruption of one or more of these networks or facilities, including as a result of utility or third-party system interruptions, could impair our ability to process information and provide our solutions to our clients and consumers.</w:t>
      </w:r>
    </w:p>
    <w:p>
      <w:pPr>
        <w:spacing w:after="0" w:line="56"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Any unavailability of, or failure to meet our requirements by, third-party data centers or other third-party technologies or services, or any disruption of the internet, utilities or the third-party networks or facilities that we rely upon, could impede our ability to make our platform accessible, harm our reputation, result in reduced traffic from consumers, cause us to issue refunds or credits to our clients, and subject us to potential liabilities. Any of these circumstances could adversely affect our business, reputation and operating results.</w:t>
      </w:r>
    </w:p>
    <w:p>
      <w:pPr>
        <w:spacing w:after="0" w:line="176" w:lineRule="exact"/>
        <w:rPr>
          <w:sz w:val="20"/>
          <w:szCs w:val="20"/>
          <w:color w:val="auto"/>
        </w:rPr>
      </w:pPr>
    </w:p>
    <w:p>
      <w:pPr>
        <w:jc w:val="both"/>
        <w:ind w:left="300" w:right="299"/>
        <w:spacing w:after="0" w:line="327" w:lineRule="auto"/>
        <w:rPr>
          <w:sz w:val="20"/>
          <w:szCs w:val="20"/>
          <w:color w:val="auto"/>
        </w:rPr>
      </w:pPr>
      <w:r>
        <w:rPr>
          <w:rFonts w:ascii="Arial" w:cs="Arial" w:eastAsia="Arial" w:hAnsi="Arial"/>
          <w:sz w:val="15"/>
          <w:szCs w:val="15"/>
          <w:b w:val="1"/>
          <w:bCs w:val="1"/>
          <w:i w:val="1"/>
          <w:iCs w:val="1"/>
          <w:color w:val="auto"/>
        </w:rPr>
        <w:t>Our operations and employees face risks related to health crises, such as the ongoing COVID-19 pandemic, that could adversely affect our financial condition and operating results. The COVID-19 pandemic could materially affect our operations, including at our headquarters or anywhere else we operates, and the business or operations of our clients, consumers, partners or other third parties with whom we conduct business.</w:t>
      </w:r>
    </w:p>
    <w:p>
      <w:pPr>
        <w:spacing w:after="0" w:line="32"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In connection with the COVID-19 pandemic, governments have implemented significant measures intended to control the spread of the virus, including closures, quarantines, travel restrictions and other social distancing directives, and fiscal stimulus, and legislation designed to deliver monetary aid and other relief.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To the extent that restrictions or prevention and mitigation measures are implemented in the future, there may be an adverse impact on global economic conditions and consumer confidence and spending, which could materially and adversely affect our operations as well as our relationships with clients and consumers. For instance, despite the overall increases in demand described below, some of our clients’ operations were initially significantly disrupted in certain jurisdictions, causing a temporary significant decrease in activity on our platform in those jurisdictions.</w:t>
      </w:r>
    </w:p>
    <w:p>
      <w:pPr>
        <w:spacing w:after="0" w:line="53"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Beginning in the first quarter of fiscal 2020, we experienced a significant increase in demand from retailers, including storefronts and delivery services, for our technology solutions (such as clients using WM Orders functionality to enable reservation of products by consumers for curbside pickup), which resulted in increased revenue (including from technology services fees relating to product reservation orders submitted prior to December 31, 2020, although such per order fee has been eliminated effective January 1, 2021). Although we experienced increased consumer demand in the form of increases in MAU, we cannot determine what, if any, impact the pandemic had on our MAU growth in 2020. While we believe, like other industries, the pandemic accelerated existing trends towards consumer adoption of online platforms, we cannot be certain to what impact, if any, the end of the pandemic will have on our MAUs or MAU growth. To the extent the circumstances that accelerated the initial growth of our business stemmed from the effects of the COVID-19 pandemic, this may not continue in the future, and the growth rates in revenue and increases in MAUs may decline in future periods.</w:t>
      </w:r>
    </w:p>
    <w:p>
      <w:pPr>
        <w:spacing w:after="0" w:line="64"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Shelter-in-place orders and similar regulations impact our client’s ability to operate their businesses, consumers’ ability to pick up orders, and our client’s ability to make deliveries. Such events have in the past caused, and may in the future cause, a temporary closure of our clients’ businesses, either due to government mandate or voluntary preventative measures, and many of our clients may not be able to withstand prolonged interruptions to their businesses, and may be forced to go out of business. Even if our clients are able to continue to operate their businesses, many may operate with limited hours and capacity and other limitations. Any limitations on or disruptions or closures of our clients’ businesses could adversely affect our business. Further, we may experience a decrease in new clients due to a lack of financial resources or a decline in new markets as businesses and financial markets deal with the impact of COVID-19. Further, these conditions may impact our ability to access financial markets to obtain the necessary funding to expand our business as currently contemplated, which may adversely affect our liquidity and working capital.</w:t>
      </w:r>
    </w:p>
    <w:p>
      <w:pPr>
        <w:spacing w:after="0" w:line="74"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Even if a virus or other disease does not spread significantly and such measures are not implemented, the perceived risk of infection or significant health risk may adversely affect our business. Our clients may be perceived as unsafe during such public health threats, even for order delivery or pickup. If the services offered through our platform or at other businesses in our industry become a significant risk for transmitting COVID-19 or similar public health threats, or if there is a public perception that such risk exists, demand for the use of our platform would be adversely affected.</w:t>
      </w:r>
    </w:p>
    <w:p>
      <w:pPr>
        <w:spacing w:after="0" w:line="84"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In addition, the CARES Act and FFCRA were enacted to provide economic relief to businesses in response to the COVID-19 pandemic. Pursuant to the relief related to federal employment taxes provided in such legislation, we have (i) elected to defer eligible payroll taxes, which will be due in two equal installments in 2021 and 2022, and</w:t>
      </w:r>
    </w:p>
    <w:p>
      <w:pPr>
        <w:spacing w:after="0" w:line="2" w:lineRule="exact"/>
        <w:rPr>
          <w:sz w:val="20"/>
          <w:szCs w:val="20"/>
          <w:color w:val="auto"/>
        </w:rPr>
      </w:pPr>
    </w:p>
    <w:p>
      <w:pPr>
        <w:jc w:val="both"/>
        <w:ind w:left="300" w:right="299" w:hanging="8"/>
        <w:spacing w:after="0" w:line="269" w:lineRule="auto"/>
        <w:tabs>
          <w:tab w:leader="none" w:pos="573" w:val="left"/>
        </w:tabs>
        <w:numPr>
          <w:ilvl w:val="0"/>
          <w:numId w:val="10"/>
        </w:numPr>
        <w:rPr>
          <w:rFonts w:ascii="Arial" w:cs="Arial" w:eastAsia="Arial" w:hAnsi="Arial"/>
          <w:sz w:val="17"/>
          <w:szCs w:val="17"/>
          <w:color w:val="auto"/>
        </w:rPr>
      </w:pPr>
      <w:r>
        <w:rPr>
          <w:rFonts w:ascii="Arial" w:cs="Arial" w:eastAsia="Arial" w:hAnsi="Arial"/>
          <w:sz w:val="17"/>
          <w:szCs w:val="17"/>
          <w:color w:val="auto"/>
        </w:rPr>
        <w:t>claimed certain employment-related tax credits under the legislation. While we may be eligible to receive some economic relief pursuant to the CARES Act, FFCRA or other legislation related to the COVID-19 pandemic, cannabis businesses may not be eligible to take full advantage of the government-sponsored COVID-19 relief packages. As a result, we may not benefit from these relief efforts to the same extent other businesses do in different industries. These relief measures, including the CARES Act, may be beneficial to us in one or more reporting periods but may adversely affect us on a going-forward basis. As of December 31, 2020, we had deferred payroll taxes of $1.8 million, all of which was paid during the second quarter of 2021.</w:t>
      </w:r>
    </w:p>
    <w:p>
      <w:pPr>
        <w:spacing w:after="0" w:line="72" w:lineRule="exact"/>
        <w:rPr>
          <w:sz w:val="20"/>
          <w:szCs w:val="20"/>
          <w:color w:val="auto"/>
        </w:rPr>
      </w:pPr>
    </w:p>
    <w:p>
      <w:pPr>
        <w:jc w:val="both"/>
        <w:ind w:left="300" w:right="319" w:firstLine="360"/>
        <w:spacing w:after="0" w:line="273" w:lineRule="auto"/>
        <w:rPr>
          <w:sz w:val="20"/>
          <w:szCs w:val="20"/>
          <w:color w:val="auto"/>
        </w:rPr>
      </w:pPr>
      <w:r>
        <w:rPr>
          <w:rFonts w:ascii="Arial" w:cs="Arial" w:eastAsia="Arial" w:hAnsi="Arial"/>
          <w:sz w:val="17"/>
          <w:szCs w:val="17"/>
          <w:color w:val="auto"/>
        </w:rPr>
        <w:t>The extent of COVID-19’s effect on our operational and financial performance will depend on future developments, including the duration, spread and intensity of the pandemic, the rate of vaccinations, all of which are uncertain and difficult to predict considering the rapidly evolving landscape. As a result, it is not currently possible to ascertain the overall impact of COVID-19 on our business. However, if the pandemic continues to persist as a severe worldwide health crisis, the disease may harm our business, and may also have the effect of heightening many of the other risks described in this “Risk Factors” section.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Fluctuations in our quarterly and annual operating results may adversely affect our business and prospects.</w:t>
      </w:r>
    </w:p>
    <w:p>
      <w:pPr>
        <w:spacing w:after="0" w:line="140"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You should consider our business and prospects in light of the risks and difficulties we encounter in the uncertain and rapidly evolving market for our solutions. Because the cannabis information market is new and evolving, predicting its future growth rate and size is difficult. This reduces our ability to accurately evaluate our future prospects and forecast quarterly or annual performance. In addition to the other risk factors discussed in this section, factors that may contribute to the variability of our quarterly and annual results include:</w:t>
      </w:r>
    </w:p>
    <w:p>
      <w:pPr>
        <w:spacing w:after="0" w:line="68" w:lineRule="exact"/>
        <w:rPr>
          <w:sz w:val="20"/>
          <w:szCs w:val="20"/>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attract new clients and consumers and retain existing clients and consumers;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accurately forecast revenue and appropriately plan our expenses;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effects of changes in search engine placement and prominence;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effects of increased competition on our business;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successfully expand in existing markets and successfully enter new markets;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global, regional or economic conditions;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ability of licensed cannabis markets to successfully grow and outcompete illegal cannabis markets;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protect our intellectual property;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and effectively manage an adequate rate of growth;</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and increase traffic to our platform;</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associated with defending claims, including intellectual property infringement claims and related judgments or settlements;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governmental or other regulation affecting our business;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interruptions in platform availability and any related impact on our business, reputation or brand;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attraction and retention of qualified personnel;</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effects of natural or man-made catastrophic events;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effectiveness of our internal controls.</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We may improve our products and solutions in ways that forego short-term gains.</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seek to provide the best experience for the clients and consumers who use our platform. Some of our changes may have the effect of reducing our short-term revenue or profitability if we believe that the benefits will ultimately improve our business and financial performance over the long term. Any short-term reductions in revenue or profitability could be greater than planned or the changes mentioned above may not produce the long-term benefits that we expect, in which case our business and operating results could be adversely affected.</w:t>
      </w:r>
    </w:p>
    <w:p>
      <w:pPr>
        <w:spacing w:after="0" w:line="53"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are subject to risks inherent in foreign operations, including social, political and economic flux and compliance with additional U.S. and foreign laws, including those related to anti-bribery and anti-corruption, and may not be able to successfully maintain or expand our foreign operations.</w:t>
      </w:r>
    </w:p>
    <w:p>
      <w:pPr>
        <w:spacing w:after="0" w:line="76"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sell our WM Business offering in the United States, currently offer some of our WM Business solutions in Canada and have a limited number of non-monetized listings in several other countries including Austria, Germany, the Netherlands, Spain, and Switzerland. We anticipate growing our business, in part, by continuing to expand our foreign operations. As we continue our expansion, we may enter new foreign markets where we have limited or no experience marketing and deploying our platform. If we fail to launch or manage our foreign operations successfully, our business may suffer. Additionally, as our foreign operations expand, or more of our expenses are denominated in currencies other than the U.S. dollar, our operating results may be more greatly affected by fluctuations in the exchange rates of the currencies in which we do business. In addition, as our foreign operations continue to grow, we are subject to a variety of risks inherent in doing business internationally, including:</w:t>
      </w:r>
    </w:p>
    <w:p>
      <w:pPr>
        <w:spacing w:after="0" w:line="58" w:lineRule="exact"/>
        <w:rPr>
          <w:sz w:val="20"/>
          <w:szCs w:val="20"/>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political, social, and economic instability;</w:t>
      </w:r>
    </w:p>
    <w:p>
      <w:pPr>
        <w:spacing w:after="0" w:line="117"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risks related to the legal and regulatory environment in foreign jurisdictions, including with respect to privacy and data protection, and unexpected changes in laws, regulatory requirements, and enforcement;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levels of credit risk and payment fraud;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complying with tax requirements of multiple jurisdictions;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enhanced difficulties of integrating any foreign acquisitions;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present our content effectively in foreign languages;</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complying with a variety of foreign laws, including certain employment laws requiring national collective bargaining agreements that set minimum salaries, benefits, working conditions, and termination requirements;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staffing and managing global operations and the increased travel, infrastructure, and compliance costs associated with multiple foreign locations;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regulations that might add difficulties in repatriating cash earned outside the United States and otherwise preventing us from freely moving cash;</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import and export restrictions and changes in trade regulation;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complying with statutory equity requirements;</w:t>
      </w:r>
    </w:p>
    <w:p>
      <w:pPr>
        <w:spacing w:after="0" w:line="117"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complying with the U.S. Foreign Corrupt Practices Act of 1977, as amended, the U.K. Bribery Act 2010, the Corruption of Public Officials Act (Canada), and similar laws in other jurisdictions; and</w:t>
      </w:r>
    </w:p>
    <w:p>
      <w:pPr>
        <w:spacing w:after="0" w:line="38" w:lineRule="exact"/>
        <w:rPr>
          <w:rFonts w:ascii="Arial" w:cs="Arial" w:eastAsia="Arial" w:hAnsi="Arial"/>
          <w:sz w:val="17"/>
          <w:szCs w:val="17"/>
          <w:color w:val="auto"/>
        </w:rPr>
      </w:pPr>
    </w:p>
    <w:p>
      <w:pPr>
        <w:ind w:left="1000" w:right="319" w:hanging="348"/>
        <w:spacing w:after="0" w:line="308"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export controls and economic sanctions administered by the U.S. Department of Commerce Bureau of Industry and Security and the U.S. Treasury Department’s Office of Foreign Assets Control.</w:t>
      </w:r>
    </w:p>
    <w:p>
      <w:pPr>
        <w:spacing w:after="0" w:line="146"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We are subject to industry standards, governmental laws, regulations and other legal obligations, particularly related to privacy, data protection and information security, and any actual or perceived failure to comply with such obligations could harm our business.</w:t>
      </w:r>
    </w:p>
    <w:p>
      <w:pPr>
        <w:spacing w:after="0" w:line="76"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We are subject to regulation by various federal, state, provincial, local and foreign governmental authorities, including those responsible for monitoring and enforcing employment and labor laws, antibribery laws, lobbying and election laws, securities laws and tax laws. These laws and regulations are subject to change over time and thus we must continue to monitor and dedicate resources to ensure continued compliance.</w:t>
      </w:r>
    </w:p>
    <w:p>
      <w:pPr>
        <w:spacing w:after="0" w:line="49"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In addition, our business is subject to regulation by various federal, state, provincial and foreign governmental agencies responsible for monitoring and enforcing privacy and data protection laws and regulations. Numerous foreign, federal and state laws and regulations govern collection, dissemination, use and confidentiality of personally identifiable health information, including state privacy and confidentiality laws (including state laws requiring disclosure of breaches); federal and state consumer protection and employment laws; the Health Insurance Portability and Accountability Act of 1996, or HIPAA; and European and other foreign data protection laws.</w:t>
      </w:r>
    </w:p>
    <w:p>
      <w:pPr>
        <w:spacing w:after="0" w:line="56"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We receive, store, process, and use personal information and other user content. The regulatory framework for privacy issues worldwide, including in the United States, is rapidly evolving and is likely to remain uncertain for the foreseeable future, as many new laws and regulations regarding the collection, use and disclosure of personally identifiable information, or PII, and other data have been adopted or are under consideration and existing laws and regulations may be subject to new and changing interpretations. In the United States, the Federal Trade Commission and many state attorneys general are applying federal and state consumer protection laws to impose standards for the online collection, use and dissemination of data. The California Consumer Privacy Act of 2018, or CCPA, which became effective January 1, 2020, imposes significant additional requirements with respect to the collection of personal information from California residents.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It remains unclear what, if any, modifications will be made to this legislation or how it will be interpreted. Additionally, a new privacy law, the California Privacy Rights Act, or CPRA, significantly modified the CCPA, potentially resulting in further uncertainty and requiring us to incur additional costs and expenses. The CPRA created a new California state agency charged with enforcing state privacy laws, and there is uncertainty about potential enforcement actions that the new agency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may take in the future. The effects of the CCPA and the CPRA remain far-reaching, and depending on final regulatory guidance and related developments, may require us to modify our data processing practices and policies and to incur substantial costs and expenses in an effort to comply.</w:t>
      </w:r>
    </w:p>
    <w:p>
      <w:pPr>
        <w:spacing w:after="0" w:line="76"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Many foreign countries and governmental bodies, including Canada and the European Union, or E.U., and other relevant jurisdictions where we conduct business, have laws and regulations concerning the collection and use of PII and other data obtained from their residents or by businesses operating within their jurisdiction. These laws and regulations often are more restrictive than those in the United States Laws and regulations in these jurisdictions apply broadly to the collection, use, storage, disclosure and security of data that identifies or may be used to identify or locate an individual, such as names, email addresses and, in some jurisdictions, internet protocol addresses and other types of data. In Canada, the federal Personal Information Protection and Electronic Documents Act, or PIPEDA, governs the collection, use and disclosure of PII in many provinces in Canada, and though it is silent with respect to territorial reach, the Federal Court of Canada has found that PIPEDA will apply to businesses established in other jurisdictions if there is a “real and substantial connection” between the organization’s activities and Canada. Provincial privacy commissioners take a similar approach to the interpretation and application of provincial private-sector privacy laws equivalent to PIPEDA. Further, Canada has robust anti-spam legislation. Organizations sending commercial electronic messages to individuals must either have express consent from the individual in the prescribed form or the situation must qualify as an instance of implied consent or other authorization set out in Canada’s Anti-Spam Legislation, or CASL. The penalties for non-compliance under CASL are significant and the regulator, the Canadian Radio Television and Telecommunications Commission, is active with respect to enforcement. In addition, the E.U.’s General Data Protection Regulation, or the GDPR, which went into effect in May 2018, requires subject companies to implement and maintain comprehensive information privacy and security protections with respect to personal data (data that relates to an identified or identifiable individual) about persons in the E.U. that is collected or processed by such companies. The GDPR provides for substantial penalties for noncompliance.</w:t>
      </w:r>
    </w:p>
    <w:p>
      <w:pPr>
        <w:spacing w:after="0" w:line="7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Although we are working to comply with those federal, state, provincial and foreign laws and regulations, industry standards, governmental standards, contractual obligations and other legal obligations that apply to us, those laws, regulations, standards and obligations are evolving and may be modified, interpreted and applied in an inconsistent manner from one jurisdiction to another, and may conflict with one another, other requirements or legal obligations, our practices or the features of our applications or platform. Any failure or perceived failure by us or our contractors to comply with federal, state, provincial or foreign laws or regulations, industry standards, contractual obligations or other legal obligations, or any actual or suspected security incident, whether or not resulting in loss of, unauthorized access to, or acquisition, alteration, destruction, release or transfer of PII or other data, may result in governmental enforcement actions and prosecutions, private litigation, fines and penalties or adverse publicity and could cause employees, clients and consumers to lose trust in us, which could have an adverse effect on our reputation and business. Any inability or perceived inability (even if unfounded) on our part to adequately address privacy, data protection, and information security concerns, or comply with applicable laws, regulations, policies, industry standards, governmental standards, contractual obligations, or other legal obligations, could result in additional cost and liability to us, damage our reputation, inhibit sales, and adversely affect our business.</w:t>
      </w:r>
    </w:p>
    <w:p>
      <w:pPr>
        <w:spacing w:after="0" w:line="63"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We also expect that there will continue to be new proposed laws, regulations and industry standards concerning privacy, data protection and information security in the United States, Canada, the E.U. and other jurisdictions, and we cannot yet determine the impact such future laws, regulations and standards may have on our business. Future laws, regulations, standards and other obligations, or amendments or changes in the interpretation of existing laws, regulations, standards and other obligations, could impair our or our clients’ ability to collect, use, disclose or otherwise process information relating to employees or consumers, which could decrease demand for our applications, increase our costs and impair our ability to maintain and grow our client and consumer bases and increase revenue. Such laws and regulations may require us to implement privacy and security policies, permit users to access, correct and delete personal information stored or maintained by such companies, inform individuals of security breaches that affect their personal information, and, in some cases, obtain individuals’ consent to use PII or other data for certain purposes. In addition, a foreign government could require that any data collected in a country not be transferred or disseminated outside of that country, or impose restrictions or conditions upon such dissemination, and we may face difficulty in complying with any such requirements for certain geographic regions. Indeed, many privacy laws, such as those in force in Canada and the E.U., already impose these requirements. If we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fail to comply with federal, state, provincial and foreign data privacy laws and regulations, our ability to successfully operate our business and pursue our business goals could be harmed. Furthermore, due to our acceptance of credit cards, we are subject to the PCI- DSS, which is designed to protect the information of credit card users.</w:t>
      </w:r>
    </w:p>
    <w:p>
      <w:pPr>
        <w:spacing w:after="0" w:line="4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have had security incidents in the past, which we do not believe reached the level of a breach that would be reportable under applicable state laws or our other obligations; however, there can be no assurance that our determinations were correct. In the event our determinations are challenged and found to have been incorrect, we may be subject to unfavorable publicity or claims by one or more state attorneys general, federal regulators, or private plaintiffs, any of which could damage our reputation, inhibit sales and adversely affect our business.</w:t>
      </w:r>
    </w:p>
    <w:p>
      <w:pPr>
        <w:spacing w:after="0" w:line="310"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Governmental regulation of the internet continues to develop, and unfavorable changes could substantially harm our business and operating results.</w:t>
      </w:r>
    </w:p>
    <w:p>
      <w:pPr>
        <w:spacing w:after="0" w:line="62"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are subject to general business regulations and laws as well as federal, state, provincial and foreign laws specifically governing the internet. Existing and future laws and regulations, narrowing of any existing legal safe harbors, or previous or future court decisions may impede the growth of the internet or online products and solutions, and increase the cost of providing online products and solutions. These laws may govern, among other issues, taxation, tariffs, user privacy, data protection, pricing, content, copyrights, distribution, electronic contracts and other communications, consumer protection, broadband residential internet access and the characteristics and quality of offerings. It is not clear how existing laws governing issues such as property ownership, sales, use and other taxes, libel and personal privacy apply to the internet or online services. There is also a risk that these laws may be interpreted and applied in conflicting ways across jurisdictions, and in a manner that is not consistent with our current practices. Unfavorable resolution of these issues may limit our business activities, expose us to potential legal claims or cause us to spend significant resources on ensuring compliance, any of which could harm our business and operating results.</w:t>
      </w: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We may be subject to claims brought against us as a result of content we provide.</w:t>
      </w:r>
    </w:p>
    <w:p>
      <w:pPr>
        <w:spacing w:after="0" w:line="117"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provide educational information regarding the use and potential effects of various types of cannabis products through our platform, including information regarding therapeutic uses for cannabis. If our content, or content we obtain from third parties, contains inaccuracies, it is possible that consumers or others may sue us for various causes of action. Although our website and mobile applications contain terms and conditions, including disclaimers of liability, that are intended to reduce or eliminate our liability, the law governing the validity and enforceability of online agreements and other electronic transactions is evolving. We could be subject to claims by third parties that our online agreements with consumers that provide the terms and conditions for use of our websites and mobile applications are unenforceable. A finding by a court that these agreements are invalid and that we are subject to liability could harm our business and require costly changes to our business.</w:t>
      </w:r>
    </w:p>
    <w:p>
      <w:pPr>
        <w:spacing w:after="0" w:line="58"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For content that we publish or provide ourselves, we have editorial procedures in place to provide quality control of the information that we publish or provide. However, we cannot assure you that our editorial and other quality control procedures will be sufficient to ensure that there are no errors or omissions in particular content. Even if potential claims do not result in liability to us, investigating and defending against these claims could be expensive and time-consuming and could divert management’s attention away from our operations. In addition, our business is based on establishing the reputation of our platform as trustworthy and dependable sources of educational information. Allegations of impropriety or inaccuracy, even if unfounded, could harm our reputation and business.</w:t>
      </w: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We may be subject to legal claims based on the content published to our platform.</w:t>
      </w:r>
    </w:p>
    <w:p>
      <w:pPr>
        <w:spacing w:after="0" w:line="117"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may be subject to legal claims relating to information made available through our platform, including claims for defamation, libel, negligence and copyright or trademark infringement, among others. These claims or allegations could divert management time and attention away from our business and result in significant costs to investigate and defend, regardless of the merits of the claims or allegations. In some instances, we may elect or be compelled to remove content, or may be forced to pay substantial damages or administrative monetary penalties, if we are unsuccessful in our efforts to defend against these claims or allegations. If we elect, or are compelled, to remove valuable content from our platform, our platform or services may become less useful to consumers, which could have a negative impact on our business and financial performance. This risk may also be greater in certain jurisdictions outside of the United States where our protections from such liability may be unclear.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Future investments in alternative revenue streams or acquisitions could disrupt our business and adversely affect our operating results, financial condition and cash flows.</w:t>
      </w:r>
    </w:p>
    <w:p>
      <w:pPr>
        <w:spacing w:after="0" w:line="62"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We believe that our long-term growth depends in part on our ability to develop and monetize additional aspects of our platform. Developing new products and solutions may involve significant investments of capital, time, resources and managerial attention. We have limited experience with developing, implementing and managing revenue streams other than our core listing business, and there can be no assurance that we will successfully implement any new products or solutions. External factors, such as additional regulatory compliance obligations, may also affect the successful implementation of new products and solutions through our platform.</w:t>
      </w:r>
    </w:p>
    <w:p>
      <w:pPr>
        <w:spacing w:after="0" w:line="5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Additionally, we may make acquisitions that could be material to our business, operating results, financial condition and cash flows. Our ability as an organization to successfully acquire and integrate technologies or businesses is unproven. Acquisitions involve many risks, including the following:</w:t>
      </w:r>
    </w:p>
    <w:p>
      <w:pPr>
        <w:spacing w:after="0" w:line="76" w:lineRule="exact"/>
        <w:rPr>
          <w:sz w:val="20"/>
          <w:szCs w:val="20"/>
          <w:color w:val="auto"/>
        </w:rPr>
      </w:pPr>
    </w:p>
    <w:p>
      <w:pPr>
        <w:jc w:val="both"/>
        <w:ind w:left="1000" w:right="319" w:hanging="348"/>
        <w:spacing w:after="0" w:line="275" w:lineRule="auto"/>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 acquisition may negatively affect our operating results, financial condition or cash flows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68" w:lineRule="exact"/>
        <w:rPr>
          <w:rFonts w:ascii="Arial" w:cs="Arial" w:eastAsia="Arial" w:hAnsi="Arial"/>
          <w:sz w:val="17"/>
          <w:szCs w:val="17"/>
          <w:color w:val="auto"/>
        </w:rPr>
      </w:pPr>
    </w:p>
    <w:p>
      <w:pPr>
        <w:jc w:val="both"/>
        <w:ind w:left="1000" w:right="299" w:hanging="348"/>
        <w:spacing w:after="0" w:line="259"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 and potentially across different cultures and languages in the event of a foreign acquisition;</w:t>
      </w:r>
    </w:p>
    <w:p>
      <w:pPr>
        <w:spacing w:after="0" w:line="7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 acquisition may result in a delay or reduction of sales for both us and the company we acquired due to uncertainty about continuity and effectiveness of products or support from either company;</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encounter difficulties in, or may be unable to, successfully sell any acquired products;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acquisition may involve the entry into geographic or business markets in which we have little or no prior experience or where competitors have stronger market positions;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strain on our financial and managerial controls and reporting systems and procedures;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known and unknown liabilities associated with an acquired company;</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incur debt to fund such acquisitions, such debt may subject us to material restrictions on our ability to conduct our business as well as financial maintenance covenants;</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risk of impairment charges related to potential write-downs of acquired assets or goodwill in future acquisitions;</w:t>
      </w:r>
    </w:p>
    <w:p>
      <w:pPr>
        <w:spacing w:after="0" w:line="62"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the extent that we issue a significant amount of equity or convertible debt securities in connection with future acquisitions, existing equity holders may be diluted and earnings per share may decrease; and</w:t>
      </w:r>
    </w:p>
    <w:p>
      <w:pPr>
        <w:spacing w:after="0" w:line="15"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managing the varying intellectual property protection strategies and other activities of an acquired company.</w:t>
      </w:r>
    </w:p>
    <w:p>
      <w:pPr>
        <w:spacing w:after="0" w:line="62"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We may not succeed in addressing these or other risks or any other problems encountered in connection with the integration of any acquired business. The inability to integrate successfully the business, technologies, products, personnel or operations of any acquired business, or any significant delay in achieving integration, could have a material adverse effect on our business, operating results, financial condition and cash flows.</w:t>
      </w:r>
    </w:p>
    <w:p>
      <w:pPr>
        <w:spacing w:after="0" w:line="171" w:lineRule="exact"/>
        <w:rPr>
          <w:sz w:val="20"/>
          <w:szCs w:val="20"/>
          <w:color w:val="auto"/>
        </w:rPr>
      </w:pPr>
    </w:p>
    <w:p>
      <w:pPr>
        <w:jc w:val="both"/>
        <w:ind w:left="300" w:right="319"/>
        <w:spacing w:after="0" w:line="375" w:lineRule="auto"/>
        <w:rPr>
          <w:sz w:val="20"/>
          <w:szCs w:val="20"/>
          <w:color w:val="auto"/>
        </w:rPr>
      </w:pPr>
      <w:r>
        <w:rPr>
          <w:rFonts w:ascii="Arial" w:cs="Arial" w:eastAsia="Arial" w:hAnsi="Arial"/>
          <w:sz w:val="15"/>
          <w:szCs w:val="15"/>
          <w:b w:val="1"/>
          <w:bCs w:val="1"/>
          <w:i w:val="1"/>
          <w:iCs w:val="1"/>
          <w:color w:val="auto"/>
        </w:rPr>
        <w:t>We may need to raise additional capital, which may not be available on favorable terms, if at all, causing dilution to our stockholders, restricting our operations or adversely affecting our ability to operate our business.</w:t>
      </w:r>
    </w:p>
    <w:p>
      <w:pPr>
        <w:spacing w:after="0" w:line="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In the course of running our business, we may need to raise capital, certain forms of which may cause dilution to our stockholders. If our need is due to unforeseen circumstances or material expenditures or if our operating results are worse than expected, then we cannot be certain that we will be able to obtain additional financing on favorable terms, if at all, and these additional financings could cause further dilution to our stockholders. Due to the current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legal status of cannabis under U.S. federal law, we have experienced, and may in the future experience, difficulty attracting additional debt or equity financing. In addition, the current legal status of cannabis may increase the cost of capital now and in the future. Debt financing, if available, may involve agreements that include equity conversion rights, covenants limiting or restricting our ability to take specific actions, such as incurring additional debt, expending capital, or declaring dividends, or that impose financial covenants on us that limit our ability to achieve our business objectives. Debt financings may contain provisions, which, if breached, may entitle lenders to accelerate repayment of loans, and there is no assurance that we would be able to repay such loans in such an event or prevent the foreclosure of security interests granted pursuant to such debt financing. If we need but cannot raise additional capital on acceptable terms, then we may not be able to meet our business objectives, our stock price may fall, and you may lose some or all of your investment.</w:t>
      </w:r>
    </w:p>
    <w:p>
      <w:pPr>
        <w:spacing w:after="0" w:line="185" w:lineRule="exact"/>
        <w:rPr>
          <w:sz w:val="20"/>
          <w:szCs w:val="20"/>
          <w:color w:val="auto"/>
        </w:rPr>
      </w:pPr>
    </w:p>
    <w:p>
      <w:pPr>
        <w:jc w:val="both"/>
        <w:ind w:left="300" w:right="319"/>
        <w:spacing w:after="0" w:line="308" w:lineRule="auto"/>
        <w:rPr>
          <w:sz w:val="20"/>
          <w:szCs w:val="20"/>
          <w:color w:val="auto"/>
        </w:rPr>
      </w:pPr>
      <w:r>
        <w:rPr>
          <w:rFonts w:ascii="Arial" w:cs="Arial" w:eastAsia="Arial" w:hAnsi="Arial"/>
          <w:sz w:val="17"/>
          <w:szCs w:val="17"/>
          <w:b w:val="1"/>
          <w:bCs w:val="1"/>
          <w:i w:val="1"/>
          <w:iCs w:val="1"/>
          <w:color w:val="auto"/>
        </w:rPr>
        <w:t>Our business and operating results may be harmed if we are deemed responsible for the collection and remittance of state sales taxes or other indirect taxes for clients using our order functionality.</w:t>
      </w:r>
    </w:p>
    <w:p>
      <w:pPr>
        <w:spacing w:after="0" w:line="38"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do not collect sales and value-added tax as part of our client agreements in the United States or Canada, based on our determination that such tax is not applicable to our platform. Sales and use, value-added, and similar tax laws and rates vary greatly by jurisdiction. If we are deemed an agent for the clients on our platform under state or other applicable tax law, we may be deemed responsible for collecting and remitting sales taxes directly to certain states or jurisdictions. It is possible that one or more states could seek to impose sales, use or other tax obligations on us with regard to the ordering functionality that we offer our clients. These taxes may be applicable to past sales. In addition, the U.S. Supreme Court’s ruling in South Dakota v. Wayfair that a U.S. state may require an online retailer with no in-state property or personnel to collect and remit sales tax on sales to the state’s residents may permit wider enforcement of sales tax collection requirements, which may increase the jurisdictions in which we may be required to collect and/or remit taxes. A successful assertion that we should be collecting additional sales, use or other taxes or remitting such taxes directly to states or other jurisdictions could result in substantial tax liabilities for past sales and additional administrative expenses and increase the cost of our products and solutions, which could harm our business and operating results.</w:t>
      </w:r>
    </w:p>
    <w:p>
      <w:pPr>
        <w:spacing w:after="0" w:line="240"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We may be subject to potential adverse tax consequences both domestically and in foreign jurisdictions.</w:t>
      </w:r>
    </w:p>
    <w:p>
      <w:pPr>
        <w:spacing w:after="0" w:line="140"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We are subject to taxes, such as income, payroll, sales, use, value-added, property and goods and services taxes, in both the United States and various foreign jurisdictions. Our domestic and foreign tax liabilities are subject to various jurisdictional rules regarding the timing and allocation of revenue and expenses. Additionally, the amount of income taxes paid is subject to our interpretation of applicable tax laws in the jurisdictions in which we file and to changes in tax laws. Significant judgment is required in determining our worldwide provision for income taxes and other tax liabilities. From time to time, we may be subject to income and non-income tax audits. While we believe we have complied with all applicable income tax laws, there can be no assurance that a governing tax authority will not have a different interpretation of the law and assess us with additional taxes. Should we be assessed with additional taxes, there could be a material adverse effect on our business, results of operations, and financial condition. In addition, audits may require ongoing time and attention from our management, which could limit their ability to focus on other aspects of our business and impact our business in the future.</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Changes in accounting standards or other factors could negatively impact our future effective tax rate.</w:t>
      </w:r>
    </w:p>
    <w:p>
      <w:pPr>
        <w:spacing w:after="0" w:line="129"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Our future effective tax rate may be affected by such factors as changing interpretation of existing laws or regulations, the impact of accounting for equity-based compensation, the impact of accounting for business combinations, changes in our international organization, and changes in overall levels of income before tax. In addition, in the ordinary course of our global business, there are many intercompany transactions and calculations where the ultimate tax determination is uncertain. Although we believe that our tax estimates are reasonable, we cannot ensure that the final determination of tax audits or tax disputes will not be different from what is reflected in our historical income tax provisions and accruals.</w:t>
      </w:r>
    </w:p>
    <w:p>
      <w:pPr>
        <w:spacing w:after="0" w:line="195"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and compliance in multiple jurisdictions may have a material adverse effect on our business, cash flow, financial condition or operating results.</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are subject to the income tax laws of the United States, Canada, and several other foreign jurisdictions. New income, sales, use or other tax laws, statutes, rules, regulations, or ordinances could be enacted at any time, which could affect the tax treatment of our U.S. and foreign earnings. Any new taxes could adversely affect our domestic</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and foreign business operations, and our business and financial performance. In addition, existing tax laws, statutes, rules, regulations, or ordinances, such as Section 280E of the Code, discussed below, could be interpreted, changed, modified or applied adversely to us. Furthermore, changes to the taxation of undistributed foreign earnings could change our future intentions regarding reinvestment of such earnings. The foregoing items could have a material adverse effect on our business, cash flow, financial condition or operating results.</w:t>
      </w:r>
    </w:p>
    <w:p>
      <w:pPr>
        <w:spacing w:after="0" w:line="68"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Requirements as to taxation vary substantially among jurisdictions. Complying with the tax laws of these jurisdictions can be time consuming and expensive and could potentially subject us to penalties and fees in the future if we were to inadvertently fail to comply. If we were to inadvertently fail to comply with applicable tax laws, this could have a material adverse effect on our business, results of operations and financial condition.</w:t>
      </w:r>
    </w:p>
    <w:p>
      <w:pPr>
        <w:spacing w:after="0" w:line="333"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We are a holding company and our only material asset is our interest in WMH LLC, and WMH LLC is accordingly dependent upon distributions made by its subsidiaries to pay taxes, make payments under the tax receivable agreement and pay dividends.</w:t>
      </w:r>
    </w:p>
    <w:p>
      <w:pPr>
        <w:spacing w:after="0" w:line="76"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We are a holding company with no material assets other than our ownership of Units and our managing member interest in WMH LLC. As a result, we have no independent means of generating revenue or cash flow. Our ability to pay taxes, make payments under the tax receivable agreement and pay dividends will depend on the financial results and cash flows of WMH LLC and its subsidiaries and the distributions we receive from WMH LLC. Deterioration in the financial condition, earnings or cash flow of WMH LLC and its subsidiaries, for any reason could limit or impair WMH LLC’s ability to pay such distributions. Additionally, to the extent that we need funds and WMH LLC and/or any of its subsidiaries are restricted from making such distributions under applicable law or regulation or under the terms of any financing arrangements, or WMH LLC is otherwise unable to provide such funds, it could materially adversely affect our liquidity and financial condition.</w:t>
      </w:r>
    </w:p>
    <w:p>
      <w:pPr>
        <w:spacing w:after="0" w:line="73"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WMH LLC will continue to be treated as a partnership for U.S. federal income tax purposes and, as such, generally will not be subject to any entity-level U.S. federal income tax. Instead, WMH LLC’s taxable income will be allocated to holders of Units, including us. Accordingly, we will be required to pay income taxes on our allocable share of any net taxable income of WMH LLC. Under the terms of the amended operating agreement, WMH LLC is obligated to make tax distributions to holders of Units (including us) calculated at certain assumed tax rates. In addition to tax expenses, we will also incur expenses related to our operations, including payment obligations under the tax receivable agreement (and the cost of administering such payment obligations), which could be significant. We intend to cause WMH LLC to make distributions to holders of Units in amounts sufficient to cover all applicable taxes (calculated at assumed tax rates), relevant operating expenses, payments under the tax receivable agreement and dividends, if any, declared by us. However, as discussed below, WMH LLC’s ability to make such distributions may be subject to various limitations and restrictions including, but not limited to, restrictions on distributions that would either violate any contract or agreement to which WMH LLC is then a party, including debt agreements, or any applicable law, or that would have the effect of rendering WMH LLC insolvent. If our cash resources are insufficient to meet our obligations under the tax receivable agreement and to fund our obligations, we may be required to incur additional indebtedness to provide the liquidity needed to make such payments, which could materially adversely affect its liquidity and financial condition and subject us to various restrictions imposed by any such lenders. To the extent that we are unable to make payments under the tax receivable agreement for any reason, such payments will be deferred and will accrue interest until paid; provided, however, that nonpayment for a specified period may constitute a material breach of a material obligation under the tax receivable agreement and therefore accelerate payments due under the tax receivable agreement.</w:t>
      </w:r>
    </w:p>
    <w:p>
      <w:pPr>
        <w:spacing w:after="0" w:line="74"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Additionally, although WMH LLC generally will not be subject to any entity-level U.S. federal income tax, it may be liable under recent federal tax legislation for adjustments to its tax return, absent an election to the contrary. In the event WMH LLC’s calculations of taxable income are incorrect, its members, including us, in later years may be subject to material liabilities pursuant to this federal legislation and its related guidance.</w:t>
      </w:r>
    </w:p>
    <w:p>
      <w:pPr>
        <w:spacing w:after="0" w:line="63"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Dividends on our Class A Common Stock, if any, will be paid at the discretion of our board of directors, which will consider, among other things, our business, operating results, financial condition, current and expected cash needs, plans for expansion and any legal or contractual limitations on its ability to pay such dividends. Financing arrangements may include restrictive covenants that restrict our ability to pay dividends or make other distributions to our stockholders. In addition, WMH LLC is generally prohibited under Delaware law from making a distribution to a member to the extent that, at the time of the distribution, after giving effect to the distribution, liabilities of</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WMH LLC (with certain exceptions) exceed the fair value of its assets. WMH LLC’s subsidiaries are generally subject to similar legal limitations on their ability to make distributions to WMH LLC. If WMH LLC does not have sufficient funds to make distributions, our ability to declare and pay cash dividends may also be restricted or impaired.</w:t>
      </w:r>
    </w:p>
    <w:p>
      <w:pPr>
        <w:spacing w:after="0" w:line="349" w:lineRule="exact"/>
        <w:rPr>
          <w:sz w:val="20"/>
          <w:szCs w:val="20"/>
          <w:color w:val="auto"/>
        </w:rPr>
      </w:pPr>
    </w:p>
    <w:p>
      <w:pPr>
        <w:jc w:val="both"/>
        <w:ind w:left="300" w:right="299"/>
        <w:spacing w:after="0" w:line="308" w:lineRule="auto"/>
        <w:rPr>
          <w:sz w:val="20"/>
          <w:szCs w:val="20"/>
          <w:color w:val="auto"/>
        </w:rPr>
      </w:pPr>
      <w:r>
        <w:rPr>
          <w:rFonts w:ascii="Arial" w:cs="Arial" w:eastAsia="Arial" w:hAnsi="Arial"/>
          <w:sz w:val="17"/>
          <w:szCs w:val="17"/>
          <w:b w:val="1"/>
          <w:bCs w:val="1"/>
          <w:i w:val="1"/>
          <w:iCs w:val="1"/>
          <w:color w:val="auto"/>
        </w:rPr>
        <w:t>In certain circumstances, WMH LLC will be required to make distributions to us and the other holders of WMH Units, and the distributions that WMH LLC will be required to make may be substantial.</w:t>
      </w:r>
    </w:p>
    <w:p>
      <w:pPr>
        <w:spacing w:after="0" w:line="38"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As discussed above, WMH LLC will generally be required from time to time to make pro rata distributions in cash to us and the other holders of WMH Units at certain assumed tax rates in amounts that are intended to be sufficient to cover the taxes on our and the other WMH equity holders’ respective allocable shares of the taxable income of WMH LLC. As a result of (i) potential differences in the amount of net taxable income allocable to us and the other holders of WMH Units, (ii) the lower tax rate applicable to corporations than individuals and (iii) the use of an assumed tax rate (based on the tax rate applicable to individuals) in calculating WMH LLC’s distribution obligations, we may receive tax distributions significantly in excess of our tax liabilities and obligations to make payments under the tax receivable agreement. We will determine in our sole discretion the appropriate uses for any excess cash so accumulated, which may include, among other uses, dividends, the payment of obligations under the tax receivable agreement and the payment of other expenses. We will have no obligation to distribute such excess cash (or other available cash other than any declared dividend) to the holders of Class A Common Stock. No adjustments to the redemption or exchange ratio of WMH Units for shares of Class A Common Stock will be made as a result of either (i) any cash dividend by us or (ii) any cash that we retain and do not distribute to our stockholders. To the extent that we do not distribute such excess cash as dividends on Class A Common Stock and instead, for example, holds such cash balances or lends them to WMH LLC, WMH LLC equity holders would benefit from any value attributable to such cash balances as a result of their ownership of Class A Common Stock following a redemption or exchange of their WMH Units.</w:t>
      </w:r>
    </w:p>
    <w:p>
      <w:pPr>
        <w:spacing w:after="0" w:line="326" w:lineRule="exact"/>
        <w:rPr>
          <w:sz w:val="20"/>
          <w:szCs w:val="20"/>
          <w:color w:val="auto"/>
        </w:rPr>
      </w:pPr>
    </w:p>
    <w:p>
      <w:pPr>
        <w:jc w:val="both"/>
        <w:ind w:left="300" w:right="319"/>
        <w:spacing w:after="0" w:line="375" w:lineRule="auto"/>
        <w:rPr>
          <w:sz w:val="20"/>
          <w:szCs w:val="20"/>
          <w:color w:val="auto"/>
        </w:rPr>
      </w:pPr>
      <w:r>
        <w:rPr>
          <w:rFonts w:ascii="Arial" w:cs="Arial" w:eastAsia="Arial" w:hAnsi="Arial"/>
          <w:sz w:val="15"/>
          <w:szCs w:val="15"/>
          <w:b w:val="1"/>
          <w:bCs w:val="1"/>
          <w:i w:val="1"/>
          <w:iCs w:val="1"/>
          <w:color w:val="auto"/>
        </w:rPr>
        <w:t>We will be required to pay the WMH LLC Class A equity holders and any other persons that become parties to the tax receivable agreement for certain tax benefits we may receive and the amounts payable may be substantial.</w:t>
      </w:r>
    </w:p>
    <w:p>
      <w:pPr>
        <w:spacing w:after="0" w:line="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Acquisitions by us of common units in the Business Combination and future taxable redemptions or exchanges of Class A units representing limited liability company interests of WMH LLC (the “Class A Units”) by the WMH LLC equity holders for shares of Class A Common Stock or cash pursuant to the exchange agreement are expected to result in favorable tax attributes for us.</w:t>
      </w:r>
    </w:p>
    <w:p>
      <w:pPr>
        <w:spacing w:after="0" w:line="79"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Upon the Closing, we, the holder representative and the WMH Class A equity holders entered into the tax receivable agreement. Under the tax receivable agreement, we generally will be required to pay to the WMH LLC Class A equity holders, in the aggregate, 85% of the amount of cash savings, if any, in U.S. federal, state and local income tax or franchise tax that we actually realize as a result of (i) increases to the tax basis of WMH LLC’s assets resulting from acquisitions by us of common units for cash in the Business Combination and future taxable redemptions or exchanges of Class A Units for shares of Class A Common Stock or cash pursuant to the exchange agreement, (ii) tax benefits related to imputed interest or (iii) tax attributes resulting from payments made under the tax receivable agreement. The payment obligations under the tax receivable agreement are our obligations and not obligations of WMH LLC.</w:t>
      </w:r>
    </w:p>
    <w:p>
      <w:pPr>
        <w:spacing w:after="0" w:line="73"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expect that the payments we will be required to make under the tax receivable agreement will be substantial. Assuming no material changes in relevant tax law, that there are no future redemptions or exchanges of Class A Units and that we earn sufficient taxable income to realize all tax benefits that are subject to the tax receivable agreement, the tax savings associated with acquisitions of common units in the Business Combination would aggregate to approximately $151.3 million over 15 years from the Closing Date. Under this scenario, we would be required to pay to the WMH LLC Class A equity holders approximately 85% of such amount, or $128.6 million, over the 15-year period from the Closing Date. The actual amounts we will be required to pay may materially differ from these hypothetical amounts, because potential future tax savings that we will be deemed to realize, and the tax receivable agreement payments made by us, will be calculated based in part on the market value of the Class A Common Stock at the time of each redemption or exchange under the exchange agreement and the prevailing applicable tax rates applicable to us over the life of the tax receivable agreement and will depend on us generating sufficient taxable income to realize the tax benefits that are subject to the tax receivable agreement. Payments under the tax receivable agreement are not conditioned on the WMH LLC Class A equity holders’ continued ownership of us.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342" w:lineRule="auto"/>
        <w:rPr>
          <w:sz w:val="20"/>
          <w:szCs w:val="20"/>
          <w:color w:val="auto"/>
        </w:rPr>
      </w:pPr>
      <w:r>
        <w:rPr>
          <w:rFonts w:ascii="Arial" w:cs="Arial" w:eastAsia="Arial" w:hAnsi="Arial"/>
          <w:sz w:val="16"/>
          <w:szCs w:val="16"/>
          <w:b w:val="1"/>
          <w:bCs w:val="1"/>
          <w:i w:val="1"/>
          <w:iCs w:val="1"/>
          <w:color w:val="auto"/>
        </w:rPr>
        <w:t>In certain cases, payments under the tax receivable agreement may be accelerated and/or significantly exceed the actual benefits we realize in respect of the tax attributes subject to the tax receivable agreement.</w:t>
      </w:r>
    </w:p>
    <w:p>
      <w:pPr>
        <w:spacing w:after="0" w:line="16"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Payments under the tax receivable agreement will be based on the tax reporting positions we determine, and the IRS or another tax authority may challenge all or a part of the existing tax basis, tax basis increases, or other tax attributes subject to the tax receivable agreement, and a court could sustain such challenge. The parties to the tax receivable agreement will not reimburse us for any payments previously made if such tax basis,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69"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In addition, the tax receivable agreement provides that if (1) we breach any of our material obligations under the tax receivable agreement (including in the event that we are more than three months late making a payment that is due under the tax receivable agreement, except in the case of certain liquidity exceptions) (2) we are subject to certain bankruptcy, insolvency or similar proceedings, or (3) at any time, we elect an early termination of the tax receivable agreement, our obligations under the tax receivable agreement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tax receivable agreement. The tax receivable agreement also provides that, upon certain mergers, asset sales or other forms of business combination, or certain other changes of control, (x) our obligations under the tax receivable agreement with respect to Class A Units that have been exchanged or redeemed prior to or in connection with such change of control transaction would accelerate and become payable in a lump sum as described above and (y) with respect to Class A Units that have not been exchanged as of such change of control transaction, our or our successor’s obligations under the tax receivable agreement would be based on certain assumptions, including that we or our successor would have sufficient taxable income to fully utilize the increased tax deductions and tax basis and other benefits covered by the tax receivable agreement. As a result, upon any acceleration of our obligations under the tax receivable agreement (including upon a change of control), we could be required to make payments under the tax receivable agreement that are greater than 85% of our actual cash tax savings, which could negatively impact our liquidity. The change of control provisions in the tax receivable agreement may also result in situations where the WMH LLC Class A equity holders have interests that differ from or are in addition to those of the Class A equity holders.</w:t>
      </w:r>
    </w:p>
    <w:p>
      <w:pPr>
        <w:spacing w:after="0" w:line="72"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Finally, because we are a holding company with no operations of our own, our ability to make payments under the tax receivable agreement depends on our ability to make distributions to it.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Additional Risks Related to the Cannabis Industry</w:t>
      </w:r>
    </w:p>
    <w:p>
      <w:pPr>
        <w:spacing w:after="0" w:line="12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Cannabis remains illegal under federal law, and therefore, strict enforcement of federal laws regarding cannabis would likely result in our inability to execute our business plan.</w:t>
      </w:r>
    </w:p>
    <w:p>
      <w:pPr>
        <w:spacing w:after="0" w:line="62"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 xml:space="preserve">Cannabis, other than hemp (defined by the U.S. government as </w:t>
      </w:r>
      <w:r>
        <w:rPr>
          <w:rFonts w:ascii="Arial" w:cs="Arial" w:eastAsia="Arial" w:hAnsi="Arial"/>
          <w:sz w:val="16"/>
          <w:szCs w:val="16"/>
          <w:i w:val="1"/>
          <w:iCs w:val="1"/>
          <w:color w:val="auto"/>
        </w:rPr>
        <w:t>Cannabis sativa</w:t>
      </w:r>
      <w:r>
        <w:rPr>
          <w:rFonts w:ascii="Arial" w:cs="Arial" w:eastAsia="Arial" w:hAnsi="Arial"/>
          <w:sz w:val="16"/>
          <w:szCs w:val="16"/>
          <w:color w:val="auto"/>
        </w:rPr>
        <w:t xml:space="preserve"> L. with a THC concentration of not more than 0.3% on a dry weight basis), is a Schedule I controlled substance under the Controlled Substances Act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is a predicate for certain other crimes, including money laundering laws and the Racketeer Influenced and Corrupt Organizations Act. The U.S. Supreme Court has ruled that the federal government has the authority to regulate and criminalize the sale, possession and use of cannabis, even for individual medical purposes, regardless of whether it is legal under state law. For over five years, however, the U.S. government has not prioritized the enforcement of those laws against cannabis companies complying with state law and their vendors. No reversal of that policy of prosecutorial discretion is expected under a Biden administration given his campaign’s position on cannabis, and recent statements of Attorney General Merrick Garland discussed further below, although prosecutions against state-legal entities cannot be ruled out entirely at this time.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On January 4, 2018, then U.S. Attorney General Jeff Sessions issued a memorandum for all U.S. Attorneys (the “Sessions Memo”) rescinding certain past DOJ memoranda on cannabis law enforcement, including the Memorandum by former Deputy Attorney General James Michael Cole (the “Cole Memo”) issued on August 29, 2013, under the Obama administration. Describing the criminal enforcement of federal cannabis prohibitions against those complying with state cannabis regulatory systems as an inefficient use of federal investigative and prosecutorial resources, the Cole Memo gave federal prosecutors discretion not to prosecute state law compliant cannabis companies in states that were regulating cannabis, unless one or more of eight federal priorities were implicated, including use of cannabis by minors, violence, or the use of federal lands for cultivation. The Sessions Memo, which remains in effect, states that each U.S. Attorney’s Office should follow established principles that govern all federal prosecutions when deciding which cannabis activities to prosecute. As a result, federal prosecutors could and still can use their prosecutorial discretion to decide to prosecute even state legal cannabis activities. Since the Sessions Memo was issued over four years ago, however, U.S. Attorneys have generally not prioritized the targeting of state law compliant entities.</w:t>
      </w:r>
    </w:p>
    <w:p>
      <w:pPr>
        <w:spacing w:after="0" w:line="78"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cannot assure that each U.S. Attorney’s Office in each judicial district where we operate will not choose to enforce federal laws governing cannabis sales against state-legal companies like our business clients. The basis for the federal government’s lack of recent enforcement with respect to the cannabis industry extends beyond the strong public sentiment and ongoing prosecutorial discretion. Since 2014, versions of the U.S. omnibus spending bill have included a provision prohibiting the DOJ, which includes the Drug Enforcement Administration, from using appropriated funds to prevent states from implementing their medical-use cannabis laws (formerly known as the Rohrabacher-Bluemnauer Amendment, and now known as the Joyce Amendment). In 2021, President Joe Biden became the first president to propose a budget with the Rohrabacher–Farr amendment included. On February 18, 2022, the amendment was renewed through a stopgap spending bill, with the most recent extension effective through March 11, 2022. There is no assurance that Congress will approve inclusion of a similar prohibition on DOJ spending in the appropriations bills for future years.</w:t>
      </w:r>
    </w:p>
    <w:p>
      <w:pPr>
        <w:spacing w:after="0" w:line="74"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i w:val="1"/>
          <w:iCs w:val="1"/>
          <w:color w:val="auto"/>
        </w:rPr>
        <w:t>USA vs. McIntosh</w:t>
      </w:r>
      <w:r>
        <w:rPr>
          <w:rFonts w:ascii="Arial" w:cs="Arial" w:eastAsia="Arial" w:hAnsi="Arial"/>
          <w:sz w:val="16"/>
          <w:szCs w:val="16"/>
          <w:color w:val="auto"/>
        </w:rPr>
        <w:t>, the U.S. Court of Appeals for the Ninth Circuit held that the provision prohibits the DOJ from spending funds to prosecute individuals who engage in conduct permitted by state medical-use cannabis laws and who strictly comply with such laws. The court noted that, if the spending bill provision were not continued, prosecutors could enforce against conduct occurring during the statute of limitations even while the provision was previously in force. Other courts that have considered the issue have ruled similarly, although courts disagree about which party bears the burden of proof of showing compliance or noncompliance with state law. Our policies do not prohibit our state-licensed cannabis retailers from engaging in the cannabis business for adult use that is permissible under state and local laws. Consequently, certain of our retailers currently (and may in the future) sell adult-use cannabis, if permitted by such state and local laws now or in the future, and therefore may be outside any protections extended to medical-use cannabis under the spending bill provision. This could subject our clients to greater and/or different federal legal and other risks as compared to businesses where cannabis is sold exclusively for medical use, which could in turn materially adversely affect our business. Furthermore, any change in the federal government’s enforcement posture with respect to state licensed cannabis sales, including the enforcement postures of individual federal prosecutors in judicial districts where we operate, would result in our inability to execute our business plan, and we would likely suffer significant losses with respect to client base, which would adversely affect our operations, cash flow and financial condition.</w:t>
      </w:r>
    </w:p>
    <w:p>
      <w:pPr>
        <w:spacing w:after="0" w:line="68"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Additionally, financial transactions involving proceeds generated by cannabis-related conduct can form the basis for prosecution under the federal money laundering statutes, unlicensed money transmitter statutes and the Bank Secrecy Act of 1970, as amended (the “Bank Secrecy Act”). The penalties for violation of these laws include imprisonment, substantial fines and forfeiture. Prior to the DOJ’s rescission of the Cole Memo, supplemental guidance from the DOJ issued under the Obama Administration directed federal prosecutors to consider the federal enforcement priorities enumerated in the Cole Memo when determining whether to charge institutions or individuals with any of the financial crimes described above based upon cannabis-related activity. With the rescission of the Cole Memo, there is increased uncertainty and added risk that federal law enforcement authorities could seek to pursue money laundering charges against entities or individuals engaged in supporting the cannabis industry.</w:t>
      </w:r>
    </w:p>
    <w:p>
      <w:pPr>
        <w:spacing w:after="0" w:line="58"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Federal prosecutors have significant discretion and no assurance can be given that the federal prosecutor in each judicial district where we operate will not choose to strictly enforce the federal laws governing cannabis production or distribution. Any change in the federal government’s enforcement posture with respect to state-licensed cultivation of cannabis, including the enforcement postures of individual federal prosecutors in judicial districts where we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operate, would result in our inability to execute our business plan, and we would likely suffer significant losses with respect to our investment in cannabis facilities in the United States. Furthermore, following any such change in the federal government’s enforcement position, we could be subject to prosecution, which could lead to imprisonment and/or the imposition of penalties, fines, or forfeiture.</w:t>
      </w:r>
    </w:p>
    <w:p>
      <w:pPr>
        <w:spacing w:after="0" w:line="79"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While President Biden’s campaign position on cannabis falls short of full legalization, he has campaigned on a platform of relaxing enforcement of cannabis proscriptions, including decriminalization generally. According to the Biden campaign website: “A Biden Administration will support the legalization of cannabis for medical purposes and reschedule cannabis as a CSA Schedule II drug so researchers can study its positive and negative impacts. This will include allowing the VA to research the use of medical cannabis to treat veteran-specific health needs.” He has pledged to “decriminalize” cannabis, which could prompt his U.S. Attorney General to issue policy guidance to U.S. Attorneys that they should not enforce federal cannabis prohibition against state law compliant entities and others legally transacting business with them. Indeed, the Biden-Sanders Unity Platform, which was released at the time President Biden won the Democratic Party nomination for President, affirmed that his administration would seek to “[d]ecriminalize marijuana use and legalize marijuana for medical purposes at the federal level;” “allow states to make their own decisions about legalizing recreational use;” and “automatically expunge all past marijuana convictions for use and possession.” Vice President Harris echoed these intentions during the vice presidential debate, saying that “[w]e will decriminalize marijuana and we will expunge the records of those who have been convicted of marijuana[-related offenses].” While President Biden’s promise to decriminalize likely would mean that the federal government would not criminally enforce the Schedule II status against state legal entities, and would expand opportunities for cannabis research in the U.S., the implications of the potential re-scheduling are not entirely clear for state legal commercial cannabis operators.</w:t>
      </w:r>
    </w:p>
    <w:p>
      <w:pPr>
        <w:spacing w:after="0" w:line="6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Although the U.S. Attorney General could issue policy guidance to federal prosecutors that they should not interfere with cannabis businesses operating in compliance with states’ laws, any such guidance would not have the force of law, and could not be enforced by the courts. The President alone cannot legalize medical cannabis, and as states have demonstrated, legalizing medical cannabis can take many different forms. While rescheduling cannabis to the CSA’s Schedule II would ease certain research restrictions, it would not make the state medical or adult-use programs federally legal.</w:t>
      </w:r>
    </w:p>
    <w:p>
      <w:pPr>
        <w:spacing w:after="0" w:line="84"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On January 20, 2021, President Biden formally nominated Merrick Garland to his cabinet as the U.S. Attorney General. Confirmation hearings for Attorney General Garland began on February 22, 2021. On the first date of his confirmation hearing, Attorney General Garland stated that he did not see enforcement of federal cannabis law as a high priority use of resources for the DOJ: “This is a question of the prioritization of our resources and prosecutorial discretion. It does not seem to me a useful use of limited resources that we have, to be pursuing prosecutions in states that have legalized and that are regulating the use of marijuana, either medically or otherwise. I don’t think that’s a useful use. I do think we need to be sure there are no end-runs around the state laws that criminal enterprises are doing. So that kind of enforcement should be continued. But I don’t think it’s a good use of our resources, where states have already authorized. That only confuses people, obviously, within the state.” While the statement is not a promise to avoid federal interference with state cannabis laws, it does signal that the enforcement priorities of DOJ lie elsewhere.</w:t>
      </w:r>
    </w:p>
    <w:p>
      <w:pPr>
        <w:spacing w:after="0" w:line="74"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Furthermore, while industry observers are hopeful that a Democrat-controlled Senate, along with a Biden presidency, will increase the chances of federal cannabis policy reform, such as the Marijuana Opportunity Reinvestment and Expungement Act (“MORE Act”), which was originally co-sponsored by now Vice President Harris in the Senate, or banking reform, such as the SAFE Banking Act, which passed the House of Representatives but has not yet passed the Senate, we cannot provide assurances about the content, timing or chances of passage of a bill legalizing cannabis. Accordingly, we cannot predict the timing of any change in federal law or possible changes in federal enforcement. In the unlikely event that the federal government were to reverse its long-standing hands-off approach to the state legal cannabis markets and start more broadly enforcing federal law regarding cannabis, we would likely be unable to execute our business plan, and our business and financial results would be adversely affected.</w:t>
      </w:r>
    </w:p>
    <w:p>
      <w:pPr>
        <w:spacing w:after="0" w:line="194" w:lineRule="exact"/>
        <w:rPr>
          <w:sz w:val="20"/>
          <w:szCs w:val="20"/>
          <w:color w:val="auto"/>
        </w:rPr>
      </w:pPr>
    </w:p>
    <w:p>
      <w:pPr>
        <w:jc w:val="both"/>
        <w:ind w:left="300" w:right="319"/>
        <w:spacing w:after="0" w:line="375" w:lineRule="auto"/>
        <w:rPr>
          <w:sz w:val="20"/>
          <w:szCs w:val="20"/>
          <w:color w:val="auto"/>
        </w:rPr>
      </w:pPr>
      <w:r>
        <w:rPr>
          <w:rFonts w:ascii="Arial" w:cs="Arial" w:eastAsia="Arial" w:hAnsi="Arial"/>
          <w:sz w:val="15"/>
          <w:szCs w:val="15"/>
          <w:b w:val="1"/>
          <w:bCs w:val="1"/>
          <w:i w:val="1"/>
          <w:iCs w:val="1"/>
          <w:color w:val="auto"/>
        </w:rPr>
        <w:t>Our business and our clients are subject to a variety of U.S. and foreign laws regarding financial transactions related to cannabis, which could subject our clients to legal claims or otherwise adversely affect our business.</w:t>
      </w:r>
    </w:p>
    <w:p>
      <w:pPr>
        <w:spacing w:after="0" w:line="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and our clients are subject to a variety of laws and regulations in the United States regarding financial transactions. Violations of the U.S. anti-money laundering (“AML”) laws require proceeds from enumerated criminal activity, which includes trafficking in cannabis in violation of the CSA. Financial institutions that both we and our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59" w:lineRule="auto"/>
        <w:rPr>
          <w:sz w:val="20"/>
          <w:szCs w:val="20"/>
          <w:color w:val="auto"/>
        </w:rPr>
      </w:pPr>
      <w:r>
        <w:rPr>
          <w:rFonts w:ascii="Arial" w:cs="Arial" w:eastAsia="Arial" w:hAnsi="Arial"/>
          <w:sz w:val="18"/>
          <w:szCs w:val="18"/>
          <w:color w:val="auto"/>
        </w:rPr>
        <w:t>clients rely on are subject to the Bank Secrecy Act, as amended by Title III of the USA Patriot Act. In Canada, the Proceeds of Crime (Money Laundering) and Terrorist Financing Act (Canada), as amended and the rules and regulations thereunder and the Criminal Code (Canada) apply. The penalties for violation of these laws include imprisonment, substantial fines and forfeiture.</w:t>
      </w:r>
    </w:p>
    <w:p>
      <w:pPr>
        <w:spacing w:after="0" w:line="79"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In 2014, the DOJ under the Obama administration directed federal prosecutors to exercise restraint in prosecuting AML violations arising in the state legal cannabis programs and to consider the federal enforcement priorities enumerated in the Cole Memo when determining whether to charge institutions or individuals based upon cannabis-related activity. Around the same time, the Treasury Department issued guidance that clarified how financial institutions can provide services to cannabis-related businesses, consistent with financial institutions’ obligations under the Bank Secrecy Act. Then-Attorney General Sessions’s rescission of the DOJ’s guidance on the state cannabis programs in early 2018 increased uncertainty and heighted the risk that federal law enforcement authorities could seek to pursue money laundering charges against entities, or individuals, engaged in supporting the cannabis industry. On January 31, 2018, the Treasury Department issued additional guidance that the 2014 Guidance would remain in place until further notice, despite the rescission of the DOJ’s earlier guidance memoranda. A detailed description of current U.S. policy and the legal status of cannabis, including President Biden’s stance on cannabis enforcement and current and foreseeable decriminalization and legalization initiatives, can be found in the “U.S. and Territories” section.</w:t>
      </w:r>
    </w:p>
    <w:p>
      <w:pPr>
        <w:spacing w:after="0" w:line="78"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are subject to a variety of laws and regulations in the United States, Canada and elsewhere that prohibit money laundering, including the Proceeds of Crime and Terrorist Financing Act (Canada) and the Money Laundering Control Act (U.S.), as amended, and the rules and regulations thereunder and any related or similar rules, regulations or guidelines issued, administered or enforced by governmental authorities in the United States, Canada or any other jurisdiction in which we have business operations or to which we export our offerings. If any of our clients’ business activities, any dividends or distributions therefrom, or any profits or revenue accruing thereby are found to be in violation of money laundering statutes, our clients could be subject to criminal liability and significant penalties and fines. Any violations of these laws, or allegations of such violations, by our clients could disrupt our operations and involve significant management distraction and expenses. As a result, a significant number of our clients facing money laundering charges could materially affect our business, operations and financial condition. Additionally, proceeds from our clients’ business activities, including payments we have received from those clients, could be subject to seizure or forfeiture if they are found to be illegal proceeds of a crime transmitted in violation of anti-money laundering laws, which could have a material adverse effect on our business. Finally, if any of our clients are found to be violating the above statutes, this could have a material adverse effect on their ability to access or maintain financial services, as discussed in detail below, which could, in turn, have a material adverse effect on our business.</w:t>
      </w:r>
    </w:p>
    <w:p>
      <w:pPr>
        <w:spacing w:after="0" w:line="180"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We are dependent on our banking relations, and we may have difficulty accessing or consistently maintaining banking or other financial services due to our connection with the cannabis industry.</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Although we do not grow or sell cannabis products, our general connection with the cannabis industry may hamper our efforts to do business or establish collaborative relationships with others that may fear disruption or increased regulatory scrutiny of their own activities.</w:t>
      </w:r>
    </w:p>
    <w:p>
      <w:pPr>
        <w:spacing w:after="0" w:line="76"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We are dependent on the banking industry to support the financial functions of our products and solutions. Our business operating functions including payroll for our employees and other expenses are handled which are reliant on traditional banking. Additionally, many of our clients pay us via wire transfer to our bank accounts, or via checks that we deposit into our banks. We require access to banking services for both us and our clients to receive payments in a timely manner. Lastly, to the extent we rely on any lines of credit, these could be affected by our relationships with financial institutions and could be jeopardized if we lose access to a bank account. Important components of our offerings depend on client accounts and relationships, which in turn depend on banking functions. Most federal and federally-insured state banks currently do not serve businesses that grow and sell cannabis products on the stated ground that growing and selling cannabis is illegal under federal law, even though the Treasury Department’s Financial Crimes Enforcement Network (“FinCEN”), issued guidelines to banks in February 2014 that clarified how financial institutions can provide services to cannabis-related businesses, consistent with financial institutions’ obligations under the Bank Secrecy Act. While the federal government has generally not initiated financial crimes prosecutions against state-law compliant cannabis companies or their vendors, the government theoretically could, at least against companies in the adult-use markets. The continued uncertainty surrounding financial transactions related to cannabis activities and the subsequent risks this uncertainty presents to financial institutions may result in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their discontinuing services to the cannabis industry or limit their ability to provide services to the cannabis industry or ancillary businesses providing services to the cannabis industry.</w:t>
      </w:r>
    </w:p>
    <w:p>
      <w:pPr>
        <w:spacing w:after="0" w:line="62"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As a result of federal-level illegality and the risk that providing services to state-licensed cannabis businesses poses to banks, cannabis-related businesses face difficulties accessing banks that will provide services to them. When cannabis businesses are able to find a bank that will provide services, they face extensive client due diligence in light of complex state regulatory requirements and guidance from FinCEN, and these reviews may be time-consuming and costly, potentially creating additional barriers to financial services for, and imposing additional compliance requirements on, us and our clients. FinCEN requires a party in trade or business to file with the U.S. Internal Revenue Service (“IRS”), a Form 8300 report within 15 days of receiving a cash payment of over $10,000. While we receive very few cash payments for the products we sell, if we fail to comply with these laws and regulations, the imposition of a substantial penalty could have a material adverse effect on our business, results of operations and financial condition. We cannot assure that our strategies and techniques for designing our products and solutions for our clients will operate effectively and efficiently and not be adversely impacted by any refusal or reluctance of banks to serve businesses that grow and sell cannabis products. A change in banking regulations or a change in the position of the banking industry that permits banks to serve businesses that grow and sell cannabis products may increase competition for us, facilitate new entrants into the industry offering products or solutions similar to those that we offer, or otherwise adversely affect our results of operations. Also, the inability of potential clients in our target market to open accounts and otherwise use the services of banks or other financial institutions may make it difficult for us to conduct business, including receiving payments in a timely manner.</w:t>
      </w:r>
    </w:p>
    <w:p>
      <w:pPr>
        <w:spacing w:after="0" w:line="66"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We do not sell cannabis, or products that contain cannabis; accordingly, our company is not part of the cannabis industry that would be restricted from using federal and federally insured banks. However, because of “weed” in our name and the fact that our revenue is generated largely from companies licensed as operators in the cannabis industry, banks have and may continue to consider us to be part of the cannabis industry that is subject to banking restrictions. If we were to lose any of our banking relationships or fail to secure additional banking relationships in the future, we could experience difficulty and incur increased costs in the administration of our business, paying our employees, accepting payments from clients, each of which may adversely affect our reputation or results of operations. Additionally, the closure of many or one of our bank accounts due to a bank’s reluctance to provide services to a business working with state legal cannabis businesses would require significant management attention from us and could materially adversely affect our business and operations. In addition to banks and financial institutions, merchant processors may take a similar view of the risks of working with us since we provide services to cannabis businesses, and loss of any of our merchant processor relationships could have similar results. Moreover, Visa reportedly prohibits processing of transactions involving cannabis on its network, and Mastercard has reportedly stated that it is evaluating the inconsistency between U.S. state and federal cannabis law. In October 2020, we responded to an inquiry from certain of our merchant processors on behalf of Mastercard relating to the applicability of U.S. state and federal law to our services, including our WM Orders services. Although consumers cannot currently purchase products on the Weedmaps marketplace and we do not currently use, nor have we historically used, any of our merchant processing relationships to process payments for cannabis transactions, to the extent Visa or Mastercard extend these restrictions to cannabis-related businesses, our merchant processing relationships could be terminated, or we could be prevented from processing any Visa or Mastercard transactions, which could have a material adverse effect on our business and results of operations.</w:t>
      </w:r>
    </w:p>
    <w:p>
      <w:pPr>
        <w:spacing w:after="0" w:line="180"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Participating in transactions involving proceeds derived from cannabis may constitute criminal money laundering.</w:t>
      </w:r>
    </w:p>
    <w:p>
      <w:pPr>
        <w:spacing w:after="0" w:line="62"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Participating in transactions involving proceeds derived from cannabis may constitute criminal money laundering. It is a federal crime to engage in certain transactions involving the proceeds of a “specified unlawful activity” (a “SUA”) when those transactions are designed to promote an underlying SUA, or conceal the source of the funds. Violations of the CSA and violations of a state’s laws may be deemed to be SUAs. In the event that any of our investments, or any proceeds thereof, any dividends or distributions therefrom, or any profits or revenues were found to be in violation of anti-money laundering legislation or otherwise, such transactions may be viewed as proceeds of crime under one or more of statutes of the United States or any other applicable jurisdiction. This could restrict or otherwise jeopardize our ability to declare or pay dividends, effect other distributions, or subsequently require us to repatriate such funds back to the United States from Canada or other foreign jurisdictions.</w:t>
      </w:r>
    </w:p>
    <w:p>
      <w:pPr>
        <w:spacing w:after="0" w:line="58"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If any of our clients’ business activities, any dividends or distributions therefrom, or any profits or revenue accruing thereby are found to be in violation of money laundering statutes, we and our investors could be subject to</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criminal liability and significant penalties and fines. Any violations of these laws, or allegations of such violations could disrupt our operations and involve significant management distraction and expenses. Facing money laundering charges could materially affect our business, operations and financial condition. Additionally, proceeds from our clients’ business activities, if found to be in violation of anti-money laundering laws, could subject payments we have received from those clients to seizure or forfeiture, if they are found to be illegal proceeds of a crime committed by a client, which could have a material adverse effect on our business and our investors. Finally, if we or any of our clients are found to be violating the above statutes, this could have a material adverse effect on our ability to access or maintain financial services, as discussed in detail below, which could, in turn, have a material adverse effect on our business.</w:t>
      </w:r>
    </w:p>
    <w:p>
      <w:pPr>
        <w:spacing w:after="0" w:line="316"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We may have difficulty using bankruptcy courts due to our involvement in the regulated cannabis industry.</w:t>
      </w:r>
    </w:p>
    <w:p>
      <w:pPr>
        <w:spacing w:after="0" w:line="140"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We currently have no need or plans to seek bankruptcy protection. U.S. courts have held that debtors whose income is derived from cannabis or cannabis assets in violation of the CSA cannot seek federal bankruptcy protections. Although we are not in the business of growing or processing cannabis or selling or even possessing cannabis or cannabis products, a U.S. court could determine that our revenue is derived from cannabis or cannabis assets and prevent us from obtaining bankruptcy protections if necessary.</w:t>
      </w:r>
    </w:p>
    <w:p>
      <w:pPr>
        <w:spacing w:after="0" w:line="31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conduct of third parties may jeopardize our business.</w:t>
      </w:r>
    </w:p>
    <w:p>
      <w:pPr>
        <w:spacing w:after="0" w:line="117"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cannot guarantee that our systems, protocols, and practices will prevent all unauthorized or illegal activities by our clients. Our success depends in part on our clients’ ability to operate consistently with the regulatory and licensing requirements of each state, local, and regional jurisdiction in which they operate. We have a dedicated Trust and Safety team that reviews cannabis license information for operational cannabis retail clients, both on submission and on an ongoing basis, to ensure validity and accuracy. We require all operational cannabis retailer clients, including storefronts and delivery services, to display on their WMH listing a valid, unexpired state-issued license number. For certain of our products or services, we request additional verification and documentation. We cannot ensure that the conduct of our clients, who are third parties, and their actions could expose them to legal sanctions and costs, which would in turn, adversely affect our business and operations.</w:t>
      </w:r>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conduct of third parties may jeopardize our regulatory compliance.</w:t>
      </w:r>
    </w:p>
    <w:p>
      <w:pPr>
        <w:spacing w:after="0" w:line="117"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While we are a technology company, not a cannabis licensee, and as such, are not subject to commercial cannabis regulations that apply to cannabis operators, we cannot guarantee that our systems, protocols, and practices will prevent any and all unauthorized or illegal activities by our clients. Our success depends in part on our clients’ ability to operate consistently with the regulatory and licensing requirements of each state, local, and regional jurisdiction in which they operate. Despite the procedures and protocols in place for license verification by our Trust</w:t>
      </w:r>
    </w:p>
    <w:p>
      <w:pPr>
        <w:spacing w:after="0" w:line="2" w:lineRule="exact"/>
        <w:rPr>
          <w:sz w:val="20"/>
          <w:szCs w:val="20"/>
          <w:color w:val="auto"/>
        </w:rPr>
      </w:pPr>
    </w:p>
    <w:p>
      <w:pPr>
        <w:jc w:val="both"/>
        <w:ind w:left="300" w:right="299" w:hanging="8"/>
        <w:spacing w:after="0" w:line="302" w:lineRule="auto"/>
        <w:tabs>
          <w:tab w:leader="none" w:pos="488" w:val="left"/>
        </w:tabs>
        <w:numPr>
          <w:ilvl w:val="0"/>
          <w:numId w:val="15"/>
        </w:numPr>
        <w:rPr>
          <w:rFonts w:ascii="Arial" w:cs="Arial" w:eastAsia="Arial" w:hAnsi="Arial"/>
          <w:sz w:val="16"/>
          <w:szCs w:val="16"/>
          <w:color w:val="auto"/>
        </w:rPr>
      </w:pPr>
      <w:r>
        <w:rPr>
          <w:rFonts w:ascii="Arial" w:cs="Arial" w:eastAsia="Arial" w:hAnsi="Arial"/>
          <w:sz w:val="16"/>
          <w:szCs w:val="16"/>
          <w:color w:val="auto"/>
        </w:rPr>
        <w:t>Safety team, any non-compliance by our clients could put our business at risk, as discussed herein, and could also subject us to potential actions by state regulators, to the extent they could be applied to technology service providers, which could materially adversely affect our business, operations, financial condition, brand, and reputation.</w:t>
      </w:r>
    </w:p>
    <w:p>
      <w:pPr>
        <w:spacing w:after="0" w:line="290" w:lineRule="exact"/>
        <w:rPr>
          <w:sz w:val="20"/>
          <w:szCs w:val="20"/>
          <w:color w:val="auto"/>
        </w:rPr>
      </w:pPr>
    </w:p>
    <w:p>
      <w:pPr>
        <w:jc w:val="both"/>
        <w:ind w:left="300" w:right="299"/>
        <w:spacing w:after="0" w:line="342" w:lineRule="auto"/>
        <w:rPr>
          <w:sz w:val="20"/>
          <w:szCs w:val="20"/>
          <w:color w:val="auto"/>
        </w:rPr>
      </w:pPr>
      <w:r>
        <w:rPr>
          <w:rFonts w:ascii="Arial" w:cs="Arial" w:eastAsia="Arial" w:hAnsi="Arial"/>
          <w:sz w:val="16"/>
          <w:szCs w:val="16"/>
          <w:b w:val="1"/>
          <w:bCs w:val="1"/>
          <w:i w:val="1"/>
          <w:iCs w:val="1"/>
          <w:color w:val="auto"/>
        </w:rPr>
        <w:t>FDA regulation of adult-use and medical-use cannabis, as well as e-cigarettes and other vaping products, could negatively affect the cannabis industry, which would directly affect our financial condition.</w:t>
      </w:r>
    </w:p>
    <w:p>
      <w:pPr>
        <w:spacing w:after="0" w:line="1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Should the federal government legalize cannabis for adult-use and/or medical-use, it is possible that the U.S. Food and Drug Administration (the “FDA”) would seek to regulate it under the Food, Drug and Cosmetics Act of 1938, as it has with federally legal hemp. Additionally, the FDA may issue rules and regulations including certified good manufacturing practices related to the growth, cultivation, harvesting and processing of adult-use and medical-use cannabis. Clinical trials may be needed to verify efficacy and safety. It is also possible that the FDA would require that facilities where adult-use and medical-use cannabis is grown register with the FDA and comply with certain federally prescribed regulations.</w:t>
      </w:r>
    </w:p>
    <w:p>
      <w:pPr>
        <w:spacing w:after="0" w:line="8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In addition, as a result of the recent lung injuries and deaths associated with e-cigarettes and other vaping products, the FDA and the U.S. Centers for Disease Control and Prevention (the “CDC”) have warned consumers not to use vaping products containing tetrahydrocannabinol (“THC”). While the FDA and the CDC continue to conduct ongoing investigations, it is currently unknown when and whether the FDA will impose additional rules and regulations on e-cigarettes and other vaping products.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In the event that some or all of these regulations are imposed, we do not know what the impact would be on the adult-use and medical-use cannabis industry, including what costs, requirements and possible prohibitions may be enforced. If our clients are unable to comply with any new rules, regulations or registration as prescribed by the FDA, or are unable to do so in a cost-effective manner, our clients may be unable to continue to operate their respective business in its current form, or at all, which may also result in our clients being unable to continue engaging our technology services.</w:t>
      </w:r>
    </w:p>
    <w:p>
      <w:pPr>
        <w:spacing w:after="0" w:line="354"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We believe that Section 230(c)(1) of the Communications Decency Act (“CDA”) provides immunity from civil and state criminal liability, but it is possible that it does not.</w:t>
      </w:r>
    </w:p>
    <w:p>
      <w:pPr>
        <w:spacing w:after="0" w:line="62"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We believe that Section 230(c)(1)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site, such as WM News, WM Learn and WM Policy. All of these sections are general news and information, and none of these sections are advertisements for, or listing pages of, cannabis businesses, except in limited circumstances related to descriptions of certain cannabis strains. For additional information about Section 230, see the section captioned “Risk Factors—Risks Related to our Business and Industry.” Our clients are subject to licensing and related requirements under applicable laws and regulations, and our own compliance policies, and some of our clients currently and in the future may not be in compliance with all such requirements. Despite our belief that we are protected by Section 230, it is possible that we are not, which would subject us to legal, business, and operational risks. In addition, there have been various Congressional efforts to restrict the scope of the protections available to online platforms under Section 230 of the CDA, and our current protections from liability for third-party content in the United States could decrease or change. We could incur significant costs investigating and defending such claims and, if we are found liable, significant damages. We could also face fines or orders restricting or blocking our services in particular geographies as a result of content hosted on our services. For example, recently enacted legislation in Germany may impose significant fines for failure to comply with certain content removal and disclosure obligations.</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We may continue to be subject to constraints on marketing our products.</w:t>
      </w:r>
    </w:p>
    <w:p>
      <w:pPr>
        <w:spacing w:after="0" w:line="11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Certain of the states in which we operate have enacted strict regulations regarding marketing and sales activities on cannabis products, which could affect our cannabis retail clients’ demand for our listing and marketing services. There may be restrictions on sales and marketing activities of cannabis businesses imposed by government regulatory bodies that can hinder the development of our business and operating results because of the restrictions our clients face. If our clients are unable to effectively market our products and compete for market share, or if the costs of compliance with government legislation and regulation cannot be absorbed through increased selling prices for our products for our clients, this could hamper demand for our products and services from licensed cannabis retailers, which could result in a loss of revenue.</w:t>
      </w: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Cannabis businesses are subject to unfavorable U.S. tax treatment.</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Section 280E of the Internal Revenue Code (“Code”) does not allow any deduction or credit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beyond costs of goods sold and asserting assessments and penalties for additional taxes owed. Section 280E may have a lesser impact on cannabis cultivation and manufacturing operations than on sales operations, which directly affects our clients, who are cannabis retailers. However, Section 280E and related IRS enforcement activity have had a significant impact on the operations of all cannabis companies. While the Section does not directly affect our Company, it lowers our clients’ profitability, and could result in decreased demand for our listing and marketing services. An otherwise profitable cannabis business may operate at a loss after taking into account its U.S. income tax expenses. This affects us because our sales and operating results could be adversely affected if our clients decrease their marketing budgets and are operating on lower profit margins as a result of unfavorable treatment by the Code.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Service providers to cannabis businesses may also be subject to unfavorable U.S. tax treatment.</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As discussed above, under Section 280E of the Code, no deduction or credit is allowed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and asserting assessments and penalties for additional taxes owed. While we do believe that Section 280E does not apply to our business, or ancillary service providers that work with state-licensed cannabis businesses, if the IRS interprets the section to apply, it would significantly and materially affect our profitability and financial condition. The MORE Act, which was passed by the House of Representatives but did not become law in the 116th Congress and has not yet been reintroduced into the 117th, would remove marijuana from the CSA, which would effectively carve out state-legal cannabis businesses from Section 280E of the Code.</w:t>
      </w:r>
    </w:p>
    <w:p>
      <w:pPr>
        <w:spacing w:after="0" w:line="74"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MORE Act would impose two new taxes on cannabis businesses: an excise tax measured by the value of certain cannabis products and an occupational tax assessed on the enterprises engaging in cannabis production and sales. Although these novel tax provisions are included in the MORE Act passed by the House of Representatives, it is challenging to predict whether, when, and in what form the MORE Act could be enacted into law and how any such legislation would affect our activities.</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Cannabis businesses may be subject to civil asset forfeiture.</w:t>
      </w:r>
    </w:p>
    <w:p>
      <w:pPr>
        <w:spacing w:after="0" w:line="117"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Any property owned by participants in the cannabis industry used in the course of conducting such business, or that represents proceeds of such business or is traceable to proceeds of such business, could be subject to seizure by law enforcement and subsequent civil asset forfeiture because of the illegality of the cannabis industry under federal law. Even if the owner of the property or the assets is never charged with a crime, the property in question could still be seized and subject to an administrative proceeding by which, with minimal due process, it could be subject to forfeiture. Forfeiture of assets of our cannabis business clients could adversely affect our revenues if it impedes their profitability or operations and our clients’ ability to continue to subscribe to our services.</w:t>
      </w:r>
    </w:p>
    <w:p>
      <w:pPr>
        <w:spacing w:after="0" w:line="166" w:lineRule="exact"/>
        <w:rPr>
          <w:sz w:val="20"/>
          <w:szCs w:val="20"/>
          <w:color w:val="auto"/>
        </w:rPr>
      </w:pPr>
    </w:p>
    <w:p>
      <w:pPr>
        <w:jc w:val="both"/>
        <w:ind w:left="300" w:right="319"/>
        <w:spacing w:after="0" w:line="375" w:lineRule="auto"/>
        <w:rPr>
          <w:sz w:val="20"/>
          <w:szCs w:val="20"/>
          <w:color w:val="auto"/>
        </w:rPr>
      </w:pPr>
      <w:r>
        <w:rPr>
          <w:rFonts w:ascii="Arial" w:cs="Arial" w:eastAsia="Arial" w:hAnsi="Arial"/>
          <w:sz w:val="15"/>
          <w:szCs w:val="15"/>
          <w:b w:val="1"/>
          <w:bCs w:val="1"/>
          <w:i w:val="1"/>
          <w:iCs w:val="1"/>
          <w:color w:val="auto"/>
        </w:rPr>
        <w:t>Due to our involvement in the cannabis industry, we may have a difficult time obtaining the various insurances that are desired to operate our business, which may expose us to additional risk and financial liability.</w:t>
      </w:r>
    </w:p>
    <w:p>
      <w:pPr>
        <w:spacing w:after="0" w:line="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Insurance that is otherwise readily available, such as general liability and directors’ and officers’ insurance, is more difficult for us to find and is more expensive or contains significant exclusions because our clients are cannabis industry participants. There are no guarantees that we will be able to find such insurance coverage in the future or that the cost will be affordable to us. If we are forced to go without such insurance coverage, it may prevent us from entering into certain business sectors, may inhibit our growth, and may expose us to additional risk and financial liabilities. If we experience an uninsured loss, it may result in loss of anticipated cash flow and could materially adversely affect our results of operations, financial condition, and business.</w:t>
      </w:r>
    </w:p>
    <w:p>
      <w:pPr>
        <w:spacing w:after="0" w:line="24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There may be difficulty enforcing certain of our commercial agreements and contracts.</w:t>
      </w:r>
    </w:p>
    <w:p>
      <w:pPr>
        <w:spacing w:after="0" w:line="11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Courts will not enforce a contract deemed to involve a violation of law or public policy. Because cannabis remains illegal under U.S. federal law, parties to contracts involving the state legal cannabis industry have argued that the agreement was void as federally illegal or against public policy. Some courts have accepted this argument in certain cases, usually against the company trafficking in cannabis. While courts have enforced contracts related to activities by state-legal cannabis companies, and the trend is generally to enforce contracts with state-legal cannabis companies and their vendors, there remains doubt and uncertainty that we will be able to enforce our commercial agreements in court for this reason. We cannot be assured that we will have a remedy for breach of contract, which would have a material adverse effect on our business.</w:t>
      </w:r>
    </w:p>
    <w:p>
      <w:pPr>
        <w:spacing w:after="0" w:line="246"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We may be subject to Telephone Consumer Protections Act (TCPA) risks for our communications with consumers.</w:t>
      </w:r>
    </w:p>
    <w:p>
      <w:pPr>
        <w:spacing w:after="0" w:line="62"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Our acquisitions of Cannveya and Sprout will continue to put us directly into contact with consumers and their data. Additionally, we are exploring products for our WM Business customers that would permit them to directly contact consumers. The Telephone Consumer Protections Act (TCPA) restricts calls or text messages to cellphones made using an “automatic telephone dialing system” without first obtaining the prior express consent of the called or texted party, in addition to other restrictions on contacting customers directly. Cannveya provides a means for our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clients to communicate directly with their customers, and may expose us to potential lawsuits under the TCPA, if those third party clients do not adhere to TCPA restrictions. Even if the third party clients do adhere to the TCPA, we still run the risk of private lawsuits against us. While we have in place systems and policies for TCPA compliance, our direct communications with consumers (including on behalf of our clients) may put us at risk of a TCPA lawsuit.</w:t>
      </w:r>
    </w:p>
    <w:p>
      <w:pPr>
        <w:spacing w:after="0" w:line="157"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Certain of our directors, officers, employees and investors who are not U.S. citizens may face constraints on cross-border travel into the United States.</w:t>
      </w:r>
    </w:p>
    <w:p>
      <w:pPr>
        <w:spacing w:after="0" w:line="62"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Because cannabis remains illegal under U.S. federal law, non-U.S. citizens employed at or investing in companies doing business in the state legal cannabis industry could face detention, denial of entry or lifetime bans from the United States for their business associations with cannabis businesses. Entry to the United States happens at the sole discretion of the officers on duty of the U.S. Customs and Border Protection (“CBP”), and these officers have wide latitude to ask questions to determine the admissibility of a foreign national. The government of Canada has started warning travelers on its website that previous use of cannabis, or any substance prohibited by U.S. federal laws, could mean denial of entry to the United States. Business or financial involvement in the legal cannabis industry in Canada or in the United States could also be grounds for U.S. border guards to deny entry. On September 21, 2018, CBP released a statement outlining its current position with respect to enforcement of the laws of the United States. It stated that Canada’s legalization of cannabis will not change CBP enforcement of U.S. laws regarding controlled substances and because cannabis continues to be a controlled substance under U.S. federal law, working in or facilitating the proliferation of the legal marijuana industry in U.S. states where it is deemed legal or in Canada may affect admissibility to the United States. CBP updated its stated policy on October 9, 2018 to clarify that a Canadian citizen coming to the United States for reasons unrelated to the cannabis industry will generally be admissible to the United States.</w:t>
      </w:r>
    </w:p>
    <w:p>
      <w:pPr>
        <w:spacing w:after="0" w:line="74"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As a result, CBP has affirmed that employees, directors, officers, managers and investors of companies involved in business activities related to cannabis in the United States or Canada (such as us), who are not U.S. citizens, face the risk of being barred from entry into the United States for life. On October 9, 2018, CBP released an additional policy statement indicating that Canadian citizens working in or facilitating the proliferation of the legal cannabis industry in Canada, if travelling to the United States for reasons unrelated to the cannabis industry, will generally be admissible. However, if the traveler is found to be entering into the United States for reasons related to the cannabis industry, he or she may be deemed inadmissible. Ultimately, travel restrictions imposed on our directors, officers, employees and investors could impair our ability to conduct business and to freely explore new strategic relationships.</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Ownership of Our Securities</w:t>
      </w:r>
    </w:p>
    <w:p>
      <w:pPr>
        <w:spacing w:after="0" w:line="12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Concentration of ownership among our existing executive officers, directors and their respective affiliates may prevent new investors from influencing significant corporate decisions.</w:t>
      </w:r>
    </w:p>
    <w:p>
      <w:pPr>
        <w:spacing w:after="0" w:line="62"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As of December 31, 2021, our affiliates, executive officers, directors and their respective affiliates as a group beneficially own approximately 45.9% of our outstanding Common Stock. As a result, these stockholders are able to exercise a significant level of control over all matters requiring stockholder approval, including the election of directors, amendment of our Certificate of Incorporation and approval of significant corporate transactions. This control could have the effect of delaying or preventing a change of control of us or changes in management and will make the approval of certain transactions difficult or impossible without the support of these stockholders.</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We do not expect to declare any dividends in the foreseeable future.</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do not anticipate declaring any cash dividends to holders of Class A Common Stock in the foreseeable future. Consequently, investors may need to rely on sales of their shares after price appreciation, which may never occur, as the only way to realize any future gains on their investment.</w:t>
      </w:r>
    </w:p>
    <w:p>
      <w:pPr>
        <w:spacing w:after="0" w:line="184"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Our Certificate of Incorporation designates specific courts as the exclusive forum for certain stockholder litigation matters, which could limit the ability of our stockholders to obtain a favorable forum for disputes with us or our directors, officers or employees.</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Our Certificate of Incorporation requires, to the fullest extent permitted by law, that derivative actions brought in our name, actions against current or former directors, officers or other employees for breach of fiduciary duty, other similar actions, any other action as to which the DGCL confers jurisdiction to the Court of Chancery of the State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Delaware and any action or proceeding concerning the validity of our Certificate of Incorporation or our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unless we consent in writing to the selection of an alternative forum. This provision would not apply to suits brought to enforce a duty or liability created by the Exchange Act or any other claim for which the federal courts have exclusive jurisdiction. Our Certificate of Incorporation also provides that, unless we consent in writing to the selection of an alternative forum, the federal district courts of the U.S. shall be the exclusive forum for the resolution of any complaint asserting a cause of action arising under the Securities Act. This provision may limit our stockholder’s ability to bring a claim in a judicial forum that it finds favorable for disputes with us and our directors, officers or other employees and may have the effect of discouraging lawsuits against our directors, officers and other employees. Furthermore, our stockholders may be subject to increased costs to bring these claims, and the exclusive forum provision could have the effect of discouraging claims or limiting investors’ ability to bring claims in a judicial forum that they find favorable.</w:t>
      </w:r>
    </w:p>
    <w:p>
      <w:pPr>
        <w:spacing w:after="0" w:line="76"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 In March 2020, the Delaware Supreme Court issued a decision in Salzburg et al. v. Sciabacucchi, which found that an exclusive forum provision providing for claims under the Securities Act to be brought in federal court is facially valid under Delaware law. We intend to enforce this provision, but we do not know whether courts in other jurisdictions will agree with this decision or enforce it. If a court were to find the exclusive forum provision contained in our Certificate of Incorporation to be inapplicable or unenforceable in an action, we may incur additional costs associated with resolving such action in other jurisdictions, which could harm our business, prospects, financial condition and operating results.</w:t>
      </w:r>
    </w:p>
    <w:p>
      <w:pPr>
        <w:spacing w:after="0" w:line="185"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There is no guarantee that the Warrants will be in the money at the time they become exercisable, and they may expire worthless.</w:t>
      </w:r>
    </w:p>
    <w:p>
      <w:pPr>
        <w:spacing w:after="0" w:line="62"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exercise price for our Warrants is $11.50 per share of Class A Common Stock. There is no guarantee that the Warrants will be in the money following the time they become exercisable and prior to their expiration, and as such, the warrants may expire worthless.</w:t>
      </w:r>
    </w:p>
    <w:p>
      <w:pPr>
        <w:spacing w:after="0" w:line="184"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b w:val="1"/>
          <w:bCs w:val="1"/>
          <w:i w:val="1"/>
          <w:iCs w:val="1"/>
          <w:color w:val="auto"/>
        </w:rPr>
        <w:t>We may amend the terms of the Warrants in a manner that may be adverse to holders with the approval by the holders of at least 50% of the then-outstanding Public Warrants. As a result, the exercise price of your Warrants could be increased, the exercise period could be shortened and the number of shares of our Class A Common Stock purchasable upon exercise of a Warrant could be decreased, all without your approval.</w:t>
      </w:r>
    </w:p>
    <w:p>
      <w:pPr>
        <w:spacing w:after="0" w:line="4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Our Warrants are issued in registered form under the Warrant Agreement between the Warrant Agent and us. The Warrant Agreement provides that the terms of the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of Public Warrant.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Warrants, convert the Warrants into cash or stock (at a ratio different than initially provided), shorten the exercise period or decrease the number of shares of our Class A Common Stock purchasable upon exercise of a Warrant.</w:t>
      </w:r>
    </w:p>
    <w:p>
      <w:pPr>
        <w:spacing w:after="0" w:line="182"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We may redeem unexpired Warrants prior to their exercise at a time that is disadvantageous to warrantholders, thereby making such Warrants worthless.</w:t>
      </w:r>
    </w:p>
    <w:p>
      <w:pPr>
        <w:spacing w:after="0" w:line="62"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have the ability to redeem outstanding Warrants at any time after they become exercisable and prior to their expiration, at a price of $0.01 per Warrant, provided that the last reported sales price of our Class A Common Stock equals or exceeds $18.00 per share (as adjusted for stock splits, stock dividends, reorganizations, recapitalizations and the like) for any 20 trading days within a 30 trading-day period ending on the third trading day prior to the date on which we give proper notice of such redemption and provided certain other conditions are met. If and when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Warrants become redeemable by us, we may exercise our redemption right even if we are unable to register or qualify the underlying securities for sale under all applicable state securities laws. Redemption of the outstanding Warrants could force you (a) to exercise your Warrants and pay the exercise price therefor at a time when it may be disadvantageous for you to do so, (b) to sell your Warrants at the then-current market price when you might otherwise wish to hold your Warrants or (c) to accept the nominal redemption price which, at the time the outstanding Warrants are called for redemption, is likely to be substantially less than the market value of your Warrants.</w:t>
      </w:r>
    </w:p>
    <w:p>
      <w:pPr>
        <w:spacing w:after="0" w:line="8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In addition, we may redeem your Warrants after they become exercisable for a number of shares of Class A Common Stock determined based on the redemption date and the fair market value of our Class A Common Stock. Any such redemption may have similar consequences to a cash redemption described above. In addition, such redemption may occur at a time when the Warrants are “out-of-the-money,” in which case, you would lose any potential embedded value from a subsequent increase in the value of our Class A Common Stock had your Warrants remained outstanding.</w:t>
      </w:r>
    </w:p>
    <w:p>
      <w:pPr>
        <w:spacing w:after="0" w:line="354" w:lineRule="exact"/>
        <w:rPr>
          <w:sz w:val="20"/>
          <w:szCs w:val="20"/>
          <w:color w:val="auto"/>
        </w:rPr>
      </w:pPr>
    </w:p>
    <w:p>
      <w:pPr>
        <w:jc w:val="both"/>
        <w:ind w:left="300" w:right="319"/>
        <w:spacing w:after="0" w:line="286" w:lineRule="auto"/>
        <w:rPr>
          <w:sz w:val="20"/>
          <w:szCs w:val="20"/>
          <w:color w:val="auto"/>
        </w:rPr>
      </w:pPr>
      <w:r>
        <w:rPr>
          <w:rFonts w:ascii="Arial" w:cs="Arial" w:eastAsia="Arial" w:hAnsi="Arial"/>
          <w:sz w:val="17"/>
          <w:szCs w:val="17"/>
          <w:b w:val="1"/>
          <w:bCs w:val="1"/>
          <w:i w:val="1"/>
          <w:iCs w:val="1"/>
          <w:color w:val="auto"/>
        </w:rPr>
        <w:t>If securities or industry analysts do not publish or cease publishing research or reports about us, our business or our market, or if they change their recommendations regarding our Class A Common Stock adversely, the price and trading volume of our Class A Common Stock could decline.</w:t>
      </w:r>
    </w:p>
    <w:p>
      <w:pPr>
        <w:spacing w:after="0" w:line="5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trading market for our Class A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the price of our Class A Common Stock would likely decline. If any analyst who may cover us were to cease their coverage or fail to regularly publish reports on us, we could lose visibility in the financial markets, which could cause our stock price or trading volume to decline.</w:t>
      </w:r>
    </w:p>
    <w:p>
      <w:pPr>
        <w:spacing w:after="0" w:line="313"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b w:val="1"/>
          <w:bCs w:val="1"/>
          <w:i w:val="1"/>
          <w:iCs w:val="1"/>
          <w:color w:val="auto"/>
        </w:rPr>
        <w:t>A significant portion of our total outstanding shares of our Class A Common Stock are restricted from immediate resale but may be sold into the market in the near future. This could cause the market price of our Class A Common Stock to drop significantly, even if our business is doing well.</w:t>
      </w:r>
    </w:p>
    <w:p>
      <w:pPr>
        <w:spacing w:after="0" w:line="5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 We are unable to predict the effect that sales may have on the prevailing market price of our Class A Common Stock and the public warrants originally issued in the initial public offering of Silver Spike (the “Public Warrants”).</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To the extent our Warrants are exercised, additional shares of our Class A Common Stock will be issued, which will result in dilution to the holders of our Class A Common Stock and increase the number of shares eligible for resale in the public market. Sales, or the potential sales, of substantial numbers of shares in the public market by the Selling Securityholders, subject to certain restrictions on transfer until the termination of applicable lock-up periods, could increase the volatility of the market price of our Class A Common Stock or adversely affect the market price of our Class A Common Stock.</w:t>
      </w:r>
    </w:p>
    <w:p>
      <w:pPr>
        <w:spacing w:after="0" w:line="341" w:lineRule="exact"/>
        <w:rPr>
          <w:sz w:val="20"/>
          <w:szCs w:val="20"/>
          <w:color w:val="auto"/>
        </w:rPr>
      </w:pPr>
    </w:p>
    <w:p>
      <w:pPr>
        <w:jc w:val="both"/>
        <w:ind w:left="300" w:right="319"/>
        <w:spacing w:after="0" w:line="375" w:lineRule="auto"/>
        <w:rPr>
          <w:sz w:val="20"/>
          <w:szCs w:val="20"/>
          <w:color w:val="auto"/>
        </w:rPr>
      </w:pPr>
      <w:r>
        <w:rPr>
          <w:rFonts w:ascii="Arial" w:cs="Arial" w:eastAsia="Arial" w:hAnsi="Arial"/>
          <w:sz w:val="15"/>
          <w:szCs w:val="15"/>
          <w:b w:val="1"/>
          <w:bCs w:val="1"/>
          <w:i w:val="1"/>
          <w:iCs w:val="1"/>
          <w:color w:val="auto"/>
        </w:rPr>
        <w:t>We may issue additional shares of Class A Common Stock or preferred stock, including under our equity incentive plan. Any such issuances would dilute the interest of our stockholders and likely present other risks.</w:t>
      </w:r>
    </w:p>
    <w:p>
      <w:pPr>
        <w:spacing w:after="0" w:line="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may issue a substantial number of additional shares of Class A Common Stock or preferred stock, including under our equity incentive plan. Any such issuances of additional shares of Class A Common Stock or preferred stock:</w:t>
      </w:r>
    </w:p>
    <w:p>
      <w:pPr>
        <w:spacing w:after="0" w:line="76" w:lineRule="exact"/>
        <w:rPr>
          <w:sz w:val="20"/>
          <w:szCs w:val="20"/>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may significantly dilute the equity interests of our investors;</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may subordinate the rights of holders of Class A Common Stock if preferred stock is issued with rights senior to those afforded our Class A Common Stock;</w:t>
      </w:r>
    </w:p>
    <w:p>
      <w:pPr>
        <w:spacing w:after="0" w:line="62"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could cause a change in control if a substantial number of shares of our Class A Common Stock are issued, which may affect, among other things, our ability to use our net operating loss carry forwards, if any, and could result in the resignation or removal of our present officers and directors; and</w:t>
      </w:r>
    </w:p>
    <w:p>
      <w:pPr>
        <w:spacing w:after="0" w:line="57" w:lineRule="exact"/>
        <w:rPr>
          <w:rFonts w:ascii="Arial" w:cs="Arial" w:eastAsia="Arial" w:hAnsi="Arial"/>
          <w:sz w:val="17"/>
          <w:szCs w:val="17"/>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Common Stock and/or Warrants.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77" w:lineRule="auto"/>
        <w:rPr>
          <w:sz w:val="20"/>
          <w:szCs w:val="20"/>
          <w:color w:val="auto"/>
        </w:rPr>
      </w:pPr>
      <w:r>
        <w:rPr>
          <w:rFonts w:ascii="Arial" w:cs="Arial" w:eastAsia="Arial" w:hAnsi="Arial"/>
          <w:sz w:val="18"/>
          <w:szCs w:val="18"/>
          <w:b w:val="1"/>
          <w:bCs w:val="1"/>
          <w:i w:val="1"/>
          <w:iCs w:val="1"/>
          <w:color w:val="auto"/>
        </w:rPr>
        <w:t>The trading price of our Class A Common Stock and Warrants have been, and may continue to be, volatile, and the value of our Class A Common Stock and Warrants may decline.</w:t>
      </w:r>
    </w:p>
    <w:p>
      <w:pPr>
        <w:spacing w:after="0" w:line="62" w:lineRule="exact"/>
        <w:rPr>
          <w:sz w:val="20"/>
          <w:szCs w:val="20"/>
          <w:color w:val="auto"/>
        </w:rPr>
      </w:pPr>
    </w:p>
    <w:p>
      <w:pPr>
        <w:ind w:left="300" w:right="319" w:firstLine="360"/>
        <w:spacing w:after="0" w:line="308" w:lineRule="auto"/>
        <w:rPr>
          <w:sz w:val="20"/>
          <w:szCs w:val="20"/>
          <w:color w:val="auto"/>
        </w:rPr>
      </w:pPr>
      <w:r>
        <w:rPr>
          <w:rFonts w:ascii="Arial" w:cs="Arial" w:eastAsia="Arial" w:hAnsi="Arial"/>
          <w:sz w:val="17"/>
          <w:szCs w:val="17"/>
          <w:color w:val="auto"/>
        </w:rPr>
        <w:t>The market price of our Class A Common Stock and Warrants have been and may continue to be subject to wide fluctuations in response to numerous factors, many of which are beyond our control, including:</w:t>
      </w:r>
    </w:p>
    <w:p>
      <w:pPr>
        <w:spacing w:after="0" w:line="38" w:lineRule="exact"/>
        <w:rPr>
          <w:sz w:val="20"/>
          <w:szCs w:val="20"/>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projected operational and financial results;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development, effects and enforcement of and changes to laws and regulations, including with respect to the cannabis industry;</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commencement or conclusion of legal proceedings that involve us;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of new products or services by us or our competitors;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or joint ventures;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capital-raising activities or commitments;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issuance of new or updated research or reports by securities analysts;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use by investors or analysts of third-party data regarding our business that may not reflect our financial performance;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our securities, including short selling of our securities;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share price and volume fluctuations attributable to inconsistent trading volume levels of our shares;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and market conditions; and</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civil unrest, war, foreign invasions, terrorism, or public health crises, or responses to such events.</w:t>
      </w:r>
    </w:p>
    <w:p>
      <w:pPr>
        <w:spacing w:after="0" w:line="62"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Furthermore, the stock markets frequently experience extreme price and volume fluctuations that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elections, interest rate changes, or international currency fluctuations, may negatively impact the market price of our Class A Common Stock and Warrants. As a result of such fluctuations, you may not realize any return on your investment in us and may lose some or all of your investment. In the past, companies that have experienced volatility in the market price of their stock have been subject to securities class action litigation or derivative litigation. For example, stockholders have filed or threatened to file derivative lawsuits, purportedly on our behalf, in the past and may do so in the future. Such litigation could result in substantial costs and divert our management’s attention from other business concerns.</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The impact of global, regional or local economic and market conditions may adversely affect our business, operating results and financial condition.</w:t>
      </w:r>
    </w:p>
    <w:p>
      <w:pPr>
        <w:spacing w:after="0" w:line="62"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Our performance is subject to global economic conditions and economic conditions in one or more of our key markets, which impact spending by our clients and consumers. A majority of our clients are small and medium-sized businesses that operate one or two retail locations, and their access to capital, liquidity and other financial resources is constrained due to the regulatory restrictions applicable to cannabis businesses. As a result, these clients may be disproportionately affected by economic downturns.</w:t>
      </w:r>
    </w:p>
    <w:p>
      <w:pPr>
        <w:spacing w:after="0" w:line="8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Clients may choose to allocate their spending to items other than our platform, especially during economic downturns. Economic conditions may also adversely impact retail sales of cannabis. Declining retail sales of cannabis could result in our clients going out of business or deciding to stop using our platform to conserve financial resources. Negative economic conditions may also affect third parties with whom we have entered into relationships and upon whom we depend in order to grow our business.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Furthermore, economic downturns could also lead to limitations on our ability to obtain debt or equity financing on favorable terms or at all, reduced liquidity, decreases in the market price of our securities, decreases in the fair market value of our financial or other assets, and write-downs of and increased credit and collectability risk on our trade receivables, any of which could have a material adverse effect on our business, operating results or financial condition.</w:t>
      </w:r>
    </w:p>
    <w:p>
      <w:pPr>
        <w:spacing w:after="0" w:line="336"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Catastrophic events may disrupt our business and impair our ability to provide our platform to clients and consumers, resulting in costs for remediation, client and consumer dissatisfaction, and other business or financial losses.</w:t>
      </w:r>
    </w:p>
    <w:p>
      <w:pPr>
        <w:spacing w:after="0" w:line="76"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Our operations depend, in part, on our ability to protect our facilities against damage or interruption from natural disasters, power or telecommunications failures, criminal acts and similar events. Despite precautions taken at our facilities, the occurrence of a natural disaster, an act of terrorism, vandalism or sabotage, spikes in usage volume or other unanticipated problems at a facility could result in lengthy interruptions in the availability of our platform. Even with current and planned disaster recovery arrangements, our business could be harmed. Also, in the event of damage or interruption, our insurance policies may not adequately compensate us for any losses that we may incur. These factors in turn could further reduce revenue, subject us to liability and lead to decreased usage of our platform and decrease sales of our advertising placements, any of which could harm our business.</w:t>
      </w:r>
    </w:p>
    <w:p>
      <w:pPr>
        <w:spacing w:after="0" w:line="314"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We will incur increased costs and administrative burden as a result of operating as a public company, and our management will devote substantial time to new compliance initiatives.</w:t>
      </w:r>
    </w:p>
    <w:p>
      <w:pPr>
        <w:spacing w:after="0" w:line="62"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As a public company, we incur significant legal, accounting and other expenses that we did not incur as a private company, and these expenses may increase even more now that we are no longer an emerging growth company, as defined in Section 2(a) of the Securities Act. As a public company, we are subject to the requirements of the Exchange Act, the Sarbanes-Oxley Act, the Dodd-Frank Wall Street Reform and Consumer Protection Act of 2010, and the rules and regulations promulgated and to be promulgated thereunder, Public Company Accounting Oversight Board (the “PCAOB”), as well as rules adopted, and to be adopted, by the SEC and Nasdaq. Our management and other personnel devote a substantial amount of time to these compliance initiatives. Moreover, we expect these rules and regulations to substantially increase our legal and financial compliance costs and to make some activities more time-consuming and costly. The increased costs will increase our net loss. Compliance with public company requirements will increase costs and make certain activities more time-consuming. A number of those requirements will require us to carry out activities we have not done previously. For example, we created new board committees and adopted new internal controls and disclosure controls and procedures. In addition, expenses associated with SEC reporting requirements will be incurred. Furthermore, if any issues in complying with those requirements are identified (for example, if we or our independent registered public accounting firm identifies additional material weaknesses or significant deficiency in the internal control over financial reporting), we could incur additional costs rectifying those issues, and the existence of those issues could adversely affect our reputation or investor perceptions of it. It may also be more expensive to obtain director and officer liability insurance. We cannot predict or estimate the amount or timing of additional costs it may incur to respond to these requirements. The impact of these requirements could also make it more difficult for us to attract and retain qualified persons to serve on our board of directors, our board committees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200" w:lineRule="exact"/>
        <w:rPr>
          <w:sz w:val="20"/>
          <w:szCs w:val="20"/>
          <w:color w:val="auto"/>
        </w:rPr>
      </w:pPr>
    </w:p>
    <w:p>
      <w:pPr>
        <w:spacing w:after="0" w:line="326" w:lineRule="exact"/>
        <w:rPr>
          <w:sz w:val="20"/>
          <w:szCs w:val="20"/>
          <w:color w:val="auto"/>
        </w:rPr>
      </w:pPr>
    </w:p>
    <w:p>
      <w:pPr>
        <w:jc w:val="both"/>
        <w:ind w:left="300" w:right="319"/>
        <w:spacing w:after="0" w:line="375" w:lineRule="auto"/>
        <w:rPr>
          <w:sz w:val="20"/>
          <w:szCs w:val="20"/>
          <w:color w:val="auto"/>
        </w:rPr>
      </w:pPr>
      <w:r>
        <w:rPr>
          <w:rFonts w:ascii="Arial" w:cs="Arial" w:eastAsia="Arial" w:hAnsi="Arial"/>
          <w:sz w:val="15"/>
          <w:szCs w:val="15"/>
          <w:b w:val="1"/>
          <w:bCs w:val="1"/>
          <w:i w:val="1"/>
          <w:iCs w:val="1"/>
          <w:color w:val="auto"/>
        </w:rPr>
        <w:t>We are no longer an “emerging growth company” or a “smaller reporting company” and the reduced disclosure requirements applicable to emerging growth companies and smaller reporting companies no longer apply to us.</w:t>
      </w:r>
    </w:p>
    <w:p>
      <w:pPr>
        <w:spacing w:after="0" w:line="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are no longer an emerging growth company. As a result, we are now subject to certain disclosure requirements that are applicable to other public companies that had not been applicable to us as an emerging growth company. These requirements include:</w:t>
      </w:r>
    </w:p>
    <w:p>
      <w:pPr>
        <w:spacing w:after="0" w:line="76" w:lineRule="exact"/>
        <w:rPr>
          <w:sz w:val="20"/>
          <w:szCs w:val="20"/>
          <w:color w:val="auto"/>
        </w:rPr>
      </w:pPr>
    </w:p>
    <w:p>
      <w:pPr>
        <w:ind w:left="1000" w:right="319" w:hanging="348"/>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the auditor attestation requirements in the assessment of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263"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any requirement that may be adopted by the PCAOB regarding mandatory audit firm rotation or a supplement to the auditor’s report providing additional information about the audit and the financial statements;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full disclosure obligations regarding executive compensation; and</w:t>
      </w:r>
    </w:p>
    <w:p>
      <w:pPr>
        <w:spacing w:after="0" w:line="117"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compliance with the requirements of holding a nonbinding advisory vote on executive compensation and shareholder approval of any golden parachute payments not previously approved.</w:t>
      </w:r>
    </w:p>
    <w:p>
      <w:pPr>
        <w:spacing w:after="0" w:line="38"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We are also no longer a smaller reporting company and are no longer permitted to rely on exemptions for smaller reporting companies from certain disclosure requirements that are applicable to other public companies that are not smaller reporting companies. Similar to emerging growth companies, smaller reporting companies are able to provide simplified executive compensation disclosure and have certain other reduced disclosure obligations, including, among other things, being required to provide only two years of audited financial statements and not being required to provide selected financial data, supplemental financial information or risk factors.</w:t>
      </w:r>
    </w:p>
    <w:p>
      <w:pPr>
        <w:spacing w:after="0" w:line="326" w:lineRule="exact"/>
        <w:rPr>
          <w:sz w:val="20"/>
          <w:szCs w:val="20"/>
          <w:color w:val="auto"/>
        </w:rPr>
      </w:pPr>
    </w:p>
    <w:p>
      <w:pPr>
        <w:jc w:val="both"/>
        <w:ind w:left="300" w:right="299"/>
        <w:spacing w:after="0" w:line="342" w:lineRule="auto"/>
        <w:rPr>
          <w:sz w:val="20"/>
          <w:szCs w:val="20"/>
          <w:color w:val="auto"/>
        </w:rPr>
      </w:pPr>
      <w:r>
        <w:rPr>
          <w:rFonts w:ascii="Arial" w:cs="Arial" w:eastAsia="Arial" w:hAnsi="Arial"/>
          <w:sz w:val="16"/>
          <w:szCs w:val="16"/>
          <w:b w:val="1"/>
          <w:bCs w:val="1"/>
          <w:i w:val="1"/>
          <w:iCs w:val="1"/>
          <w:color w:val="auto"/>
        </w:rPr>
        <w:t>Our employees and independent contractors may engage in misconduct or other improper activities, which could have an adverse effect on our business, prospects, financial condition and operating results.</w:t>
      </w:r>
    </w:p>
    <w:p>
      <w:pPr>
        <w:spacing w:after="0" w:line="16"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are exposed to the risk that our employees and independent contractors may engage in misconduct or other illegal activity. Misconduct by these parties could include intentional, reckless or negligent conduct or other activities that violate laws and regulations, including production standards, U.S. federal and state fraud, abuse, data privacy and security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operating results,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operating results.</w:t>
      </w:r>
    </w:p>
    <w:p>
      <w:pPr>
        <w:spacing w:after="0" w:line="328" w:lineRule="exact"/>
        <w:rPr>
          <w:sz w:val="20"/>
          <w:szCs w:val="20"/>
          <w:color w:val="auto"/>
        </w:rPr>
      </w:pPr>
    </w:p>
    <w:p>
      <w:pPr>
        <w:jc w:val="both"/>
        <w:ind w:left="300" w:right="319"/>
        <w:spacing w:after="0" w:line="286" w:lineRule="auto"/>
        <w:rPr>
          <w:sz w:val="20"/>
          <w:szCs w:val="20"/>
          <w:color w:val="auto"/>
        </w:rPr>
      </w:pPr>
      <w:r>
        <w:rPr>
          <w:rFonts w:ascii="Arial" w:cs="Arial" w:eastAsia="Arial" w:hAnsi="Arial"/>
          <w:sz w:val="17"/>
          <w:szCs w:val="17"/>
          <w:b w:val="1"/>
          <w:bCs w:val="1"/>
          <w:i w:val="1"/>
          <w:iCs w:val="1"/>
          <w:color w:val="auto"/>
        </w:rPr>
        <w:t>If securities or industry analysts do not publish or cease publishing research or reports about us, our business or our market, or if they change their recommendations regarding our Class A Common Stock adversely, the price and trading volume of our Class A Common Stock could decline.</w:t>
      </w:r>
    </w:p>
    <w:p>
      <w:pPr>
        <w:spacing w:after="0" w:line="5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trading market for our Class A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the price of our Class A Common Stock would likely decline. If any analyst who may cover us were to cease their coverage or fail to regularly publish reports on us, we could lose visibility in the financial markets, which could cause our stock price or trading volume to decline.</w:t>
      </w:r>
    </w:p>
    <w:p>
      <w:pPr>
        <w:spacing w:after="0" w:line="326"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We may not have sufficient funds to satisfy indemnification claims of our directors and executive officers.</w:t>
      </w:r>
    </w:p>
    <w:p>
      <w:pPr>
        <w:spacing w:after="0" w:line="140"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have agreed to indemnify our officers and directors to the fullest extent permitted by law. Accordingly, any indemnification provided will be able to be satisfied by us only if we have sufficient funds.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All of the Class A Common Stock offered by the Selling Securityholders pursuant to this prospectus will be sold by the Selling Securityholders for their respective accounts. We will not receive any of the proceeds from these sales.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 w:name="page48"/>
    <w:bookmarkEnd w:id="4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OFFERING PRICE</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We cannot currently determine the price or prices at which shares of our Class A Common Stock may be sold by the Selling Securityholders under this prospectus.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INFORMATION FOR COMMON STOCK AND DIVIDEND POLICY</w:t>
      </w:r>
    </w:p>
    <w:p>
      <w:pPr>
        <w:spacing w:after="0" w:line="36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11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Our Class A Common Stock and Public Warrants are currently listed on The Nasdaq Global Select Market under the symbols “MAPS” and “MAPSW,” respectively. Prior to the consummation of the Business Combination, our Class A Common Stock and our Public Warrants were listed on Nasdaq under the symbols “SSPKU” and “SSPKW,” respectively. As of February 18, 2022, there were 70,399,067 shares of Class A Common Stock issued and outstanding held of record by 117 holders, 65,502,347 shares of Class V Common Stock issued and outstanding held of record by 23 holders and 19,499,993 Warrants (defined below) outstanding held of record by two holders. No market exists for the Class V Common Stock.</w:t>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Dividend Policy</w:t>
      </w:r>
    </w:p>
    <w:p>
      <w:pPr>
        <w:spacing w:after="0" w:line="117"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We have not paid any cash dividends on the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we or our subsidiaries incur. We do not anticipate declaring any cash dividends to holders of Common Stock in the foreseeable future.</w:t>
      </w:r>
    </w:p>
    <w:p>
      <w:pPr>
        <w:spacing w:after="0" w:line="31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As of November 24, 2021, we had 21,829,529 shares of our Class A Common Stock authorized for issuance under equity compensation plans. In connection with the Business Combination, our stockholders approved WM Technology, Inc. 2021 Equity Incentive Plan (the “2021 Plan”) on June 10, 2021, which became effective immediately upon the Closing.</w:t>
      </w:r>
    </w:p>
    <w:p>
      <w:pPr>
        <w:spacing w:after="0" w:line="79"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On August 26, 2021, we filed a registration statement on Form S-8 under the Securities Act to register the shares of Class A Common Stock issued or issuable under the 2021 Plan. The Form S-8 registration statement also covers shares of Class A Common Stock underlying the 2021 Plan, which can be sold in the public market upon issuance, subject to applicable restrictions. The Form S-8 registration statement became effective automatically upon filing.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FINANCIAL AND OPERATING DATA</w:t>
      </w:r>
    </w:p>
    <w:p>
      <w:pPr>
        <w:spacing w:after="0" w:line="12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following tables set forth a summary of our historical consolidated financial and operating data as of, and for the periods ended on, the dates indicated. The selected historical consolidated statements of income data for the years ended December 31, 2019, 2020 and 2021, and the historical consolidated balance sheet data as of December 31, 2020 and 2021, are derived from our audited consolidated financial statements included elsewhere in this prospectus. Our historical results are not necessarily indicative of the results that may be expected in the future. You should read the following selected historical consolidated financial and operating data together with “Management’s Discussion and Analysis of Financial Condition and Results of Operations” and our consolidated financial statements and related notes included elsewhere in this prospectus.</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Consolidated Statements of Income Data:</w:t>
      </w:r>
    </w:p>
    <w:p>
      <w:pPr>
        <w:spacing w:after="0" w:line="18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gridSpan w:val="9"/>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r>
      <w:tr>
        <w:trPr>
          <w:trHeight w:val="53"/>
        </w:trPr>
        <w:tc>
          <w:tcPr>
            <w:tcW w:w="54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4"/>
        </w:trPr>
        <w:tc>
          <w:tcPr>
            <w:tcW w:w="5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9"/>
                <w:szCs w:val="19"/>
                <w:color w:val="auto"/>
              </w:rPr>
            </w:pPr>
          </w:p>
        </w:tc>
        <w:tc>
          <w:tcPr>
            <w:tcW w:w="8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17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9"/>
                <w:szCs w:val="19"/>
                <w:color w:val="auto"/>
              </w:rPr>
            </w:pPr>
          </w:p>
        </w:tc>
      </w:tr>
      <w:tr>
        <w:trPr>
          <w:trHeight w:val="53"/>
        </w:trPr>
        <w:tc>
          <w:tcPr>
            <w:tcW w:w="54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gridSpan w:val="3"/>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4"/>
        </w:trPr>
        <w:tc>
          <w:tcPr>
            <w:tcW w:w="5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gridSpan w:val="9"/>
          </w:tcPr>
          <w:p>
            <w:pPr>
              <w:jc w:val="right"/>
              <w:ind w:right="200"/>
              <w:spacing w:after="0"/>
              <w:rPr>
                <w:sz w:val="20"/>
                <w:szCs w:val="20"/>
                <w:color w:val="auto"/>
              </w:rPr>
            </w:pPr>
            <w:r>
              <w:rPr>
                <w:rFonts w:ascii="Arial" w:cs="Arial" w:eastAsia="Arial" w:hAnsi="Arial"/>
                <w:sz w:val="14"/>
                <w:szCs w:val="14"/>
                <w:b w:val="1"/>
                <w:bCs w:val="1"/>
                <w:color w:val="auto"/>
                <w:w w:val="92"/>
              </w:rPr>
              <w:t>(in thousands, except unit and share data)</w:t>
            </w:r>
          </w:p>
        </w:tc>
      </w:tr>
      <w:tr>
        <w:trPr>
          <w:trHeight w:val="53"/>
        </w:trPr>
        <w:tc>
          <w:tcPr>
            <w:tcW w:w="5480" w:type="dxa"/>
            <w:vAlign w:val="bottom"/>
          </w:tcPr>
          <w:p>
            <w:pPr>
              <w:spacing w:after="0"/>
              <w:rPr>
                <w:sz w:val="4"/>
                <w:szCs w:val="4"/>
                <w:color w:val="auto"/>
              </w:rPr>
            </w:pPr>
          </w:p>
        </w:tc>
        <w:tc>
          <w:tcPr>
            <w:tcW w:w="66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17"/>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$144,232</w:t>
            </w: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$161,791</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193,146</w:t>
            </w:r>
          </w:p>
        </w:tc>
        <w:tc>
          <w:tcPr>
            <w:tcW w:w="80" w:type="dxa"/>
            <w:vAlign w:val="bottom"/>
            <w:tcBorders>
              <w:bottom w:val="single" w:sz="8" w:color="CCEEFF"/>
            </w:tcBorders>
            <w:shd w:val="clear" w:color="auto" w:fill="CCEEFF"/>
          </w:tcPr>
          <w:p>
            <w:pPr>
              <w:spacing w:after="0"/>
              <w:rPr>
                <w:sz w:val="24"/>
                <w:szCs w:val="24"/>
                <w:color w:val="auto"/>
              </w:rPr>
            </w:pPr>
          </w:p>
        </w:tc>
      </w:tr>
      <w:tr>
        <w:trPr>
          <w:trHeight w:val="324"/>
        </w:trPr>
        <w:tc>
          <w:tcPr>
            <w:tcW w:w="5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4"/>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7,074</w:t>
            </w:r>
          </w:p>
        </w:tc>
        <w:tc>
          <w:tcPr>
            <w:tcW w:w="180" w:type="dxa"/>
            <w:vAlign w:val="bottom"/>
          </w:tcPr>
          <w:p>
            <w:pPr>
              <w:spacing w:after="0"/>
              <w:rPr>
                <w:sz w:val="23"/>
                <w:szCs w:val="23"/>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7,630</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7,938</w:t>
            </w:r>
          </w:p>
        </w:tc>
        <w:tc>
          <w:tcPr>
            <w:tcW w:w="80" w:type="dxa"/>
            <w:vAlign w:val="bottom"/>
          </w:tcPr>
          <w:p>
            <w:pPr>
              <w:spacing w:after="0"/>
              <w:rPr>
                <w:sz w:val="23"/>
                <w:szCs w:val="23"/>
                <w:color w:val="auto"/>
              </w:rPr>
            </w:pPr>
          </w:p>
        </w:tc>
      </w:tr>
      <w:tr>
        <w:trPr>
          <w:trHeight w:val="54"/>
        </w:trPr>
        <w:tc>
          <w:tcPr>
            <w:tcW w:w="5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39,746</w:t>
            </w: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30,716</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56,119</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8"/>
                <w:szCs w:val="18"/>
                <w:color w:val="auto"/>
              </w:rPr>
              <w:t>Product development</w:t>
            </w: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29,497</w:t>
            </w:r>
          </w:p>
        </w:tc>
        <w:tc>
          <w:tcPr>
            <w:tcW w:w="180" w:type="dxa"/>
            <w:vAlign w:val="bottom"/>
          </w:tcPr>
          <w:p>
            <w:pPr>
              <w:spacing w:after="0"/>
              <w:rPr>
                <w:sz w:val="23"/>
                <w:szCs w:val="23"/>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27,142</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35,395</w:t>
            </w:r>
          </w:p>
        </w:tc>
        <w:tc>
          <w:tcPr>
            <w:tcW w:w="80" w:type="dxa"/>
            <w:vAlign w:val="bottom"/>
          </w:tcPr>
          <w:p>
            <w:pPr>
              <w:spacing w:after="0"/>
              <w:rPr>
                <w:sz w:val="23"/>
                <w:szCs w:val="23"/>
                <w:color w:val="auto"/>
              </w:rPr>
            </w:pPr>
          </w:p>
        </w:tc>
      </w:tr>
      <w:tr>
        <w:trPr>
          <w:trHeight w:val="54"/>
        </w:trPr>
        <w:tc>
          <w:tcPr>
            <w:tcW w:w="5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56,466</w:t>
            </w: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51,127</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97,447</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5,162</w:t>
            </w:r>
          </w:p>
        </w:tc>
        <w:tc>
          <w:tcPr>
            <w:tcW w:w="180" w:type="dxa"/>
            <w:vAlign w:val="bottom"/>
          </w:tcPr>
          <w:p>
            <w:pPr>
              <w:spacing w:after="0"/>
              <w:rPr>
                <w:sz w:val="23"/>
                <w:szCs w:val="23"/>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3,978</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4,425</w:t>
            </w:r>
          </w:p>
        </w:tc>
        <w:tc>
          <w:tcPr>
            <w:tcW w:w="80" w:type="dxa"/>
            <w:vAlign w:val="bottom"/>
          </w:tcPr>
          <w:p>
            <w:pPr>
              <w:spacing w:after="0"/>
              <w:rPr>
                <w:sz w:val="23"/>
                <w:szCs w:val="23"/>
                <w:color w:val="auto"/>
              </w:rPr>
            </w:pPr>
          </w:p>
        </w:tc>
      </w:tr>
      <w:tr>
        <w:trPr>
          <w:trHeight w:val="48"/>
        </w:trPr>
        <w:tc>
          <w:tcPr>
            <w:tcW w:w="54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83"/>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137,945</w:t>
            </w: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120,593</w:t>
            </w:r>
          </w:p>
        </w:tc>
        <w:tc>
          <w:tcPr>
            <w:tcW w:w="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201,324</w:t>
            </w:r>
          </w:p>
        </w:tc>
        <w:tc>
          <w:tcPr>
            <w:tcW w:w="80" w:type="dxa"/>
            <w:vAlign w:val="bottom"/>
            <w:shd w:val="clear" w:color="auto" w:fill="CCEEFF"/>
          </w:tcPr>
          <w:p>
            <w:pPr>
              <w:spacing w:after="0"/>
              <w:rPr>
                <w:sz w:val="24"/>
                <w:szCs w:val="24"/>
                <w:color w:val="auto"/>
              </w:rPr>
            </w:pPr>
          </w:p>
        </w:tc>
      </w:tr>
      <w:tr>
        <w:trPr>
          <w:trHeight w:val="48"/>
        </w:trPr>
        <w:tc>
          <w:tcPr>
            <w:tcW w:w="54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84"/>
        </w:trPr>
        <w:tc>
          <w:tcPr>
            <w:tcW w:w="5480" w:type="dxa"/>
            <w:vAlign w:val="bottom"/>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6,287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41,198</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(8,178)</w:t>
            </w:r>
          </w:p>
        </w:tc>
      </w:tr>
      <w:tr>
        <w:trPr>
          <w:trHeight w:val="54"/>
        </w:trPr>
        <w:tc>
          <w:tcPr>
            <w:tcW w:w="5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120" w:type="dxa"/>
            <w:vAlign w:val="bottom"/>
          </w:tcPr>
          <w:p>
            <w:pPr>
              <w:spacing w:after="0"/>
              <w:rPr>
                <w:sz w:val="23"/>
                <w:szCs w:val="23"/>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166,518</w:t>
            </w:r>
          </w:p>
        </w:tc>
        <w:tc>
          <w:tcPr>
            <w:tcW w:w="80" w:type="dxa"/>
            <w:vAlign w:val="bottom"/>
          </w:tcPr>
          <w:p>
            <w:pPr>
              <w:spacing w:after="0"/>
              <w:rPr>
                <w:sz w:val="23"/>
                <w:szCs w:val="23"/>
                <w:color w:val="auto"/>
              </w:rPr>
            </w:pPr>
          </w:p>
        </w:tc>
      </w:tr>
      <w:tr>
        <w:trPr>
          <w:trHeight w:val="54"/>
        </w:trPr>
        <w:tc>
          <w:tcPr>
            <w:tcW w:w="5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7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(5,341)</w:t>
            </w:r>
          </w:p>
        </w:tc>
        <w:tc>
          <w:tcPr>
            <w:tcW w:w="11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(2,368)</w:t>
            </w:r>
          </w:p>
        </w:tc>
        <w:tc>
          <w:tcPr>
            <w:tcW w:w="2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(6,723)</w:t>
            </w:r>
          </w:p>
        </w:tc>
      </w:tr>
      <w:tr>
        <w:trPr>
          <w:trHeight w:val="48"/>
        </w:trPr>
        <w:tc>
          <w:tcPr>
            <w:tcW w:w="54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84"/>
        </w:trPr>
        <w:tc>
          <w:tcPr>
            <w:tcW w:w="54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946</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38,830</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151,617</w:t>
            </w:r>
          </w:p>
        </w:tc>
        <w:tc>
          <w:tcPr>
            <w:tcW w:w="80" w:type="dxa"/>
            <w:vAlign w:val="bottom"/>
          </w:tcPr>
          <w:p>
            <w:pPr>
              <w:spacing w:after="0"/>
              <w:rPr>
                <w:sz w:val="24"/>
                <w:szCs w:val="24"/>
                <w:color w:val="auto"/>
              </w:rPr>
            </w:pPr>
          </w:p>
        </w:tc>
      </w:tr>
      <w:tr>
        <w:trPr>
          <w:trHeight w:val="54"/>
        </w:trPr>
        <w:tc>
          <w:tcPr>
            <w:tcW w:w="5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7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(601)</w:t>
            </w:r>
          </w:p>
        </w:tc>
      </w:tr>
      <w:tr>
        <w:trPr>
          <w:trHeight w:val="48"/>
        </w:trPr>
        <w:tc>
          <w:tcPr>
            <w:tcW w:w="54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84"/>
        </w:trPr>
        <w:tc>
          <w:tcPr>
            <w:tcW w:w="548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2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(375)</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38,830</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152,218</w:t>
            </w:r>
          </w:p>
        </w:tc>
        <w:tc>
          <w:tcPr>
            <w:tcW w:w="80" w:type="dxa"/>
            <w:vAlign w:val="bottom"/>
          </w:tcPr>
          <w:p>
            <w:pPr>
              <w:spacing w:after="0"/>
              <w:rPr>
                <w:sz w:val="24"/>
                <w:szCs w:val="24"/>
                <w:color w:val="auto"/>
              </w:rPr>
            </w:pPr>
          </w:p>
        </w:tc>
      </w:tr>
      <w:tr>
        <w:trPr>
          <w:trHeight w:val="54"/>
        </w:trPr>
        <w:tc>
          <w:tcPr>
            <w:tcW w:w="5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7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48"/>
        </w:trPr>
        <w:tc>
          <w:tcPr>
            <w:tcW w:w="54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84"/>
        </w:trPr>
        <w:tc>
          <w:tcPr>
            <w:tcW w:w="548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(375)</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38,830</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152,218</w:t>
            </w:r>
          </w:p>
        </w:tc>
        <w:tc>
          <w:tcPr>
            <w:tcW w:w="80" w:type="dxa"/>
            <w:vAlign w:val="bottom"/>
          </w:tcPr>
          <w:p>
            <w:pPr>
              <w:spacing w:after="0"/>
              <w:rPr>
                <w:sz w:val="24"/>
                <w:szCs w:val="24"/>
                <w:color w:val="auto"/>
              </w:rPr>
            </w:pPr>
          </w:p>
        </w:tc>
      </w:tr>
      <w:tr>
        <w:trPr>
          <w:trHeight w:val="54"/>
        </w:trPr>
        <w:tc>
          <w:tcPr>
            <w:tcW w:w="5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7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91,835</w:t>
            </w:r>
          </w:p>
        </w:tc>
        <w:tc>
          <w:tcPr>
            <w:tcW w:w="80" w:type="dxa"/>
            <w:vAlign w:val="bottom"/>
            <w:shd w:val="clear" w:color="auto" w:fill="CCEEFF"/>
          </w:tcPr>
          <w:p>
            <w:pPr>
              <w:spacing w:after="0"/>
              <w:rPr>
                <w:sz w:val="23"/>
                <w:szCs w:val="23"/>
                <w:color w:val="auto"/>
              </w:rPr>
            </w:pPr>
          </w:p>
        </w:tc>
      </w:tr>
      <w:tr>
        <w:trPr>
          <w:trHeight w:val="48"/>
        </w:trPr>
        <w:tc>
          <w:tcPr>
            <w:tcW w:w="54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8"/>
                <w:szCs w:val="18"/>
                <w:color w:val="auto"/>
              </w:rPr>
              <w:t>Net income (loss) attributable to WM Technology, Inc.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(375)</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$ 38,830</w:t>
            </w:r>
          </w:p>
        </w:tc>
        <w:tc>
          <w:tcPr>
            <w:tcW w:w="3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60,383</w:t>
            </w:r>
          </w:p>
        </w:tc>
        <w:tc>
          <w:tcPr>
            <w:tcW w:w="80" w:type="dxa"/>
            <w:vAlign w:val="bottom"/>
          </w:tcPr>
          <w:p>
            <w:pPr>
              <w:spacing w:after="0"/>
              <w:rPr>
                <w:sz w:val="23"/>
                <w:szCs w:val="23"/>
                <w:color w:val="auto"/>
              </w:rPr>
            </w:pPr>
          </w:p>
        </w:tc>
      </w:tr>
      <w:tr>
        <w:trPr>
          <w:trHeight w:val="20"/>
        </w:trPr>
        <w:tc>
          <w:tcPr>
            <w:tcW w:w="5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
        </w:trPr>
        <w:tc>
          <w:tcPr>
            <w:tcW w:w="5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65"/>
        </w:trPr>
        <w:tc>
          <w:tcPr>
            <w:tcW w:w="5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8"/>
                <w:szCs w:val="18"/>
                <w:b w:val="1"/>
                <w:bCs w:val="1"/>
                <w:color w:val="auto"/>
              </w:rPr>
              <w:t>Earnings (Loss) Per Share of Class A Common Stock</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54"/>
        </w:trPr>
        <w:tc>
          <w:tcPr>
            <w:tcW w:w="5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97"/>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Basic income per share</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24"/>
                <w:szCs w:val="24"/>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80" w:type="dxa"/>
            <w:vAlign w:val="bottom"/>
            <w:shd w:val="clear" w:color="auto" w:fill="CCEEFF"/>
          </w:tcPr>
          <w:p>
            <w:pPr>
              <w:spacing w:after="0"/>
              <w:rPr>
                <w:sz w:val="24"/>
                <w:szCs w:val="24"/>
                <w:color w:val="auto"/>
              </w:rPr>
            </w:pPr>
          </w:p>
        </w:tc>
      </w:tr>
      <w:tr>
        <w:trPr>
          <w:trHeight w:val="48"/>
        </w:trPr>
        <w:tc>
          <w:tcPr>
            <w:tcW w:w="54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97"/>
        </w:trPr>
        <w:tc>
          <w:tcPr>
            <w:tcW w:w="5480" w:type="dxa"/>
            <w:vAlign w:val="bottom"/>
          </w:tcPr>
          <w:p>
            <w:pPr>
              <w:spacing w:after="0"/>
              <w:rPr>
                <w:sz w:val="20"/>
                <w:szCs w:val="20"/>
                <w:color w:val="auto"/>
              </w:rPr>
            </w:pPr>
            <w:r>
              <w:rPr>
                <w:rFonts w:ascii="Arial" w:cs="Arial" w:eastAsia="Arial" w:hAnsi="Arial"/>
                <w:sz w:val="18"/>
                <w:szCs w:val="18"/>
                <w:color w:val="auto"/>
              </w:rPr>
              <w:t>Diluted loss per share</w:t>
            </w:r>
          </w:p>
        </w:tc>
        <w:tc>
          <w:tcPr>
            <w:tcW w:w="12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4"/>
                <w:szCs w:val="24"/>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N/A</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(0.18)</w:t>
            </w:r>
          </w:p>
        </w:tc>
      </w:tr>
      <w:tr>
        <w:trPr>
          <w:trHeight w:val="20"/>
        </w:trPr>
        <w:tc>
          <w:tcPr>
            <w:tcW w:w="5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
        </w:trPr>
        <w:tc>
          <w:tcPr>
            <w:tcW w:w="5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38"/>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shares outstanding</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24"/>
                <w:szCs w:val="24"/>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65,013,517</w:t>
            </w:r>
          </w:p>
        </w:tc>
        <w:tc>
          <w:tcPr>
            <w:tcW w:w="80" w:type="dxa"/>
            <w:vAlign w:val="bottom"/>
            <w:shd w:val="clear" w:color="auto" w:fill="CCEEFF"/>
          </w:tcPr>
          <w:p>
            <w:pPr>
              <w:spacing w:after="0"/>
              <w:rPr>
                <w:sz w:val="24"/>
                <w:szCs w:val="24"/>
                <w:color w:val="auto"/>
              </w:rPr>
            </w:pPr>
          </w:p>
        </w:tc>
      </w:tr>
      <w:tr>
        <w:trPr>
          <w:trHeight w:val="48"/>
        </w:trPr>
        <w:tc>
          <w:tcPr>
            <w:tcW w:w="54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97"/>
        </w:trPr>
        <w:tc>
          <w:tcPr>
            <w:tcW w:w="5480" w:type="dxa"/>
            <w:vAlign w:val="bottom"/>
          </w:tcPr>
          <w:p>
            <w:pPr>
              <w:spacing w:after="0"/>
              <w:rPr>
                <w:sz w:val="20"/>
                <w:szCs w:val="20"/>
                <w:color w:val="auto"/>
              </w:rPr>
            </w:pPr>
            <w:r>
              <w:rPr>
                <w:rFonts w:ascii="Arial" w:cs="Arial" w:eastAsia="Arial" w:hAnsi="Arial"/>
                <w:sz w:val="18"/>
                <w:szCs w:val="18"/>
                <w:color w:val="auto"/>
              </w:rPr>
              <w:t>Weighted average diluted shares outstanding</w:t>
            </w:r>
          </w:p>
        </w:tc>
        <w:tc>
          <w:tcPr>
            <w:tcW w:w="12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4"/>
                <w:szCs w:val="24"/>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N/A</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7"/>
              </w:rPr>
              <w:t>66,813,417</w:t>
            </w:r>
          </w:p>
        </w:tc>
        <w:tc>
          <w:tcPr>
            <w:tcW w:w="80" w:type="dxa"/>
            <w:vAlign w:val="bottom"/>
          </w:tcPr>
          <w:p>
            <w:pPr>
              <w:spacing w:after="0"/>
              <w:rPr>
                <w:sz w:val="24"/>
                <w:szCs w:val="24"/>
                <w:color w:val="auto"/>
              </w:rPr>
            </w:pPr>
          </w:p>
        </w:tc>
      </w:tr>
      <w:tr>
        <w:trPr>
          <w:trHeight w:val="20"/>
        </w:trPr>
        <w:tc>
          <w:tcPr>
            <w:tcW w:w="5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
        </w:trPr>
        <w:tc>
          <w:tcPr>
            <w:tcW w:w="5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64"/>
        </w:trPr>
        <w:tc>
          <w:tcPr>
            <w:tcW w:w="5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4763135</wp:posOffset>
            </wp:positionH>
            <wp:positionV relativeFrom="paragraph">
              <wp:posOffset>-6111240</wp:posOffset>
            </wp:positionV>
            <wp:extent cx="1543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-6111240</wp:posOffset>
            </wp:positionV>
            <wp:extent cx="1543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0" w:name="page51"/>
    <w:bookmarkEnd w:id="50"/>
    <w:tbl>
      <w:tblPr>
        <w:tblLayout w:type="fixed"/>
        <w:tblInd w:w="1300" w:type="dxa"/>
        <w:tblCellMar>
          <w:top w:w="0" w:type="dxa"/>
          <w:left w:w="0" w:type="dxa"/>
          <w:bottom w:w="0" w:type="dxa"/>
          <w:right w:w="0" w:type="dxa"/>
        </w:tblCellMar>
      </w:tblPr>
      <w:tr>
        <w:trPr>
          <w:trHeight w:val="161"/>
        </w:trPr>
        <w:tc>
          <w:tcPr>
            <w:tcW w:w="5380" w:type="dxa"/>
            <w:vAlign w:val="bottom"/>
            <w:gridSpan w:val="2"/>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400"/>
        </w:trPr>
        <w:tc>
          <w:tcPr>
            <w:tcW w:w="1540" w:type="dxa"/>
            <w:vAlign w:val="bottom"/>
            <w:tcBorders>
              <w:top w:val="single" w:sz="8" w:color="0000EE"/>
            </w:tcBorders>
          </w:tcPr>
          <w:p>
            <w:pPr>
              <w:spacing w:after="0"/>
              <w:rPr>
                <w:sz w:val="24"/>
                <w:szCs w:val="24"/>
                <w:color w:val="auto"/>
              </w:rPr>
            </w:pPr>
          </w:p>
        </w:tc>
        <w:tc>
          <w:tcPr>
            <w:tcW w:w="3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gridSpan w:val="12"/>
          </w:tcPr>
          <w:p>
            <w:pPr>
              <w:jc w:val="right"/>
              <w:ind w:right="490"/>
              <w:spacing w:after="0"/>
              <w:rPr>
                <w:sz w:val="20"/>
                <w:szCs w:val="20"/>
                <w:color w:val="auto"/>
              </w:rPr>
            </w:pPr>
            <w:r>
              <w:rPr>
                <w:rFonts w:ascii="Arial" w:cs="Arial" w:eastAsia="Arial" w:hAnsi="Arial"/>
                <w:sz w:val="14"/>
                <w:szCs w:val="14"/>
                <w:b w:val="1"/>
                <w:bCs w:val="1"/>
                <w:color w:val="auto"/>
              </w:rPr>
              <w:t>Year Ended December 31,</w:t>
            </w:r>
          </w:p>
        </w:tc>
      </w:tr>
      <w:tr>
        <w:trPr>
          <w:trHeight w:val="53"/>
        </w:trPr>
        <w:tc>
          <w:tcPr>
            <w:tcW w:w="1540" w:type="dxa"/>
            <w:vAlign w:val="bottom"/>
          </w:tcPr>
          <w:p>
            <w:pPr>
              <w:spacing w:after="0"/>
              <w:rPr>
                <w:sz w:val="4"/>
                <w:szCs w:val="4"/>
                <w:color w:val="auto"/>
              </w:rPr>
            </w:pPr>
          </w:p>
        </w:tc>
        <w:tc>
          <w:tcPr>
            <w:tcW w:w="3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224"/>
        </w:trPr>
        <w:tc>
          <w:tcPr>
            <w:tcW w:w="15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ind w:right="93"/>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2021</w:t>
            </w:r>
          </w:p>
        </w:tc>
        <w:tc>
          <w:tcPr>
            <w:tcW w:w="280" w:type="dxa"/>
            <w:vAlign w:val="bottom"/>
          </w:tcPr>
          <w:p>
            <w:pPr>
              <w:spacing w:after="0"/>
              <w:rPr>
                <w:sz w:val="19"/>
                <w:szCs w:val="19"/>
                <w:color w:val="auto"/>
              </w:rPr>
            </w:pPr>
          </w:p>
        </w:tc>
      </w:tr>
      <w:tr>
        <w:trPr>
          <w:trHeight w:val="53"/>
        </w:trPr>
        <w:tc>
          <w:tcPr>
            <w:tcW w:w="1540" w:type="dxa"/>
            <w:vAlign w:val="bottom"/>
          </w:tcPr>
          <w:p>
            <w:pPr>
              <w:spacing w:after="0"/>
              <w:rPr>
                <w:sz w:val="4"/>
                <w:szCs w:val="4"/>
                <w:color w:val="auto"/>
              </w:rPr>
            </w:pPr>
          </w:p>
        </w:tc>
        <w:tc>
          <w:tcPr>
            <w:tcW w:w="3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gridSpan w:val="2"/>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224"/>
        </w:trPr>
        <w:tc>
          <w:tcPr>
            <w:tcW w:w="15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gridSpan w:val="13"/>
          </w:tcPr>
          <w:p>
            <w:pPr>
              <w:jc w:val="right"/>
              <w:ind w:right="30"/>
              <w:spacing w:after="0"/>
              <w:rPr>
                <w:sz w:val="20"/>
                <w:szCs w:val="20"/>
                <w:color w:val="auto"/>
              </w:rPr>
            </w:pPr>
            <w:r>
              <w:rPr>
                <w:rFonts w:ascii="Arial" w:cs="Arial" w:eastAsia="Arial" w:hAnsi="Arial"/>
                <w:sz w:val="14"/>
                <w:szCs w:val="14"/>
                <w:b w:val="1"/>
                <w:bCs w:val="1"/>
                <w:color w:val="auto"/>
                <w:w w:val="91"/>
              </w:rPr>
              <w:t>(in thousands, except unit and share data)</w:t>
            </w:r>
          </w:p>
        </w:tc>
      </w:tr>
      <w:tr>
        <w:trPr>
          <w:trHeight w:val="53"/>
        </w:trPr>
        <w:tc>
          <w:tcPr>
            <w:tcW w:w="1540" w:type="dxa"/>
            <w:vAlign w:val="bottom"/>
          </w:tcPr>
          <w:p>
            <w:pPr>
              <w:spacing w:after="0"/>
              <w:rPr>
                <w:sz w:val="4"/>
                <w:szCs w:val="4"/>
                <w:color w:val="auto"/>
              </w:rPr>
            </w:pPr>
          </w:p>
        </w:tc>
        <w:tc>
          <w:tcPr>
            <w:tcW w:w="3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318"/>
        </w:trPr>
        <w:tc>
          <w:tcPr>
            <w:tcW w:w="5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(Loss) Per Unit</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r>
      <w:tr>
        <w:trPr>
          <w:trHeight w:val="256"/>
        </w:trPr>
        <w:tc>
          <w:tcPr>
            <w:tcW w:w="5380" w:type="dxa"/>
            <w:vAlign w:val="bottom"/>
            <w:gridSpan w:val="2"/>
          </w:tcPr>
          <w:p>
            <w:pPr>
              <w:spacing w:after="0"/>
              <w:rPr>
                <w:sz w:val="20"/>
                <w:szCs w:val="20"/>
                <w:color w:val="auto"/>
              </w:rPr>
            </w:pPr>
            <w:r>
              <w:rPr>
                <w:rFonts w:ascii="Arial" w:cs="Arial" w:eastAsia="Arial" w:hAnsi="Arial"/>
                <w:sz w:val="18"/>
                <w:szCs w:val="18"/>
                <w:color w:val="auto"/>
                <w:w w:val="94"/>
              </w:rPr>
              <w:t>Basic and diluted earnings (loss) per Class A-1, A-2 and A-3 units from</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17"/>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continuing operations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(0.42)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43.18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3"/>
          </w:tcPr>
          <w:p>
            <w:pPr>
              <w:ind w:left="80"/>
              <w:spacing w:after="0"/>
              <w:rPr>
                <w:sz w:val="20"/>
                <w:szCs w:val="20"/>
                <w:color w:val="auto"/>
              </w:rPr>
            </w:pPr>
            <w:r>
              <w:rPr>
                <w:rFonts w:ascii="Arial" w:cs="Arial" w:eastAsia="Arial" w:hAnsi="Arial"/>
                <w:sz w:val="18"/>
                <w:szCs w:val="18"/>
                <w:color w:val="auto"/>
              </w:rPr>
              <w:t>N/A</w:t>
            </w:r>
          </w:p>
        </w:tc>
      </w:tr>
      <w:tr>
        <w:trPr>
          <w:trHeight w:val="21"/>
        </w:trPr>
        <w:tc>
          <w:tcPr>
            <w:tcW w:w="15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8"/>
        </w:trPr>
        <w:tc>
          <w:tcPr>
            <w:tcW w:w="1540" w:type="dxa"/>
            <w:vAlign w:val="bottom"/>
          </w:tcPr>
          <w:p>
            <w:pPr>
              <w:spacing w:after="0"/>
              <w:rPr>
                <w:sz w:val="4"/>
                <w:szCs w:val="4"/>
                <w:color w:val="auto"/>
              </w:rPr>
            </w:pPr>
          </w:p>
        </w:tc>
        <w:tc>
          <w:tcPr>
            <w:tcW w:w="3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29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earnings per Class A-1, A-2 and A-3 units from</w:t>
            </w: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r>
      <w:tr>
        <w:trPr>
          <w:trHeight w:val="257"/>
        </w:trPr>
        <w:tc>
          <w:tcPr>
            <w:tcW w:w="5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N/A</w:t>
            </w:r>
          </w:p>
        </w:tc>
      </w:tr>
      <w:tr>
        <w:trPr>
          <w:trHeight w:val="48"/>
        </w:trPr>
        <w:tc>
          <w:tcPr>
            <w:tcW w:w="1540" w:type="dxa"/>
            <w:vAlign w:val="bottom"/>
            <w:tcBorders>
              <w:top w:val="single" w:sz="8" w:color="CCEEFF"/>
            </w:tcBorders>
            <w:shd w:val="clear" w:color="auto" w:fill="CCEEFF"/>
          </w:tcPr>
          <w:p>
            <w:pPr>
              <w:spacing w:after="0"/>
              <w:rPr>
                <w:sz w:val="4"/>
                <w:szCs w:val="4"/>
                <w:color w:val="auto"/>
              </w:rPr>
            </w:pPr>
          </w:p>
        </w:tc>
        <w:tc>
          <w:tcPr>
            <w:tcW w:w="3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r>
      <w:tr>
        <w:trPr>
          <w:trHeight w:val="297"/>
        </w:trPr>
        <w:tc>
          <w:tcPr>
            <w:tcW w:w="5380" w:type="dxa"/>
            <w:vAlign w:val="bottom"/>
            <w:gridSpan w:val="2"/>
          </w:tcPr>
          <w:p>
            <w:pPr>
              <w:spacing w:after="0"/>
              <w:rPr>
                <w:sz w:val="20"/>
                <w:szCs w:val="20"/>
                <w:color w:val="auto"/>
              </w:rPr>
            </w:pPr>
            <w:r>
              <w:rPr>
                <w:rFonts w:ascii="Arial" w:cs="Arial" w:eastAsia="Arial" w:hAnsi="Arial"/>
                <w:sz w:val="18"/>
                <w:szCs w:val="18"/>
                <w:color w:val="auto"/>
              </w:rPr>
              <w:t>Basic and diluted earnings (loss) per Class A-1, A-2 and A-3 units</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(0.42)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43.18</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gridSpan w:val="3"/>
          </w:tcPr>
          <w:p>
            <w:pPr>
              <w:ind w:left="80"/>
              <w:spacing w:after="0"/>
              <w:rPr>
                <w:sz w:val="20"/>
                <w:szCs w:val="20"/>
                <w:color w:val="auto"/>
              </w:rPr>
            </w:pPr>
            <w:r>
              <w:rPr>
                <w:rFonts w:ascii="Arial" w:cs="Arial" w:eastAsia="Arial" w:hAnsi="Arial"/>
                <w:sz w:val="18"/>
                <w:szCs w:val="18"/>
                <w:color w:val="auto"/>
              </w:rPr>
              <w:t>N/A</w:t>
            </w:r>
          </w:p>
        </w:tc>
      </w:tr>
      <w:tr>
        <w:trPr>
          <w:trHeight w:val="21"/>
        </w:trPr>
        <w:tc>
          <w:tcPr>
            <w:tcW w:w="15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8"/>
        </w:trPr>
        <w:tc>
          <w:tcPr>
            <w:tcW w:w="1540" w:type="dxa"/>
            <w:vAlign w:val="bottom"/>
          </w:tcPr>
          <w:p>
            <w:pPr>
              <w:spacing w:after="0"/>
              <w:rPr>
                <w:sz w:val="4"/>
                <w:szCs w:val="4"/>
                <w:color w:val="auto"/>
              </w:rPr>
            </w:pPr>
          </w:p>
        </w:tc>
        <w:tc>
          <w:tcPr>
            <w:tcW w:w="3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344"/>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weighted-average number of units outstanding</w:t>
            </w:r>
          </w:p>
        </w:tc>
        <w:tc>
          <w:tcPr>
            <w:tcW w:w="9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899,160</w:t>
            </w:r>
          </w:p>
        </w:tc>
        <w:tc>
          <w:tcPr>
            <w:tcW w:w="100" w:type="dxa"/>
            <w:vAlign w:val="bottom"/>
            <w:shd w:val="clear" w:color="auto" w:fill="CCEEFF"/>
          </w:tcPr>
          <w:p>
            <w:pPr>
              <w:spacing w:after="0"/>
              <w:rPr>
                <w:sz w:val="24"/>
                <w:szCs w:val="24"/>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899,160</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N/A</w:t>
            </w:r>
          </w:p>
        </w:tc>
      </w:tr>
      <w:tr>
        <w:trPr>
          <w:trHeight w:val="689"/>
        </w:trPr>
        <w:tc>
          <w:tcPr>
            <w:tcW w:w="538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Balance Sheet Data:</w:t>
            </w: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r>
      <w:tr>
        <w:trPr>
          <w:trHeight w:val="339"/>
        </w:trPr>
        <w:tc>
          <w:tcPr>
            <w:tcW w:w="15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gridSpan w:val="10"/>
          </w:tcPr>
          <w:p>
            <w:pPr>
              <w:jc w:val="center"/>
              <w:ind w:right="470"/>
              <w:spacing w:after="0"/>
              <w:rPr>
                <w:sz w:val="20"/>
                <w:szCs w:val="20"/>
                <w:color w:val="auto"/>
              </w:rPr>
            </w:pPr>
            <w:r>
              <w:rPr>
                <w:rFonts w:ascii="Arial" w:cs="Arial" w:eastAsia="Arial" w:hAnsi="Arial"/>
                <w:sz w:val="14"/>
                <w:szCs w:val="14"/>
                <w:b w:val="1"/>
                <w:bCs w:val="1"/>
                <w:color w:val="auto"/>
                <w:w w:val="90"/>
              </w:rPr>
              <w:t>As of the December 31,</w:t>
            </w:r>
          </w:p>
        </w:tc>
      </w:tr>
      <w:tr>
        <w:trPr>
          <w:trHeight w:val="53"/>
        </w:trPr>
        <w:tc>
          <w:tcPr>
            <w:tcW w:w="1540" w:type="dxa"/>
            <w:vAlign w:val="bottom"/>
          </w:tcPr>
          <w:p>
            <w:pPr>
              <w:spacing w:after="0"/>
              <w:rPr>
                <w:sz w:val="4"/>
                <w:szCs w:val="4"/>
                <w:color w:val="auto"/>
              </w:rPr>
            </w:pPr>
          </w:p>
        </w:tc>
        <w:tc>
          <w:tcPr>
            <w:tcW w:w="3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224"/>
        </w:trPr>
        <w:tc>
          <w:tcPr>
            <w:tcW w:w="53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2021</w:t>
            </w:r>
          </w:p>
        </w:tc>
      </w:tr>
      <w:tr>
        <w:trPr>
          <w:trHeight w:val="53"/>
        </w:trPr>
        <w:tc>
          <w:tcPr>
            <w:tcW w:w="1540" w:type="dxa"/>
            <w:vAlign w:val="bottom"/>
            <w:tcBorders>
              <w:bottom w:val="single" w:sz="8" w:color="CCEEFF"/>
            </w:tcBorders>
          </w:tcPr>
          <w:p>
            <w:pPr>
              <w:spacing w:after="0"/>
              <w:rPr>
                <w:sz w:val="4"/>
                <w:szCs w:val="4"/>
                <w:color w:val="auto"/>
              </w:rPr>
            </w:pPr>
          </w:p>
        </w:tc>
        <w:tc>
          <w:tcPr>
            <w:tcW w:w="384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311"/>
        </w:trPr>
        <w:tc>
          <w:tcPr>
            <w:tcW w:w="5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4"/>
            <w:shd w:val="clear" w:color="auto" w:fill="CCEEFF"/>
          </w:tcPr>
          <w:p>
            <w:pPr>
              <w:jc w:val="right"/>
              <w:ind w:right="8"/>
              <w:spacing w:after="0"/>
              <w:rPr>
                <w:sz w:val="20"/>
                <w:szCs w:val="20"/>
                <w:color w:val="auto"/>
              </w:rPr>
            </w:pPr>
            <w:r>
              <w:rPr>
                <w:rFonts w:ascii="Arial" w:cs="Arial" w:eastAsia="Arial" w:hAnsi="Arial"/>
                <w:sz w:val="18"/>
                <w:szCs w:val="18"/>
                <w:color w:val="auto"/>
                <w:w w:val="96"/>
              </w:rPr>
              <w:t>$ 4,968</w:t>
            </w:r>
          </w:p>
        </w:tc>
        <w:tc>
          <w:tcPr>
            <w:tcW w:w="2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$19,919</w:t>
            </w:r>
          </w:p>
        </w:tc>
        <w:tc>
          <w:tcPr>
            <w:tcW w:w="3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$ 67,777</w:t>
            </w:r>
          </w:p>
        </w:tc>
      </w:tr>
      <w:tr>
        <w:trPr>
          <w:trHeight w:val="324"/>
        </w:trPr>
        <w:tc>
          <w:tcPr>
            <w:tcW w:w="5380" w:type="dxa"/>
            <w:vAlign w:val="bottom"/>
            <w:gridSpan w:val="2"/>
          </w:tcPr>
          <w:p>
            <w:pPr>
              <w:spacing w:after="0" w:line="324" w:lineRule="exact"/>
              <w:rPr>
                <w:sz w:val="20"/>
                <w:szCs w:val="20"/>
                <w:color w:val="auto"/>
              </w:rPr>
            </w:pPr>
            <w:r>
              <w:rPr>
                <w:rFonts w:ascii="Arial" w:cs="Arial" w:eastAsia="Arial" w:hAnsi="Arial"/>
                <w:sz w:val="18"/>
                <w:szCs w:val="18"/>
                <w:color w:val="auto"/>
              </w:rPr>
              <w:t>Working capital</w:t>
            </w:r>
            <w:r>
              <w:rPr>
                <w:rFonts w:ascii="Arial" w:cs="Arial" w:eastAsia="Arial" w:hAnsi="Arial"/>
                <w:sz w:val="29"/>
                <w:szCs w:val="29"/>
                <w:color w:val="auto"/>
                <w:vertAlign w:val="superscript"/>
              </w:rPr>
              <w:t>(1)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(9,970)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10,918</w:t>
            </w:r>
          </w:p>
        </w:tc>
        <w:tc>
          <w:tcPr>
            <w:tcW w:w="38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61,134</w:t>
            </w:r>
          </w:p>
        </w:tc>
      </w:tr>
      <w:tr>
        <w:trPr>
          <w:trHeight w:val="304"/>
        </w:trPr>
        <w:tc>
          <w:tcPr>
            <w:tcW w:w="5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4"/>
            <w:shd w:val="clear" w:color="auto" w:fill="CCEEFF"/>
          </w:tcPr>
          <w:p>
            <w:pPr>
              <w:jc w:val="right"/>
              <w:ind w:right="8"/>
              <w:spacing w:after="0"/>
              <w:rPr>
                <w:sz w:val="20"/>
                <w:szCs w:val="20"/>
                <w:color w:val="auto"/>
              </w:rPr>
            </w:pPr>
            <w:r>
              <w:rPr>
                <w:rFonts w:ascii="Arial" w:cs="Arial" w:eastAsia="Arial" w:hAnsi="Arial"/>
                <w:sz w:val="18"/>
                <w:szCs w:val="18"/>
                <w:color w:val="auto"/>
              </w:rPr>
              <w:t>33,754</w:t>
            </w:r>
          </w:p>
        </w:tc>
        <w:tc>
          <w:tcPr>
            <w:tcW w:w="2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53,894</w:t>
            </w:r>
          </w:p>
        </w:tc>
        <w:tc>
          <w:tcPr>
            <w:tcW w:w="3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365,144</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4"/>
          </w:tcPr>
          <w:p>
            <w:pPr>
              <w:jc w:val="right"/>
              <w:ind w:right="8"/>
              <w:spacing w:after="0"/>
              <w:rPr>
                <w:sz w:val="20"/>
                <w:szCs w:val="20"/>
                <w:color w:val="auto"/>
              </w:rPr>
            </w:pPr>
            <w:r>
              <w:rPr>
                <w:rFonts w:ascii="Arial" w:cs="Arial" w:eastAsia="Arial" w:hAnsi="Arial"/>
                <w:sz w:val="18"/>
                <w:szCs w:val="18"/>
                <w:color w:val="auto"/>
              </w:rPr>
              <w:t>205</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205</w:t>
            </w: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1540" w:type="dxa"/>
            <w:vAlign w:val="bottom"/>
          </w:tcPr>
          <w:p>
            <w:pPr>
              <w:spacing w:after="0"/>
              <w:rPr>
                <w:sz w:val="4"/>
                <w:szCs w:val="4"/>
                <w:color w:val="auto"/>
              </w:rPr>
            </w:pPr>
          </w:p>
        </w:tc>
        <w:tc>
          <w:tcPr>
            <w:tcW w:w="3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304"/>
        </w:trPr>
        <w:tc>
          <w:tcPr>
            <w:tcW w:w="5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4"/>
            <w:shd w:val="clear" w:color="auto" w:fill="CCEEFF"/>
          </w:tcPr>
          <w:p>
            <w:pPr>
              <w:jc w:val="right"/>
              <w:ind w:right="8"/>
              <w:spacing w:after="0"/>
              <w:rPr>
                <w:sz w:val="20"/>
                <w:szCs w:val="20"/>
                <w:color w:val="auto"/>
              </w:rPr>
            </w:pPr>
            <w:r>
              <w:rPr>
                <w:rFonts w:ascii="Arial" w:cs="Arial" w:eastAsia="Arial" w:hAnsi="Arial"/>
                <w:sz w:val="18"/>
                <w:szCs w:val="18"/>
                <w:color w:val="auto"/>
              </w:rPr>
              <w:t>20,955</w:t>
            </w:r>
          </w:p>
        </w:tc>
        <w:tc>
          <w:tcPr>
            <w:tcW w:w="2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24,623</w:t>
            </w:r>
          </w:p>
        </w:tc>
        <w:tc>
          <w:tcPr>
            <w:tcW w:w="3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233,204</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Total equity</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4"/>
          </w:tcPr>
          <w:p>
            <w:pPr>
              <w:jc w:val="right"/>
              <w:ind w:right="8"/>
              <w:spacing w:after="0"/>
              <w:rPr>
                <w:sz w:val="20"/>
                <w:szCs w:val="20"/>
                <w:color w:val="auto"/>
              </w:rPr>
            </w:pPr>
            <w:r>
              <w:rPr>
                <w:rFonts w:ascii="Arial" w:cs="Arial" w:eastAsia="Arial" w:hAnsi="Arial"/>
                <w:sz w:val="18"/>
                <w:szCs w:val="18"/>
                <w:color w:val="auto"/>
              </w:rPr>
              <w:t>12,799</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29,271</w:t>
            </w:r>
          </w:p>
        </w:tc>
        <w:tc>
          <w:tcPr>
            <w:tcW w:w="38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8"/>
              </w:rPr>
              <w:t>131,940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5449570</wp:posOffset>
            </wp:positionH>
            <wp:positionV relativeFrom="paragraph">
              <wp:posOffset>-3745230</wp:posOffset>
            </wp:positionV>
            <wp:extent cx="1543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4866640</wp:posOffset>
            </wp:positionH>
            <wp:positionV relativeFrom="paragraph">
              <wp:posOffset>-3745230</wp:posOffset>
            </wp:positionV>
            <wp:extent cx="1543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5501005</wp:posOffset>
            </wp:positionH>
            <wp:positionV relativeFrom="paragraph">
              <wp:posOffset>-1216660</wp:posOffset>
            </wp:positionV>
            <wp:extent cx="2400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4883785</wp:posOffset>
            </wp:positionH>
            <wp:positionV relativeFrom="paragraph">
              <wp:posOffset>-1216660</wp:posOffset>
            </wp:positionV>
            <wp:extent cx="2400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4352290</wp:posOffset>
            </wp:positionH>
            <wp:positionV relativeFrom="paragraph">
              <wp:posOffset>-1216660</wp:posOffset>
            </wp:positionV>
            <wp:extent cx="120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188595</wp:posOffset>
            </wp:positionV>
            <wp:extent cx="8229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26" w:lineRule="exact"/>
        <w:rPr>
          <w:sz w:val="20"/>
          <w:szCs w:val="20"/>
          <w:color w:val="auto"/>
        </w:rPr>
      </w:pPr>
    </w:p>
    <w:p>
      <w:pPr>
        <w:ind w:left="1640" w:hanging="348"/>
        <w:spacing w:after="0"/>
        <w:tabs>
          <w:tab w:leader="none" w:pos="1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Working capital is defined as current assets less current liabilities.</w:t>
      </w:r>
    </w:p>
    <w:p>
      <w:pPr>
        <w:spacing w:after="0" w:line="33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Historical Cash Flow: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160" w:type="dxa"/>
            <w:vAlign w:val="bottom"/>
            <w:gridSpan w:val="6"/>
          </w:tcPr>
          <w:p>
            <w:pPr>
              <w:ind w:left="640"/>
              <w:spacing w:after="0"/>
              <w:rPr>
                <w:sz w:val="20"/>
                <w:szCs w:val="20"/>
                <w:color w:val="auto"/>
              </w:rPr>
            </w:pPr>
            <w:r>
              <w:rPr>
                <w:rFonts w:ascii="Arial" w:cs="Arial" w:eastAsia="Arial" w:hAnsi="Arial"/>
                <w:sz w:val="14"/>
                <w:szCs w:val="14"/>
                <w:b w:val="1"/>
                <w:bCs w:val="1"/>
                <w:color w:val="auto"/>
              </w:rPr>
              <w:t>Year Ended December 31,</w:t>
            </w:r>
          </w:p>
        </w:tc>
      </w:tr>
      <w:tr>
        <w:trPr>
          <w:trHeight w:val="53"/>
        </w:trPr>
        <w:tc>
          <w:tcPr>
            <w:tcW w:w="1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1300" w:type="dxa"/>
            <w:vAlign w:val="bottom"/>
          </w:tcPr>
          <w:p>
            <w:pPr>
              <w:spacing w:after="0"/>
              <w:rPr>
                <w:sz w:val="4"/>
                <w:szCs w:val="4"/>
                <w:color w:val="auto"/>
              </w:rPr>
            </w:pPr>
          </w:p>
        </w:tc>
      </w:tr>
      <w:tr>
        <w:trPr>
          <w:trHeight w:val="225"/>
        </w:trPr>
        <w:tc>
          <w:tcPr>
            <w:tcW w:w="130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42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9"/>
                <w:szCs w:val="19"/>
                <w:color w:val="auto"/>
              </w:rPr>
            </w:pPr>
          </w:p>
        </w:tc>
        <w:tc>
          <w:tcPr>
            <w:tcW w:w="700" w:type="dxa"/>
            <w:vAlign w:val="bottom"/>
          </w:tcPr>
          <w:p>
            <w:pPr>
              <w:jc w:val="right"/>
              <w:ind w:right="115"/>
              <w:spacing w:after="0"/>
              <w:rPr>
                <w:sz w:val="20"/>
                <w:szCs w:val="20"/>
                <w:color w:val="auto"/>
              </w:rPr>
            </w:pPr>
            <w:r>
              <w:rPr>
                <w:rFonts w:ascii="Arial" w:cs="Arial" w:eastAsia="Arial" w:hAnsi="Arial"/>
                <w:sz w:val="14"/>
                <w:szCs w:val="14"/>
                <w:b w:val="1"/>
                <w:bCs w:val="1"/>
                <w:color w:val="auto"/>
              </w:rPr>
              <w:t>2020</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2021</w:t>
            </w:r>
          </w:p>
        </w:tc>
        <w:tc>
          <w:tcPr>
            <w:tcW w:w="1300" w:type="dxa"/>
            <w:vAlign w:val="bottom"/>
          </w:tcPr>
          <w:p>
            <w:pPr>
              <w:spacing w:after="0"/>
              <w:rPr>
                <w:sz w:val="19"/>
                <w:szCs w:val="19"/>
                <w:color w:val="auto"/>
              </w:rPr>
            </w:pPr>
          </w:p>
        </w:tc>
      </w:tr>
      <w:tr>
        <w:trPr>
          <w:trHeight w:val="53"/>
        </w:trPr>
        <w:tc>
          <w:tcPr>
            <w:tcW w:w="1300" w:type="dxa"/>
            <w:vAlign w:val="bottom"/>
          </w:tcPr>
          <w:p>
            <w:pPr>
              <w:spacing w:after="0"/>
              <w:rPr>
                <w:sz w:val="4"/>
                <w:szCs w:val="4"/>
                <w:color w:val="auto"/>
              </w:rPr>
            </w:pPr>
          </w:p>
        </w:tc>
        <w:tc>
          <w:tcPr>
            <w:tcW w:w="3860" w:type="dxa"/>
            <w:vAlign w:val="bottom"/>
            <w:tcBorders>
              <w:bottom w:val="single" w:sz="8" w:color="CCEEFF"/>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6,295</w:t>
            </w:r>
          </w:p>
        </w:tc>
        <w:tc>
          <w:tcPr>
            <w:tcW w:w="3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$ 38,620</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$ 23,092</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(5,129)</w:t>
            </w: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(1,311)</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(30,435)</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Net cash provided by (used in) financing activities</w:t>
            </w:r>
          </w:p>
        </w:tc>
        <w:tc>
          <w:tcPr>
            <w:tcW w:w="2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(21,969)</w:t>
            </w:r>
          </w:p>
        </w:tc>
        <w:tc>
          <w:tcPr>
            <w:tcW w:w="3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(22,358)</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55,201</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700" w:type="dxa"/>
            <w:vAlign w:val="bottom"/>
          </w:tcPr>
          <w:p>
            <w:pPr>
              <w:jc w:val="right"/>
              <w:ind w:right="1174"/>
              <w:spacing w:after="0"/>
              <w:rPr>
                <w:sz w:val="20"/>
                <w:szCs w:val="20"/>
                <w:color w:val="auto"/>
              </w:rPr>
            </w:pPr>
            <w:r>
              <w:rPr>
                <w:rFonts w:ascii="Arial" w:cs="Arial" w:eastAsia="Arial" w:hAnsi="Arial"/>
                <w:sz w:val="18"/>
                <w:szCs w:val="18"/>
                <w:color w:val="auto"/>
              </w:rPr>
              <w:t>49</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-1045210</wp:posOffset>
            </wp:positionV>
            <wp:extent cx="22288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4815205</wp:posOffset>
            </wp:positionH>
            <wp:positionV relativeFrom="paragraph">
              <wp:posOffset>-1045210</wp:posOffset>
            </wp:positionV>
            <wp:extent cx="22288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-1045210</wp:posOffset>
            </wp:positionV>
            <wp:extent cx="1117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ectPr>
          <w:pgSz w:w="11900" w:h="16838" w:orient="portrait"/>
          <w:cols w:equalWidth="0" w:num="1">
            <w:col w:w="11020"/>
          </w:cols>
          <w:pgMar w:left="440" w:top="262" w:right="439" w:bottom="1440" w:gutter="0" w:footer="0" w:header="0"/>
        </w:sectPr>
      </w:pPr>
    </w:p>
    <w:bookmarkStart w:id="51" w:name="page52"/>
    <w:bookmarkEnd w:id="5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300" w:right="319"/>
        <w:spacing w:after="0" w:line="282"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8"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consolidated financial statements and notes to those statements included in this prospectus. Certain information contained in the discussion and analysis set forth below contains forward-looking statements that involve risks and uncertainties. Our actual results may differ materially from those anticipated in these forward-looking statements as a result of many factors. Please see the sections entitled “Cautionary Statement Regarding Forward-Looking Statements” and “Risk Factors” and elsewhere in this prospectus.</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On June 16, 2021, WM Holding Company, LLC (when referred to in its pre-Business Combination capacity, “Legacy WMH” and following the Business Combination, “WMH LLC”) completed its previously announced business combination with Silver Spike Acquisition Corp (“Silver Spike”). Legacy WMH was deemed to be the accounting acquirer under accounting principles generally accepted in the United States of America (“GAAP”). In connection with the closing, Silver Spike changed its name to WM Technology, Inc. As used in this prospectus, unless the context requires otherwise, references to the “Company,” “we,” “us,” and “our,” and similar references refer to WM Technology, Inc, and its subsidiaries following the Business Combination and to Legacy WMH prior to the Business Combination.</w:t>
      </w:r>
    </w:p>
    <w:p>
      <w:pPr>
        <w:spacing w:after="0" w:line="84"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WM Technology, Inc. is one of the oldest and largest marketplace and technology solutions providers exclusively servicing the cannabis industry, primarily consumers, retailers and brands in the United States state-legal and Canadian cannabis markets. Our business consists of our commerce-driven marketplace, Weedmaps, and our monthly subscription software offering, WM Business. Our Weedmaps marketplace provides information on the cannabis plant and the industry and advocates for legalization. The Weedmaps marketplace provides consumers with information regarding cannabis retailers and brands, as well as the strain, pricing, and other information regarding locally available cannabis products, through our website and mobile apps, permitting product discovery, access to deals and discounts, and reservation of products for pickup by consumers or delivery to consumers by participating retailers. As of December 31, 2021, we had over 15 million monthly active users on our marketplace. We believe the size of our user base and the frequency of consumption of cannabis of that user base is highly valuable to our clients and results in clients paying for our services. WM Business, our subscription package, is a comprehensive set of eCommerce and compliance software solutions catered towards cannabis retailers, delivery services and brands where clients receive access to a standard listing page and our suite of software solutions, including WM Orders, WM Dispatch, WM Store, WM Dashboard, our integrations and API platform, as well as access to our WM Retail and WM Exchange products, where available. We charge a monthly fee to clients for access to our WM Business subscription package and then offer other add-on products for additional fees, including our featured listings and our Sprout (customer relationship management) and Cannveya (delivery and logistics software) solutions. We sell our WM Business offering in the United States, currently offer some of our WM Business solutions in Canada and have a limited number of non-monetized listings in several other countries, including Austria, Germany, the Netherlands, Spain and Switzerland. We operate in the United States, Canada, and other foreign jurisdictions where medical and/or adult cannabis use is legal under state or applicable national law. We are headquartered in Irvine, California.</w:t>
      </w:r>
    </w:p>
    <w:p>
      <w:pPr>
        <w:spacing w:after="0" w:line="72"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were founded in 2008 and operate a leading online marketplace with a comprehensive set of eCommerce and compliance software solutions sold to retailers and brands in the U.S. state-legal and Canadian cannabis markets. The Company’s mission is to power a transparent and inclusive global cannabis economy. We address the challenges facing both consumers seeking to understand cannabis products and businesses who serve cannabis users in a legally compliant fashion with our Weedmaps marketplace and WM Business software solutions. Over the past 13 years, we have grown the Weedmaps marketplace to become a premier destination for cannabis consumers to discover and browse information regarding cannabis and cannabis products, permitting product discovery and order-ahead for pickup or delivery by participating retailers. WM Business is a set of eCommerce-enablement tools designed to help our retailer and brand clients get the best out of their Weedmaps experience, while creating labor efficiency and managing their compliance needs.</w:t>
      </w:r>
    </w:p>
    <w:p>
      <w:pPr>
        <w:spacing w:after="0" w:line="77" w:lineRule="exact"/>
        <w:rPr>
          <w:sz w:val="20"/>
          <w:szCs w:val="20"/>
          <w:color w:val="auto"/>
        </w:rPr>
      </w:pPr>
    </w:p>
    <w:p>
      <w:pPr>
        <w:jc w:val="both"/>
        <w:ind w:left="300" w:right="319" w:firstLine="360"/>
        <w:spacing w:after="0" w:line="296" w:lineRule="auto"/>
        <w:rPr>
          <w:sz w:val="20"/>
          <w:szCs w:val="20"/>
          <w:color w:val="auto"/>
        </w:rPr>
      </w:pPr>
      <w:r>
        <w:rPr>
          <w:rFonts w:ascii="Arial" w:cs="Arial" w:eastAsia="Arial" w:hAnsi="Arial"/>
          <w:sz w:val="16"/>
          <w:szCs w:val="16"/>
          <w:color w:val="auto"/>
        </w:rPr>
        <w:t>We have grown the Weedmaps marketplace to become the premier destination for cannabis consumers to discover and browse information regarding cannabis and cannabis products, with 15.7 million monthly active users (“MAUs”) as of December 31, 2021 on the demand-side and 4,337 average monthly paying business clients during the year ended December 31, 2021 on the supply-side of our marketplace. These paying clients include retailers, brands and other client types (such as doctors). Further, these clients, who can choose to purchase multiple listings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 w:name="page53"/>
    <w:bookmarkEnd w:id="5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solutions for each business, had purchased approximately 9,500 listing pages as of December 31, 2021 (of the over 18,600 listing pages on the marketplace). The Weedmaps marketplace provides consumers with information regarding cannabis retailers and brands, as well as the strain, pricing, and other information regarding locally available cannabis products, through our website and mobile apps, permitting product discovery and order-ahead for pickup or delivery by participating retailers. We provide consumers with discovery channels to improve their knowledge of the local market for cannabis products, whether they are looking by strain, price, effects or form factors. Our weedmaps.com site, our iOS Weedmaps mobile application and our Android Weedmaps mobile application also have educational content including news articles, information about cannabis strains, a number of “how-to” guides, policy white-papers and research to allow consumers to educate themselves on cannabis and its history, uses and legal status. While consumers can discover cannabis products, brands, and retailers on our site, we neither sell (or fulfill purchases of) cannabis products, nor do we process payments for cannabis transactions across our marketplace or SaaS solutions.</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Business Combination and Public Company Costs</w:t>
      </w:r>
    </w:p>
    <w:p>
      <w:pPr>
        <w:spacing w:after="0" w:line="121"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On June 16, 2021, Silver Spike consummated the business combination (the “Business Combination”) pursuant to the certain Agreement and Plan of Merger, dated December 10, 2020 (the “Merger Agreement”), by and among Silver Spike, Silver Spike Merger Sub LLC, a Delaware limited liability company and a wholly owned direct subsidiary of Silver Spike Acquisition Corp. (“Merger Sub”), Legacy WMH, and Ghost Media Group, LLC, a Nevada limited liability company, solely in its capacity as the initial holder representative (the “Holder Representative”). Pursuant to the Merger Agreement, Merger Sub merged with and into Legacy WMH, whereupon the separate limited liability company existence of Merger Sub ceased and Legacy WMH became the surviving company and continued in existence as a subsidiary of Silver Spike. On the Closing Date, and in connection with the Closing, Silver Spike changed its name to WM Technology, Inc. Legacy WMH was deemed to be the accounting acquirer in the Business Combination based on an analysis of the criteria outlined in Accounting Standards Codification 805. While Silver Spike was the legal acquirer in the Business Combination, because Legacy WMH was deemed the accounting acquirer, the historical financial statements of Legacy WMH became the historical financial statements of the combined company, upon the Closing.</w:t>
      </w:r>
    </w:p>
    <w:p>
      <w:pPr>
        <w:spacing w:after="0" w:line="78"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The Business Combination was accounted for as a “reverse recapitalization.” A reverse recapitalization does not result in a new basis of accounting, and the financial statements of the combined entity represent the continuation of the financial statements of Legacy WMH in many respects. Under this method of accounting, Silver Spike was treated as the “acquired” company for financial reporting purposes. For accounting purposes, Legacy WMH was deemed to be the accounting acquirer in the transaction and, consequently, the transaction was treated as a recapitalization of Legacy WMH (i.e., a capital transaction involving the issuance of stock by Silver Spike for the stock of Legacy WMH). Accordingly, the consolidated assets, liabilities and results of operations of Legacy WMH became the historical financial statements of the combined company, and Silver Spike’s assets, liabilities and results of operations were consolidated with Legacy WMH beginning on the acquisition date. Operations prior to the Business Combination are presented as those of Legacy WMH. The net assets of Silver Spike were recognized at historical cost (which are consistent with carrying value), with no goodwill or other intangible assets recorded.</w:t>
      </w:r>
    </w:p>
    <w:p>
      <w:pPr>
        <w:spacing w:after="0" w:line="64"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As a consequence of the Business Combination, Legacy WMH became the successor to an SEC-registered and Nasdaq-listed company which requires us to hire additional personnel and implement procedures and processes to address public company regulatory requirements and customary practices. We have and expect to continue to incur additional annual expenses as a public company for, among other things, directors’ and officers’ liability insurance, director fees and additional internal and external accounting, legal and administrative resources, including increased audit and legal fees.</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Key Operating and Financial Metrics</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We monitor the following key financial and operational metrics to evaluate our business, measure our performance, identify trends affecting our business, formulate business plans, and make strategic decisions. Subsequent to the Business Combination, we modified our definition and calculation of three of our Key Operating and Financial Metrics: (a) average monthly revenue per paying client, (b) average monthly paying clients, and</w:t>
      </w:r>
    </w:p>
    <w:p>
      <w:pPr>
        <w:spacing w:after="0" w:line="1" w:lineRule="exact"/>
        <w:rPr>
          <w:sz w:val="20"/>
          <w:szCs w:val="20"/>
          <w:color w:val="auto"/>
        </w:rPr>
      </w:pPr>
    </w:p>
    <w:p>
      <w:pPr>
        <w:jc w:val="both"/>
        <w:ind w:left="300" w:right="299" w:hanging="8"/>
        <w:spacing w:after="0" w:line="253" w:lineRule="auto"/>
        <w:tabs>
          <w:tab w:leader="none" w:pos="553"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MAUs. We made these modifications in order to better reflect our performance during a reporting period and to make these key metrics more easily comparable on a period-to-period basis. The changes to these metrics and a comparison to previous calculations are described below. We are providing our prior definitions of these key metrics, as well as a calculation of what our results would have been pursuant to such prior definitions, for the applicable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periods so that investors and potential investors that have analyzed these key metrics historically using our prior definitions can compare our historical results to our current results with respect to these key metrics using the prior definitions. To see what our historical average monthly revenue per paying client, average monthly paying clients and monthly active users would have been for the years ended December 31, 2020 and 2019 using our modified definitions, as well as a comparison to what the results were using our prior definitions, please refer to our earnings release included as Exhibit 99.1 in our Current Report on Form 8-K, filed August 12, 2021.</w:t>
      </w:r>
    </w:p>
    <w:p>
      <w:pPr>
        <w:spacing w:after="0" w:line="143"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2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53"/>
        </w:trPr>
        <w:tc>
          <w:tcPr>
            <w:tcW w:w="1280" w:type="dxa"/>
            <w:vAlign w:val="bottom"/>
          </w:tcPr>
          <w:p>
            <w:pPr>
              <w:spacing w:after="0"/>
              <w:rPr>
                <w:sz w:val="4"/>
                <w:szCs w:val="4"/>
                <w:color w:val="auto"/>
              </w:rPr>
            </w:pPr>
          </w:p>
        </w:tc>
        <w:tc>
          <w:tcPr>
            <w:tcW w:w="324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24"/>
        </w:trPr>
        <w:tc>
          <w:tcPr>
            <w:tcW w:w="12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740" w:type="dxa"/>
            <w:vAlign w:val="bottom"/>
          </w:tcPr>
          <w:p>
            <w:pPr>
              <w:spacing w:after="0"/>
              <w:rPr>
                <w:sz w:val="19"/>
                <w:szCs w:val="19"/>
                <w:color w:val="auto"/>
              </w:rPr>
            </w:pPr>
          </w:p>
        </w:tc>
        <w:tc>
          <w:tcPr>
            <w:tcW w:w="1120" w:type="dxa"/>
            <w:vAlign w:val="bottom"/>
          </w:tcPr>
          <w:p>
            <w:pPr>
              <w:jc w:val="center"/>
              <w:ind w:right="633"/>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9"/>
                <w:szCs w:val="19"/>
                <w:color w:val="auto"/>
              </w:rPr>
            </w:pPr>
          </w:p>
        </w:tc>
        <w:tc>
          <w:tcPr>
            <w:tcW w:w="780" w:type="dxa"/>
            <w:vAlign w:val="bottom"/>
          </w:tcPr>
          <w:p>
            <w:pPr>
              <w:jc w:val="right"/>
              <w:ind w:right="353"/>
              <w:spacing w:after="0"/>
              <w:rPr>
                <w:sz w:val="20"/>
                <w:szCs w:val="20"/>
                <w:color w:val="auto"/>
              </w:rPr>
            </w:pPr>
            <w:r>
              <w:rPr>
                <w:rFonts w:ascii="Arial" w:cs="Arial" w:eastAsia="Arial" w:hAnsi="Arial"/>
                <w:sz w:val="14"/>
                <w:szCs w:val="14"/>
                <w:b w:val="1"/>
                <w:bCs w:val="1"/>
                <w:color w:val="auto"/>
              </w:rPr>
              <w:t>2019</w:t>
            </w:r>
          </w:p>
        </w:tc>
      </w:tr>
      <w:tr>
        <w:trPr>
          <w:trHeight w:val="53"/>
        </w:trPr>
        <w:tc>
          <w:tcPr>
            <w:tcW w:w="1280" w:type="dxa"/>
            <w:vAlign w:val="bottom"/>
          </w:tcPr>
          <w:p>
            <w:pPr>
              <w:spacing w:after="0"/>
              <w:rPr>
                <w:sz w:val="4"/>
                <w:szCs w:val="4"/>
                <w:color w:val="auto"/>
              </w:rPr>
            </w:pPr>
          </w:p>
        </w:tc>
        <w:tc>
          <w:tcPr>
            <w:tcW w:w="3240" w:type="dxa"/>
            <w:vAlign w:val="bottom"/>
          </w:tcPr>
          <w:p>
            <w:pPr>
              <w:spacing w:after="0"/>
              <w:rPr>
                <w:sz w:val="4"/>
                <w:szCs w:val="4"/>
                <w:color w:val="auto"/>
              </w:rPr>
            </w:pPr>
          </w:p>
        </w:tc>
        <w:tc>
          <w:tcPr>
            <w:tcW w:w="3900" w:type="dxa"/>
            <w:vAlign w:val="bottom"/>
            <w:tcBorders>
              <w:bottom w:val="single" w:sz="8" w:color="auto"/>
            </w:tcBorders>
            <w:gridSpan w:val="6"/>
          </w:tcPr>
          <w:p>
            <w:pPr>
              <w:spacing w:after="0"/>
              <w:rPr>
                <w:sz w:val="4"/>
                <w:szCs w:val="4"/>
                <w:color w:val="auto"/>
              </w:rPr>
            </w:pPr>
          </w:p>
        </w:tc>
      </w:tr>
      <w:tr>
        <w:trPr>
          <w:trHeight w:val="224"/>
        </w:trPr>
        <w:tc>
          <w:tcPr>
            <w:tcW w:w="12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9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1"/>
              </w:rPr>
              <w:t>(dollars in thousands, except for revenue per paying client)</w:t>
            </w:r>
          </w:p>
        </w:tc>
      </w:tr>
      <w:tr>
        <w:trPr>
          <w:trHeight w:val="53"/>
        </w:trPr>
        <w:tc>
          <w:tcPr>
            <w:tcW w:w="1280" w:type="dxa"/>
            <w:vAlign w:val="bottom"/>
          </w:tcPr>
          <w:p>
            <w:pPr>
              <w:spacing w:after="0"/>
              <w:rPr>
                <w:sz w:val="4"/>
                <w:szCs w:val="4"/>
                <w:color w:val="auto"/>
              </w:rPr>
            </w:pPr>
          </w:p>
        </w:tc>
        <w:tc>
          <w:tcPr>
            <w:tcW w:w="3240" w:type="dxa"/>
            <w:vAlign w:val="bottom"/>
          </w:tcPr>
          <w:p>
            <w:pPr>
              <w:spacing w:after="0"/>
              <w:rPr>
                <w:sz w:val="4"/>
                <w:szCs w:val="4"/>
                <w:color w:val="auto"/>
              </w:rPr>
            </w:pPr>
          </w:p>
        </w:tc>
        <w:tc>
          <w:tcPr>
            <w:tcW w:w="1020" w:type="dxa"/>
            <w:vAlign w:val="bottom"/>
            <w:gridSpan w:val="2"/>
          </w:tcPr>
          <w:p>
            <w:pPr>
              <w:spacing w:after="0"/>
              <w:rPr>
                <w:sz w:val="4"/>
                <w:szCs w:val="4"/>
                <w:color w:val="auto"/>
              </w:rPr>
            </w:pPr>
          </w:p>
        </w:tc>
        <w:tc>
          <w:tcPr>
            <w:tcW w:w="1860" w:type="dxa"/>
            <w:vAlign w:val="bottom"/>
            <w:gridSpan w:val="2"/>
          </w:tcPr>
          <w:p>
            <w:pPr>
              <w:spacing w:after="0"/>
              <w:rPr>
                <w:sz w:val="4"/>
                <w:szCs w:val="4"/>
                <w:color w:val="auto"/>
              </w:rPr>
            </w:pPr>
          </w:p>
        </w:tc>
        <w:tc>
          <w:tcPr>
            <w:tcW w:w="1020" w:type="dxa"/>
            <w:vAlign w:val="bottom"/>
            <w:gridSpan w:val="2"/>
          </w:tcPr>
          <w:p>
            <w:pPr>
              <w:spacing w:after="0"/>
              <w:rPr>
                <w:sz w:val="4"/>
                <w:szCs w:val="4"/>
                <w:color w:val="auto"/>
              </w:rPr>
            </w:pPr>
          </w:p>
        </w:tc>
      </w:tr>
      <w:tr>
        <w:trPr>
          <w:trHeight w:val="318"/>
        </w:trPr>
        <w:tc>
          <w:tcPr>
            <w:tcW w:w="4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02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$193,146</w:t>
            </w:r>
          </w:p>
        </w:tc>
        <w:tc>
          <w:tcPr>
            <w:tcW w:w="1860" w:type="dxa"/>
            <w:vAlign w:val="bottom"/>
            <w:tcBorders>
              <w:bottom w:val="single" w:sz="8" w:color="CCEEFF"/>
            </w:tcBorders>
            <w:gridSpan w:val="2"/>
            <w:shd w:val="clear" w:color="auto" w:fill="CCEEFF"/>
          </w:tcPr>
          <w:p>
            <w:pPr>
              <w:jc w:val="right"/>
              <w:ind w:right="493"/>
              <w:spacing w:after="0"/>
              <w:rPr>
                <w:sz w:val="20"/>
                <w:szCs w:val="20"/>
                <w:color w:val="auto"/>
              </w:rPr>
            </w:pPr>
            <w:r>
              <w:rPr>
                <w:rFonts w:ascii="Arial" w:cs="Arial" w:eastAsia="Arial" w:hAnsi="Arial"/>
                <w:sz w:val="18"/>
                <w:szCs w:val="18"/>
                <w:color w:val="auto"/>
              </w:rPr>
              <w:t>$161,791</w:t>
            </w:r>
          </w:p>
        </w:tc>
        <w:tc>
          <w:tcPr>
            <w:tcW w:w="1020" w:type="dxa"/>
            <w:vAlign w:val="bottom"/>
            <w:tcBorders>
              <w:bottom w:val="single" w:sz="8" w:color="CCEEFF"/>
            </w:tcBorders>
            <w:gridSpan w:val="2"/>
            <w:shd w:val="clear" w:color="auto" w:fill="CCEEFF"/>
          </w:tcPr>
          <w:p>
            <w:pPr>
              <w:jc w:val="right"/>
              <w:ind w:right="153"/>
              <w:spacing w:after="0"/>
              <w:rPr>
                <w:sz w:val="20"/>
                <w:szCs w:val="20"/>
                <w:color w:val="auto"/>
              </w:rPr>
            </w:pPr>
            <w:r>
              <w:rPr>
                <w:rFonts w:ascii="Arial" w:cs="Arial" w:eastAsia="Arial" w:hAnsi="Arial"/>
                <w:sz w:val="18"/>
                <w:szCs w:val="18"/>
                <w:color w:val="auto"/>
              </w:rPr>
              <w:t>$144,232</w:t>
            </w:r>
          </w:p>
        </w:tc>
      </w:tr>
      <w:tr>
        <w:trPr>
          <w:trHeight w:val="270"/>
        </w:trPr>
        <w:tc>
          <w:tcPr>
            <w:tcW w:w="45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020" w:type="dxa"/>
            <w:vAlign w:val="bottom"/>
            <w:gridSpan w:val="2"/>
          </w:tcPr>
          <w:p>
            <w:pPr>
              <w:jc w:val="right"/>
              <w:ind w:right="14"/>
              <w:spacing w:after="0"/>
              <w:rPr>
                <w:sz w:val="20"/>
                <w:szCs w:val="20"/>
                <w:color w:val="auto"/>
              </w:rPr>
            </w:pPr>
            <w:r>
              <w:rPr>
                <w:rFonts w:ascii="Arial" w:cs="Arial" w:eastAsia="Arial" w:hAnsi="Arial"/>
                <w:sz w:val="18"/>
                <w:szCs w:val="18"/>
                <w:color w:val="auto"/>
              </w:rPr>
              <w:t>$152,218</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93"/>
              <w:spacing w:after="0"/>
              <w:rPr>
                <w:sz w:val="20"/>
                <w:szCs w:val="20"/>
                <w:color w:val="auto"/>
              </w:rPr>
            </w:pPr>
            <w:r>
              <w:rPr>
                <w:rFonts w:ascii="Arial" w:cs="Arial" w:eastAsia="Arial" w:hAnsi="Arial"/>
                <w:sz w:val="18"/>
                <w:szCs w:val="18"/>
                <w:color w:val="auto"/>
                <w:w w:val="94"/>
              </w:rPr>
              <w:t>38,830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(375)</w:t>
            </w:r>
          </w:p>
        </w:tc>
      </w:tr>
      <w:tr>
        <w:trPr>
          <w:trHeight w:val="54"/>
        </w:trPr>
        <w:tc>
          <w:tcPr>
            <w:tcW w:w="1280" w:type="dxa"/>
            <w:vAlign w:val="bottom"/>
          </w:tcPr>
          <w:p>
            <w:pPr>
              <w:spacing w:after="0"/>
              <w:rPr>
                <w:sz w:val="4"/>
                <w:szCs w:val="4"/>
                <w:color w:val="auto"/>
              </w:rPr>
            </w:pPr>
          </w:p>
        </w:tc>
        <w:tc>
          <w:tcPr>
            <w:tcW w:w="3240" w:type="dxa"/>
            <w:vAlign w:val="bottom"/>
          </w:tcPr>
          <w:p>
            <w:pPr>
              <w:spacing w:after="0"/>
              <w:rPr>
                <w:sz w:val="4"/>
                <w:szCs w:val="4"/>
                <w:color w:val="auto"/>
              </w:rPr>
            </w:pPr>
          </w:p>
        </w:tc>
        <w:tc>
          <w:tcPr>
            <w:tcW w:w="102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324"/>
        </w:trPr>
        <w:tc>
          <w:tcPr>
            <w:tcW w:w="452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EBITDA</w:t>
            </w:r>
            <w:r>
              <w:rPr>
                <w:rFonts w:ascii="Arial" w:cs="Arial" w:eastAsia="Arial" w:hAnsi="Arial"/>
                <w:sz w:val="29"/>
                <w:szCs w:val="29"/>
                <w:color w:val="auto"/>
                <w:vertAlign w:val="superscript"/>
              </w:rPr>
              <w:t>(1)</w:t>
            </w:r>
          </w:p>
        </w:tc>
        <w:tc>
          <w:tcPr>
            <w:tcW w:w="102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$156,042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w w:val="94"/>
              </w:rPr>
              <w:t>42,808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6,232</w:t>
            </w:r>
          </w:p>
        </w:tc>
      </w:tr>
      <w:tr>
        <w:trPr>
          <w:trHeight w:val="324"/>
        </w:trPr>
        <w:tc>
          <w:tcPr>
            <w:tcW w:w="4520" w:type="dxa"/>
            <w:vAlign w:val="bottom"/>
            <w:gridSpan w:val="2"/>
          </w:tcPr>
          <w:p>
            <w:pPr>
              <w:spacing w:after="0" w:line="324" w:lineRule="exact"/>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w w:val="94"/>
              </w:rPr>
              <w:t>31,698</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93"/>
              <w:spacing w:after="0"/>
              <w:rPr>
                <w:sz w:val="20"/>
                <w:szCs w:val="20"/>
                <w:color w:val="auto"/>
              </w:rPr>
            </w:pPr>
            <w:r>
              <w:rPr>
                <w:rFonts w:ascii="Arial" w:cs="Arial" w:eastAsia="Arial" w:hAnsi="Arial"/>
                <w:sz w:val="18"/>
                <w:szCs w:val="18"/>
                <w:color w:val="auto"/>
                <w:w w:val="94"/>
              </w:rPr>
              <w:t>42,808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3"/>
              <w:spacing w:after="0"/>
              <w:rPr>
                <w:sz w:val="20"/>
                <w:szCs w:val="20"/>
                <w:color w:val="auto"/>
              </w:rPr>
            </w:pPr>
            <w:r>
              <w:rPr>
                <w:rFonts w:ascii="Arial" w:cs="Arial" w:eastAsia="Arial" w:hAnsi="Arial"/>
                <w:sz w:val="18"/>
                <w:szCs w:val="18"/>
                <w:color w:val="auto"/>
                <w:w w:val="94"/>
              </w:rPr>
              <w:t>13,828</w:t>
            </w:r>
          </w:p>
        </w:tc>
      </w:tr>
      <w:tr>
        <w:trPr>
          <w:trHeight w:val="324"/>
        </w:trPr>
        <w:tc>
          <w:tcPr>
            <w:tcW w:w="452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Average monthly revenue per paying client</w:t>
            </w:r>
            <w:r>
              <w:rPr>
                <w:rFonts w:ascii="Arial" w:cs="Arial" w:eastAsia="Arial" w:hAnsi="Arial"/>
                <w:sz w:val="29"/>
                <w:szCs w:val="29"/>
                <w:color w:val="auto"/>
                <w:vertAlign w:val="superscript"/>
              </w:rPr>
              <w:t>(2)</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3,711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rPr>
              <w:t>3,256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2,558</w:t>
            </w:r>
          </w:p>
        </w:tc>
      </w:tr>
      <w:tr>
        <w:trPr>
          <w:trHeight w:val="324"/>
        </w:trPr>
        <w:tc>
          <w:tcPr>
            <w:tcW w:w="4520" w:type="dxa"/>
            <w:vAlign w:val="bottom"/>
            <w:gridSpan w:val="2"/>
          </w:tcPr>
          <w:p>
            <w:pPr>
              <w:spacing w:after="0" w:line="324" w:lineRule="exact"/>
              <w:rPr>
                <w:sz w:val="20"/>
                <w:szCs w:val="20"/>
                <w:color w:val="auto"/>
              </w:rPr>
            </w:pPr>
            <w:r>
              <w:rPr>
                <w:rFonts w:ascii="Arial" w:cs="Arial" w:eastAsia="Arial" w:hAnsi="Arial"/>
                <w:sz w:val="18"/>
                <w:szCs w:val="18"/>
                <w:color w:val="auto"/>
              </w:rPr>
              <w:t>Average monthly paying clients</w:t>
            </w:r>
            <w:r>
              <w:rPr>
                <w:rFonts w:ascii="Arial" w:cs="Arial" w:eastAsia="Arial" w:hAnsi="Arial"/>
                <w:sz w:val="29"/>
                <w:szCs w:val="29"/>
                <w:color w:val="auto"/>
                <w:vertAlign w:val="superscript"/>
              </w:rPr>
              <w:t>(3)</w:t>
            </w:r>
          </w:p>
        </w:tc>
        <w:tc>
          <w:tcPr>
            <w:tcW w:w="380" w:type="dxa"/>
            <w:vAlign w:val="bottom"/>
          </w:tcPr>
          <w:p>
            <w:pPr>
              <w:spacing w:after="0"/>
              <w:rPr>
                <w:sz w:val="24"/>
                <w:szCs w:val="24"/>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4,337</w:t>
            </w:r>
          </w:p>
        </w:tc>
        <w:tc>
          <w:tcPr>
            <w:tcW w:w="740" w:type="dxa"/>
            <w:vAlign w:val="bottom"/>
          </w:tcPr>
          <w:p>
            <w:pPr>
              <w:spacing w:after="0"/>
              <w:rPr>
                <w:sz w:val="24"/>
                <w:szCs w:val="24"/>
                <w:color w:val="auto"/>
              </w:rPr>
            </w:pPr>
          </w:p>
        </w:tc>
        <w:tc>
          <w:tcPr>
            <w:tcW w:w="1120" w:type="dxa"/>
            <w:vAlign w:val="bottom"/>
          </w:tcPr>
          <w:p>
            <w:pPr>
              <w:jc w:val="right"/>
              <w:ind w:right="493"/>
              <w:spacing w:after="0"/>
              <w:rPr>
                <w:sz w:val="20"/>
                <w:szCs w:val="20"/>
                <w:color w:val="auto"/>
              </w:rPr>
            </w:pPr>
            <w:r>
              <w:rPr>
                <w:rFonts w:ascii="Arial" w:cs="Arial" w:eastAsia="Arial" w:hAnsi="Arial"/>
                <w:sz w:val="18"/>
                <w:szCs w:val="18"/>
                <w:color w:val="auto"/>
              </w:rPr>
              <w:t>4,140</w:t>
            </w:r>
          </w:p>
        </w:tc>
        <w:tc>
          <w:tcPr>
            <w:tcW w:w="240" w:type="dxa"/>
            <w:vAlign w:val="bottom"/>
          </w:tcPr>
          <w:p>
            <w:pPr>
              <w:spacing w:after="0"/>
              <w:rPr>
                <w:sz w:val="24"/>
                <w:szCs w:val="24"/>
                <w:color w:val="auto"/>
              </w:rPr>
            </w:pPr>
          </w:p>
        </w:tc>
        <w:tc>
          <w:tcPr>
            <w:tcW w:w="780" w:type="dxa"/>
            <w:vAlign w:val="bottom"/>
          </w:tcPr>
          <w:p>
            <w:pPr>
              <w:jc w:val="right"/>
              <w:ind w:right="153"/>
              <w:spacing w:after="0"/>
              <w:rPr>
                <w:sz w:val="20"/>
                <w:szCs w:val="20"/>
                <w:color w:val="auto"/>
              </w:rPr>
            </w:pPr>
            <w:r>
              <w:rPr>
                <w:rFonts w:ascii="Arial" w:cs="Arial" w:eastAsia="Arial" w:hAnsi="Arial"/>
                <w:sz w:val="18"/>
                <w:szCs w:val="18"/>
                <w:color w:val="auto"/>
              </w:rPr>
              <w:t>4,699</w:t>
            </w:r>
          </w:p>
        </w:tc>
      </w:tr>
      <w:tr>
        <w:trPr>
          <w:trHeight w:val="324"/>
        </w:trPr>
        <w:tc>
          <w:tcPr>
            <w:tcW w:w="452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MAUs (in thousands)</w:t>
            </w:r>
            <w:r>
              <w:rPr>
                <w:rFonts w:ascii="Arial" w:cs="Arial" w:eastAsia="Arial" w:hAnsi="Arial"/>
                <w:sz w:val="29"/>
                <w:szCs w:val="29"/>
                <w:color w:val="auto"/>
                <w:vertAlign w:val="superscript"/>
              </w:rPr>
              <w:t>(4)</w:t>
            </w:r>
          </w:p>
        </w:tc>
        <w:tc>
          <w:tcPr>
            <w:tcW w:w="3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4"/>
              </w:rPr>
              <w:t>15,734</w:t>
            </w:r>
          </w:p>
        </w:tc>
        <w:tc>
          <w:tcPr>
            <w:tcW w:w="7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w w:val="94"/>
              </w:rPr>
              <w:t>10,000</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8,009</w:t>
            </w:r>
          </w:p>
        </w:tc>
      </w:tr>
      <w:tr>
        <w:trPr>
          <w:trHeight w:val="149"/>
        </w:trPr>
        <w:tc>
          <w:tcPr>
            <w:tcW w:w="1280" w:type="dxa"/>
            <w:vAlign w:val="bottom"/>
            <w:tcBorders>
              <w:bottom w:val="single" w:sz="8" w:color="auto"/>
            </w:tcBorders>
          </w:tcPr>
          <w:p>
            <w:pPr>
              <w:spacing w:after="0"/>
              <w:rPr>
                <w:sz w:val="12"/>
                <w:szCs w:val="12"/>
                <w:color w:val="auto"/>
              </w:rPr>
            </w:pPr>
          </w:p>
        </w:tc>
        <w:tc>
          <w:tcPr>
            <w:tcW w:w="3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4677410</wp:posOffset>
            </wp:positionH>
            <wp:positionV relativeFrom="paragraph">
              <wp:posOffset>-1739900</wp:posOffset>
            </wp:positionV>
            <wp:extent cx="12890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-1739900</wp:posOffset>
            </wp:positionV>
            <wp:extent cx="1371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5" w:lineRule="exact"/>
        <w:rPr>
          <w:sz w:val="20"/>
          <w:szCs w:val="20"/>
          <w:color w:val="auto"/>
        </w:rPr>
      </w:pPr>
    </w:p>
    <w:p>
      <w:pPr>
        <w:ind w:left="640" w:right="299" w:hanging="348"/>
        <w:spacing w:after="0" w:line="253" w:lineRule="auto"/>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For further information about how we calculate EBITDA and Adjusted EBITDA as well as limitations of its use and a reconciliation of EBITDA and Adjusted EBITDA to net income, see “—EBITDA and Adjusted EBITDA” below.</w:t>
      </w:r>
    </w:p>
    <w:p>
      <w:pPr>
        <w:spacing w:after="0" w:line="11" w:lineRule="exact"/>
        <w:rPr>
          <w:rFonts w:ascii="Arial" w:cs="Arial" w:eastAsia="Arial" w:hAnsi="Arial"/>
          <w:sz w:val="14"/>
          <w:szCs w:val="14"/>
          <w:color w:val="auto"/>
        </w:rPr>
      </w:pPr>
    </w:p>
    <w:p>
      <w:pPr>
        <w:jc w:val="both"/>
        <w:ind w:left="640" w:right="319" w:hanging="348"/>
        <w:spacing w:after="0" w:line="233" w:lineRule="auto"/>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Average monthly revenue per paying client is defined as the average monthly revenue for any particular period divided by the average monthly paying clients in the same respective period. See “—Average Monthly Revenue Per Paying Client” below for a description of how we used to calculate average monthly revenue per paying client and what our average monthly revenue per paying client would have been using our prior definition for the applicable periods.</w:t>
      </w:r>
    </w:p>
    <w:p>
      <w:pPr>
        <w:spacing w:after="0" w:line="22" w:lineRule="exact"/>
        <w:rPr>
          <w:rFonts w:ascii="Arial" w:cs="Arial" w:eastAsia="Arial" w:hAnsi="Arial"/>
          <w:sz w:val="14"/>
          <w:szCs w:val="14"/>
          <w:color w:val="auto"/>
        </w:rPr>
      </w:pPr>
    </w:p>
    <w:p>
      <w:pPr>
        <w:jc w:val="both"/>
        <w:ind w:left="640" w:right="299" w:hanging="348"/>
        <w:spacing w:after="0" w:line="264" w:lineRule="auto"/>
        <w:tabs>
          <w:tab w:leader="none" w:pos="6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Average monthly paying clients are defined as the average of the number of paying clients billed in a month across a particular period (and for which services were provided). See “—Average Monthly Paying Clients” below for a description of how we used to calculate average monthly paying clients and what our average monthly paying clients would have been using our prior definition for the applicable periods.</w:t>
      </w:r>
    </w:p>
    <w:p>
      <w:pPr>
        <w:spacing w:after="0" w:line="6" w:lineRule="exact"/>
        <w:rPr>
          <w:rFonts w:ascii="Arial" w:cs="Arial" w:eastAsia="Arial" w:hAnsi="Arial"/>
          <w:sz w:val="13"/>
          <w:szCs w:val="13"/>
          <w:color w:val="auto"/>
        </w:rPr>
      </w:pPr>
    </w:p>
    <w:p>
      <w:pPr>
        <w:jc w:val="both"/>
        <w:ind w:left="640" w:right="319" w:hanging="348"/>
        <w:spacing w:after="0" w:line="264" w:lineRule="auto"/>
        <w:tabs>
          <w:tab w:leader="none" w:pos="6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MAUs are defined as the number of unique users opening our Weedmaps mobile app or accessing our Weedmaps.com website over the course of a calendar month. Monthly active users in this table is for the last month in the period. See “—MAUs” below for a description of how we used to calculate MAUs and what our MAUs would have been using our prior definition for the applicable periods.</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We generate revenue from the sale of monthly subscriptions and our additional offerings as described previously. Our monthly subscription offering is sold based on a fixed price per month with the pricing based on the type of client. These subscriptions generally have one-month terms that automatically renew unless notice of cancellation is provided in advance. Our additional offerings range in price and terms. For clients that pay us in advance for subscription and other services, we record deferred revenue and recognize revenue over the applicable term of services provided.</w:t>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To provide investors with additional information regarding our financial results, we have disclosed EBITDA and Adjusted EBITDA, both of which are non-GAAP financial measures that we calculate as net income before interest, taxes and depreciation and amortization expense in the case of EBITDA and further adjusted to exclude non-cash, unusual and/or infrequent costs in the case of Adjusted EBITDA. Below we have provided a reconciliation of net income (the most directly comparable GAAP financial measure) to EBITDA and from EBITDA to Adjusted EBITDA.</w:t>
      </w:r>
    </w:p>
    <w:p>
      <w:pPr>
        <w:spacing w:after="0" w:line="84"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spacing w:after="0" w:line="8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EBITDA and Adjusted EBITDA have limitations as an analytical tool, and you should not consider it in isolation or as a substitute for analysis of our results as reported under GAAP. Some of these limitations are as follows:</w:t>
      </w:r>
    </w:p>
    <w:p>
      <w:pPr>
        <w:spacing w:after="0" w:line="76" w:lineRule="exact"/>
        <w:rPr>
          <w:sz w:val="20"/>
          <w:szCs w:val="20"/>
          <w:color w:val="auto"/>
        </w:rPr>
      </w:pPr>
    </w:p>
    <w:p>
      <w:pPr>
        <w:jc w:val="both"/>
        <w:ind w:left="1000" w:right="319" w:hanging="348"/>
        <w:spacing w:after="0" w:line="311" w:lineRule="auto"/>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may have to be replaced in the future, and both EBITDA and Adjusted EBITDA do not reflect cash capital expenditure requirements for such replacements or for new capital expenditure requirements;</w:t>
      </w:r>
    </w:p>
    <w:p>
      <w:pPr>
        <w:sectPr>
          <w:pgSz w:w="11900" w:h="16838" w:orient="portrait"/>
          <w:cols w:equalWidth="0" w:num="1">
            <w:col w:w="9019"/>
          </w:cols>
          <w:pgMar w:left="1440" w:top="265"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4" w:name="page55"/>
    <w:bookmarkEnd w:id="5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EBITDA and Adjusted EBITDA do not reflect changes in, or cash requirements for, our working capital needs; and</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EBITDA and Adjusted EBITDA do not reflect tax payments that may represent a reduction in cash available to us.</w:t>
      </w:r>
    </w:p>
    <w:p>
      <w:pPr>
        <w:spacing w:after="0" w:line="6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Because of these limitations, you should consider EBITDA and Adjusted EBITDA alongside other financial performance measures, including net income and our other GAAP results.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net income (loss) to non-GAAP EBITDA and Adjusted EBITDA is as follows: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53"/>
        </w:trPr>
        <w:tc>
          <w:tcPr>
            <w:tcW w:w="44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4"/>
        </w:trPr>
        <w:tc>
          <w:tcPr>
            <w:tcW w:w="4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ind w:right="92"/>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9"/>
                <w:szCs w:val="19"/>
                <w:color w:val="auto"/>
              </w:rPr>
            </w:pPr>
          </w:p>
        </w:tc>
        <w:tc>
          <w:tcPr>
            <w:tcW w:w="8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ind w:right="1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9"/>
                <w:szCs w:val="19"/>
                <w:color w:val="auto"/>
              </w:rPr>
            </w:pPr>
          </w:p>
        </w:tc>
      </w:tr>
      <w:tr>
        <w:trPr>
          <w:trHeight w:val="53"/>
        </w:trPr>
        <w:tc>
          <w:tcPr>
            <w:tcW w:w="44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4"/>
        </w:trPr>
        <w:tc>
          <w:tcPr>
            <w:tcW w:w="4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5"/>
              </w:rPr>
              <w:t>(in thousands)</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53"/>
        </w:trPr>
        <w:tc>
          <w:tcPr>
            <w:tcW w:w="44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18"/>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152,218</w:t>
            </w:r>
          </w:p>
        </w:tc>
        <w:tc>
          <w:tcPr>
            <w:tcW w:w="1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$38,830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w:t>
            </w:r>
          </w:p>
        </w:tc>
      </w:tr>
      <w:tr>
        <w:trPr>
          <w:trHeight w:val="270"/>
        </w:trPr>
        <w:tc>
          <w:tcPr>
            <w:tcW w:w="4440" w:type="dxa"/>
            <w:vAlign w:val="bottom"/>
          </w:tcPr>
          <w:p>
            <w:pPr>
              <w:ind w:left="180"/>
              <w:spacing w:after="0"/>
              <w:rPr>
                <w:sz w:val="20"/>
                <w:szCs w:val="20"/>
                <w:color w:val="auto"/>
              </w:rPr>
            </w:pPr>
            <w:r>
              <w:rPr>
                <w:rFonts w:ascii="Arial" w:cs="Arial" w:eastAsia="Arial" w:hAnsi="Arial"/>
                <w:sz w:val="18"/>
                <w:szCs w:val="18"/>
                <w:color w:val="auto"/>
              </w:rPr>
              <w:t>(Benefit from) provision for income taxes</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(601)</w:t>
            </w:r>
          </w:p>
        </w:tc>
        <w:tc>
          <w:tcPr>
            <w:tcW w:w="280" w:type="dxa"/>
            <w:vAlign w:val="bottom"/>
          </w:tcPr>
          <w:p>
            <w:pPr>
              <w:spacing w:after="0"/>
              <w:rPr>
                <w:sz w:val="23"/>
                <w:szCs w:val="2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1,321</w:t>
            </w:r>
          </w:p>
        </w:tc>
        <w:tc>
          <w:tcPr>
            <w:tcW w:w="80" w:type="dxa"/>
            <w:vAlign w:val="bottom"/>
          </w:tcPr>
          <w:p>
            <w:pPr>
              <w:spacing w:after="0"/>
              <w:rPr>
                <w:sz w:val="23"/>
                <w:szCs w:val="23"/>
                <w:color w:val="auto"/>
              </w:rPr>
            </w:pPr>
          </w:p>
        </w:tc>
      </w:tr>
      <w:tr>
        <w:trPr>
          <w:trHeight w:val="54"/>
        </w:trPr>
        <w:tc>
          <w:tcPr>
            <w:tcW w:w="44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expenses</w:t>
            </w: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4,425</w:t>
            </w:r>
          </w:p>
        </w:tc>
        <w:tc>
          <w:tcPr>
            <w:tcW w:w="1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3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5,162</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4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23"/>
                <w:szCs w:val="23"/>
                <w:color w:val="auto"/>
              </w:rPr>
            </w:pPr>
          </w:p>
        </w:tc>
      </w:tr>
      <w:tr>
        <w:trPr>
          <w:trHeight w:val="48"/>
        </w:trPr>
        <w:tc>
          <w:tcPr>
            <w:tcW w:w="44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318"/>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w:t>
            </w: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156,042</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42,808</w:t>
            </w:r>
          </w:p>
        </w:tc>
        <w:tc>
          <w:tcPr>
            <w:tcW w:w="3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6,232</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4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29,324</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54"/>
        </w:trPr>
        <w:tc>
          <w:tcPr>
            <w:tcW w:w="44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2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21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(166,518)</w:t>
            </w:r>
          </w:p>
        </w:tc>
        <w:tc>
          <w:tcPr>
            <w:tcW w:w="2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70"/>
        </w:trPr>
        <w:tc>
          <w:tcPr>
            <w:tcW w:w="4440" w:type="dxa"/>
            <w:vAlign w:val="bottom"/>
          </w:tcPr>
          <w:p>
            <w:pPr>
              <w:ind w:left="180"/>
              <w:spacing w:after="0"/>
              <w:rPr>
                <w:sz w:val="20"/>
                <w:szCs w:val="20"/>
                <w:color w:val="auto"/>
              </w:rPr>
            </w:pPr>
            <w:r>
              <w:rPr>
                <w:rFonts w:ascii="Arial" w:cs="Arial" w:eastAsia="Arial" w:hAnsi="Arial"/>
                <w:sz w:val="18"/>
                <w:szCs w:val="18"/>
                <w:color w:val="auto"/>
              </w:rPr>
              <w:t>Warrant transaction costs</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5,547</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54"/>
        </w:trPr>
        <w:tc>
          <w:tcPr>
            <w:tcW w:w="44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of right-of-use asset</w:t>
            </w: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1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70"/>
        </w:trPr>
        <w:tc>
          <w:tcPr>
            <w:tcW w:w="4440" w:type="dxa"/>
            <w:vAlign w:val="bottom"/>
          </w:tcPr>
          <w:p>
            <w:pPr>
              <w:ind w:left="180"/>
              <w:spacing w:after="0"/>
              <w:rPr>
                <w:sz w:val="20"/>
                <w:szCs w:val="20"/>
                <w:color w:val="auto"/>
              </w:rPr>
            </w:pPr>
            <w:r>
              <w:rPr>
                <w:rFonts w:ascii="Arial" w:cs="Arial" w:eastAsia="Arial" w:hAnsi="Arial"/>
                <w:sz w:val="18"/>
                <w:szCs w:val="18"/>
                <w:color w:val="auto"/>
              </w:rPr>
              <w:t>Transaction related bonus expense</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2,200</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54"/>
        </w:trPr>
        <w:tc>
          <w:tcPr>
            <w:tcW w:w="44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Transaction costs</w:t>
            </w: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1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70"/>
        </w:trPr>
        <w:tc>
          <w:tcPr>
            <w:tcW w:w="4440" w:type="dxa"/>
            <w:vAlign w:val="bottom"/>
          </w:tcPr>
          <w:p>
            <w:pPr>
              <w:ind w:left="180"/>
              <w:spacing w:after="0"/>
              <w:rPr>
                <w:sz w:val="20"/>
                <w:szCs w:val="20"/>
                <w:color w:val="auto"/>
              </w:rPr>
            </w:pPr>
            <w:r>
              <w:rPr>
                <w:rFonts w:ascii="Arial" w:cs="Arial" w:eastAsia="Arial" w:hAnsi="Arial"/>
                <w:sz w:val="18"/>
                <w:szCs w:val="18"/>
                <w:color w:val="auto"/>
              </w:rPr>
              <w:t>Legal settlement</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54"/>
        </w:trPr>
        <w:tc>
          <w:tcPr>
            <w:tcW w:w="44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fees</w:t>
            </w: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3,394</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440" w:type="dxa"/>
            <w:vAlign w:val="bottom"/>
          </w:tcPr>
          <w:p>
            <w:pPr>
              <w:ind w:left="180"/>
              <w:spacing w:after="0"/>
              <w:rPr>
                <w:sz w:val="20"/>
                <w:szCs w:val="20"/>
                <w:color w:val="auto"/>
              </w:rPr>
            </w:pPr>
            <w:r>
              <w:rPr>
                <w:rFonts w:ascii="Arial" w:cs="Arial" w:eastAsia="Arial" w:hAnsi="Arial"/>
                <w:sz w:val="18"/>
                <w:szCs w:val="18"/>
                <w:color w:val="auto"/>
              </w:rPr>
              <w:t>Reduction in force</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4,202</w:t>
            </w:r>
          </w:p>
        </w:tc>
        <w:tc>
          <w:tcPr>
            <w:tcW w:w="80" w:type="dxa"/>
            <w:vAlign w:val="bottom"/>
          </w:tcPr>
          <w:p>
            <w:pPr>
              <w:spacing w:after="0"/>
              <w:rPr>
                <w:sz w:val="23"/>
                <w:szCs w:val="23"/>
                <w:color w:val="auto"/>
              </w:rPr>
            </w:pPr>
          </w:p>
        </w:tc>
      </w:tr>
      <w:tr>
        <w:trPr>
          <w:trHeight w:val="48"/>
        </w:trPr>
        <w:tc>
          <w:tcPr>
            <w:tcW w:w="44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91"/>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31,698</w:t>
            </w: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42,808</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13,828</w:t>
            </w:r>
          </w:p>
        </w:tc>
      </w:tr>
      <w:tr>
        <w:trPr>
          <w:trHeight w:val="27"/>
        </w:trPr>
        <w:tc>
          <w:tcPr>
            <w:tcW w:w="444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44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4900295</wp:posOffset>
            </wp:positionH>
            <wp:positionV relativeFrom="paragraph">
              <wp:posOffset>-3316605</wp:posOffset>
            </wp:positionV>
            <wp:extent cx="22288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-3316605</wp:posOffset>
            </wp:positionV>
            <wp:extent cx="22288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2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Average Monthly Revenue Per Paying Client</w:t>
      </w:r>
    </w:p>
    <w:p>
      <w:pPr>
        <w:spacing w:after="0" w:line="117"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Average monthly revenue per paying client measures how much clients, for the period of measurement, are willing to pay us for our subscription and additional offerings and the efficiency of the bid-auction process for our featured listings placements. We calculate this metric by dividing the average monthly revenue for any particular period by the average monthly number of paying clients in the same respective period. We have consistently grown our monthly revenue per paying client, reflecting the increased functionality we have provided over time with our WM Business software solutions and the increased retailer density within the markets we serve.</w:t>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Current definition:</w:t>
      </w:r>
    </w:p>
    <w:p>
      <w:pPr>
        <w:spacing w:after="0" w:line="190" w:lineRule="exact"/>
        <w:rPr>
          <w:sz w:val="20"/>
          <w:szCs w:val="20"/>
          <w:color w:val="auto"/>
        </w:rPr>
      </w:pPr>
    </w:p>
    <w:p>
      <w:pPr>
        <w:jc w:val="center"/>
        <w:ind w:left="632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49530</wp:posOffset>
            </wp:positionV>
            <wp:extent cx="13290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6" w:lineRule="exact"/>
        <w:rPr>
          <w:sz w:val="20"/>
          <w:szCs w:val="20"/>
          <w:color w:val="auto"/>
        </w:rPr>
      </w:pPr>
    </w:p>
    <w:p>
      <w:pPr>
        <w:ind w:left="6720"/>
        <w:spacing w:after="0"/>
        <w:tabs>
          <w:tab w:leader="none" w:pos="7500" w:val="left"/>
          <w:tab w:leader="none" w:pos="83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49530</wp:posOffset>
            </wp:positionV>
            <wp:extent cx="1885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49530</wp:posOffset>
            </wp:positionV>
            <wp:extent cx="1885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49530</wp:posOffset>
            </wp:positionV>
            <wp:extent cx="939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58" w:lineRule="exact"/>
        <w:rPr>
          <w:sz w:val="20"/>
          <w:szCs w:val="20"/>
          <w:color w:val="auto"/>
        </w:rPr>
      </w:pPr>
    </w:p>
    <w:tbl>
      <w:tblPr>
        <w:tblLayout w:type="fixed"/>
        <w:tblInd w:w="300" w:type="dxa"/>
        <w:tblCellMar>
          <w:top w:w="0" w:type="dxa"/>
          <w:left w:w="0" w:type="dxa"/>
          <w:bottom w:w="0" w:type="dxa"/>
          <w:right w:w="0" w:type="dxa"/>
        </w:tblCellMar>
      </w:tblPr>
      <w:tr>
        <w:trPr>
          <w:trHeight w:val="20"/>
        </w:trPr>
        <w:tc>
          <w:tcPr>
            <w:tcW w:w="472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277"/>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Average monthly revenue per paying client</w:t>
            </w:r>
          </w:p>
        </w:tc>
        <w:tc>
          <w:tcPr>
            <w:tcW w:w="16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$3,711</w:t>
            </w:r>
          </w:p>
        </w:tc>
        <w:tc>
          <w:tcPr>
            <w:tcW w:w="3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$3,256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$2,558</w:t>
            </w:r>
          </w:p>
        </w:tc>
      </w:tr>
      <w:tr>
        <w:trPr>
          <w:trHeight w:val="54"/>
        </w:trPr>
        <w:tc>
          <w:tcPr>
            <w:tcW w:w="4720" w:type="dxa"/>
            <w:vAlign w:val="bottom"/>
            <w:shd w:val="clear" w:color="auto" w:fill="CCEEFF"/>
          </w:tcPr>
          <w:p>
            <w:pPr>
              <w:spacing w:after="0"/>
              <w:rPr>
                <w:sz w:val="4"/>
                <w:szCs w:val="4"/>
                <w:color w:val="auto"/>
              </w:rPr>
            </w:pPr>
          </w:p>
        </w:tc>
        <w:tc>
          <w:tcPr>
            <w:tcW w:w="16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r>
    </w:tbl>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Prior definition</w:t>
      </w:r>
      <w:r>
        <w:rPr>
          <w:rFonts w:ascii="Arial" w:cs="Arial" w:eastAsia="Arial" w:hAnsi="Arial"/>
          <w:sz w:val="29"/>
          <w:szCs w:val="29"/>
          <w:i w:val="1"/>
          <w:iCs w:val="1"/>
          <w:color w:val="auto"/>
          <w:vertAlign w:val="superscript"/>
        </w:rPr>
        <w:t>1</w:t>
      </w:r>
      <w:r>
        <w:rPr>
          <w:rFonts w:ascii="Arial" w:cs="Arial" w:eastAsia="Arial" w:hAnsi="Arial"/>
          <w:sz w:val="18"/>
          <w:szCs w:val="18"/>
          <w:i w:val="1"/>
          <w:iCs w:val="1"/>
          <w:color w:val="auto"/>
        </w:rPr>
        <w:t>:</w:t>
      </w:r>
    </w:p>
    <w:p>
      <w:pPr>
        <w:spacing w:after="0" w:line="59" w:lineRule="exact"/>
        <w:rPr>
          <w:sz w:val="20"/>
          <w:szCs w:val="20"/>
          <w:color w:val="auto"/>
        </w:rPr>
      </w:pPr>
    </w:p>
    <w:p>
      <w:pPr>
        <w:jc w:val="center"/>
        <w:ind w:left="636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49530</wp:posOffset>
            </wp:positionV>
            <wp:extent cx="13030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spacing w:after="0" w:line="116" w:lineRule="exact"/>
        <w:rPr>
          <w:sz w:val="20"/>
          <w:szCs w:val="20"/>
          <w:color w:val="auto"/>
        </w:rPr>
      </w:pPr>
    </w:p>
    <w:p>
      <w:pPr>
        <w:ind w:left="6760"/>
        <w:spacing w:after="0"/>
        <w:tabs>
          <w:tab w:leader="none" w:pos="7520" w:val="left"/>
          <w:tab w:leader="none" w:pos="83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49530</wp:posOffset>
            </wp:positionV>
            <wp:extent cx="1714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49530</wp:posOffset>
            </wp:positionV>
            <wp:extent cx="1714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49530</wp:posOffset>
            </wp:positionV>
            <wp:extent cx="857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58" w:lineRule="exact"/>
        <w:rPr>
          <w:sz w:val="20"/>
          <w:szCs w:val="20"/>
          <w:color w:val="auto"/>
        </w:rPr>
      </w:pPr>
    </w:p>
    <w:tbl>
      <w:tblPr>
        <w:tblLayout w:type="fixed"/>
        <w:tblInd w:w="300" w:type="dxa"/>
        <w:tblCellMar>
          <w:top w:w="0" w:type="dxa"/>
          <w:left w:w="0" w:type="dxa"/>
          <w:bottom w:w="0" w:type="dxa"/>
          <w:right w:w="0" w:type="dxa"/>
        </w:tblCellMar>
      </w:tblPr>
      <w:tr>
        <w:trPr>
          <w:trHeight w:val="20"/>
        </w:trPr>
        <w:tc>
          <w:tcPr>
            <w:tcW w:w="63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r>
      <w:tr>
        <w:trPr>
          <w:trHeight w:val="277"/>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Monthly revenue per paying client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$3,781</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$3,609</w:t>
            </w:r>
          </w:p>
        </w:tc>
        <w:tc>
          <w:tcPr>
            <w:tcW w:w="2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$2,888</w:t>
            </w:r>
          </w:p>
        </w:tc>
      </w:tr>
      <w:tr>
        <w:trPr>
          <w:trHeight w:val="54"/>
        </w:trPr>
        <w:tc>
          <w:tcPr>
            <w:tcW w:w="636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72" w:lineRule="exact"/>
        <w:rPr>
          <w:sz w:val="20"/>
          <w:szCs w:val="20"/>
          <w:color w:val="auto"/>
        </w:rPr>
      </w:pPr>
    </w:p>
    <w:p>
      <w:pPr>
        <w:jc w:val="both"/>
        <w:ind w:left="640" w:right="299" w:hanging="348"/>
        <w:spacing w:after="0" w:line="231" w:lineRule="auto"/>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We previously calculated average monthly revenue per paying client by dividing total monthly revenue for the last month of any particular period by the number of paying clients in that last month of a particular period. We changed our definition because we believe using monthly revenue across the entire period is a better reflection of our results during such period than monthly revenue for only the last month of the period and believe our modified definition will be less susceptible to monthly fluctuations and therefore more reliable when comparing period-to-period results.</w:t>
      </w:r>
    </w:p>
    <w:p>
      <w:pPr>
        <w:sectPr>
          <w:pgSz w:w="11900" w:h="16838" w:orient="portrait"/>
          <w:cols w:equalWidth="0" w:num="1">
            <w:col w:w="9019"/>
          </w:cols>
          <w:pgMar w:left="1440" w:top="265" w:right="1440"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5" w:name="page56"/>
    <w:bookmarkEnd w:id="5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Average Monthly Paying Clients</w:t>
      </w:r>
    </w:p>
    <w:p>
      <w:pPr>
        <w:spacing w:after="0" w:line="117"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We define average monthly paying clients as the monthly average of clients billed each month over a particular period (and for which services were provided). Our paying clients include both individual cannabis businesses as well as retail sites or businesses within a larger organization that have independent relationships with us, many of whom are owned by holding companies where decision-making is decentralized such that purchasing decisions are made, and relationships with us are located, at a lower organizational level. In addition, any client may choose to purchase multiple listing solutions for each of their retail sites or businesses. On December 31, 2019, we discontinued our service to California-based clients who failed to provide valid licensing information, in accordance with our prior announcement in August 2019 to support only licensed cannabis retail operators and their partners on our platform. As a result, we experienced a high level of client churn in January as a result of the elimination of these operators. In June 2020, we initiated a similar effort in Canada to discontinue services to Canada-based retail operators clients who failed to provide valid license information, which drove a decline in paying clients beginning in September 2020. This reset of Canada was completed on November 30, 2020. Average monthly paying clients for the year ended December 31, 2021 increased approximately 5% to 4,337 average monthly paying clients from 4,140 average monthly paying clients in the same period in 2020. The increase in average monthly paying clients in 2021 was primarily due to an increase in WM Business subscription clients and an increase in premium listing clients, offset by the impact related to the removal of clients who failed to provide valid licensing information in Canada in 2020 as described above.</w:t>
      </w: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Current definition:</w:t>
      </w:r>
    </w:p>
    <w:p>
      <w:pPr>
        <w:spacing w:after="0" w:line="190" w:lineRule="exact"/>
        <w:rPr>
          <w:sz w:val="20"/>
          <w:szCs w:val="20"/>
          <w:color w:val="auto"/>
        </w:rPr>
      </w:pPr>
    </w:p>
    <w:p>
      <w:pPr>
        <w:jc w:val="center"/>
        <w:ind w:left="636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49530</wp:posOffset>
            </wp:positionV>
            <wp:extent cx="13030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16" w:lineRule="exact"/>
        <w:rPr>
          <w:sz w:val="20"/>
          <w:szCs w:val="20"/>
          <w:color w:val="auto"/>
        </w:rPr>
      </w:pPr>
    </w:p>
    <w:p>
      <w:pPr>
        <w:ind w:left="6760"/>
        <w:spacing w:after="0"/>
        <w:tabs>
          <w:tab w:leader="none" w:pos="7520" w:val="left"/>
          <w:tab w:leader="none" w:pos="83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49530</wp:posOffset>
            </wp:positionV>
            <wp:extent cx="1885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49530</wp:posOffset>
            </wp:positionV>
            <wp:extent cx="1885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49530</wp:posOffset>
            </wp:positionV>
            <wp:extent cx="939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38" w:lineRule="exact"/>
        <w:rPr>
          <w:sz w:val="20"/>
          <w:szCs w:val="20"/>
          <w:color w:val="auto"/>
        </w:rPr>
      </w:pPr>
    </w:p>
    <w:tbl>
      <w:tblPr>
        <w:tblLayout w:type="fixed"/>
        <w:tblInd w:w="300" w:type="dxa"/>
        <w:tblCellMar>
          <w:top w:w="0" w:type="dxa"/>
          <w:left w:w="0" w:type="dxa"/>
          <w:bottom w:w="0" w:type="dxa"/>
          <w:right w:w="0" w:type="dxa"/>
        </w:tblCellMar>
      </w:tblPr>
      <w:tr>
        <w:trPr>
          <w:trHeight w:val="297"/>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monthly paying clients</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4,337</w:t>
            </w:r>
          </w:p>
        </w:tc>
        <w:tc>
          <w:tcPr>
            <w:tcW w:w="30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4,140</w:t>
            </w:r>
          </w:p>
        </w:tc>
        <w:tc>
          <w:tcPr>
            <w:tcW w:w="28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4,699</w:t>
            </w:r>
          </w:p>
        </w:tc>
      </w:tr>
      <w:tr>
        <w:trPr>
          <w:trHeight w:val="54"/>
        </w:trPr>
        <w:tc>
          <w:tcPr>
            <w:tcW w:w="636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r>
    </w:tbl>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Prior definition</w:t>
      </w:r>
      <w:r>
        <w:rPr>
          <w:rFonts w:ascii="Arial" w:cs="Arial" w:eastAsia="Arial" w:hAnsi="Arial"/>
          <w:sz w:val="29"/>
          <w:szCs w:val="29"/>
          <w:i w:val="1"/>
          <w:iCs w:val="1"/>
          <w:color w:val="auto"/>
          <w:vertAlign w:val="superscript"/>
        </w:rPr>
        <w:t>1</w:t>
      </w:r>
      <w:r>
        <w:rPr>
          <w:rFonts w:ascii="Arial" w:cs="Arial" w:eastAsia="Arial" w:hAnsi="Arial"/>
          <w:sz w:val="18"/>
          <w:szCs w:val="18"/>
          <w:i w:val="1"/>
          <w:iCs w:val="1"/>
          <w:color w:val="auto"/>
        </w:rPr>
        <w:t>:</w:t>
      </w:r>
    </w:p>
    <w:p>
      <w:pPr>
        <w:spacing w:after="0" w:line="59" w:lineRule="exact"/>
        <w:rPr>
          <w:sz w:val="20"/>
          <w:szCs w:val="20"/>
          <w:color w:val="auto"/>
        </w:rPr>
      </w:pPr>
    </w:p>
    <w:p>
      <w:pPr>
        <w:jc w:val="center"/>
        <w:ind w:left="636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49530</wp:posOffset>
            </wp:positionV>
            <wp:extent cx="13030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16" w:lineRule="exact"/>
        <w:rPr>
          <w:sz w:val="20"/>
          <w:szCs w:val="20"/>
          <w:color w:val="auto"/>
        </w:rPr>
      </w:pPr>
    </w:p>
    <w:p>
      <w:pPr>
        <w:ind w:left="6760"/>
        <w:spacing w:after="0"/>
        <w:tabs>
          <w:tab w:leader="none" w:pos="7520" w:val="left"/>
          <w:tab w:leader="none" w:pos="83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49530</wp:posOffset>
            </wp:positionV>
            <wp:extent cx="1885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49530</wp:posOffset>
            </wp:positionV>
            <wp:extent cx="1885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49530</wp:posOffset>
            </wp:positionV>
            <wp:extent cx="939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38" w:lineRule="exact"/>
        <w:rPr>
          <w:sz w:val="20"/>
          <w:szCs w:val="20"/>
          <w:color w:val="auto"/>
        </w:rPr>
      </w:pPr>
    </w:p>
    <w:tbl>
      <w:tblPr>
        <w:tblLayout w:type="fixed"/>
        <w:tblInd w:w="300" w:type="dxa"/>
        <w:tblCellMar>
          <w:top w:w="0" w:type="dxa"/>
          <w:left w:w="0" w:type="dxa"/>
          <w:bottom w:w="0" w:type="dxa"/>
          <w:right w:w="0" w:type="dxa"/>
        </w:tblCellMar>
      </w:tblPr>
      <w:tr>
        <w:trPr>
          <w:trHeight w:val="297"/>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Paying clients</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4,870</w:t>
            </w:r>
          </w:p>
        </w:tc>
        <w:tc>
          <w:tcPr>
            <w:tcW w:w="30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3,786</w:t>
            </w:r>
          </w:p>
        </w:tc>
        <w:tc>
          <w:tcPr>
            <w:tcW w:w="28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4,644</w:t>
            </w:r>
          </w:p>
        </w:tc>
      </w:tr>
      <w:tr>
        <w:trPr>
          <w:trHeight w:val="54"/>
        </w:trPr>
        <w:tc>
          <w:tcPr>
            <w:tcW w:w="636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72" w:lineRule="exact"/>
        <w:rPr>
          <w:sz w:val="20"/>
          <w:szCs w:val="20"/>
          <w:color w:val="auto"/>
        </w:rPr>
      </w:pPr>
    </w:p>
    <w:p>
      <w:pPr>
        <w:jc w:val="both"/>
        <w:ind w:left="640" w:right="319" w:hanging="348"/>
        <w:spacing w:after="0" w:line="255" w:lineRule="auto"/>
        <w:tabs>
          <w:tab w:leader="none" w:pos="6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We previously defined paying clients, which was defined as the number of clients billed during the last month of a particular period. We changed our metric because we believe using the average number of paying clients across the entire period is a better reflection of our results during such period than the average paying clients for only the last month of the period and believe our modified definition will be less susceptible to monthly fluctuations and therefore more reliable when comparing period-to-period results.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Monthly Active Users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define MAUs as the number of unique users opening our Weedmaps mobile app or accessing our Weedmaps.com website over the course of a calendar month. In any particular period, we determine our number of MAUs by counting the total number of users who have engaged with the weedmaps.com site during the final calendar month of the given period. Beginning in March 2021, we began tracking and including the MAUs related to the Learn section on weedmaps.com into our calculation of MAUs. We view the number of MAUs as a key indicator of our growth, the breadth and reach of our weedmaps.com site, the value proposition and consumer awareness of our brand, the continued use of our sites by our users and their level of interest in the cannabis industry.</w:t>
      </w:r>
    </w:p>
    <w:p>
      <w:pPr>
        <w:spacing w:after="0" w:line="84"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As our business has grown, our MAUs increased each year from 2018 through 2021. This increase is due to a number of factors including, but not limited to, our continued expansion into new markets, further investments in our existing markets, increase in marketing spend, including web advertising, and the general increased awareness of our platform as the cannabis industry has grown and jurisdictions experience continued legalization of cannabis for medical and/or adult use. We also believe we were increasingly efficient with our marketing spend and, therefore, have been able to acquire users at lower costs. However, as our platform has grown organically, our MAU growth rates have at times naturally slowed and we may experience similarly slower growth rates in the future, even if we continue to add MAUs on an absolute basis. While it is not possible to identify all drivers of a change in any given period, an increase or decrease in digital marketing spend as well as significant market shifts including the removal of clients who fail to provide valid licensing information in certain markets can have outsized impacts on MAU</w:t>
      </w:r>
    </w:p>
    <w:p>
      <w:pPr>
        <w:sectPr>
          <w:pgSz w:w="11900" w:h="16838" w:orient="portrait"/>
          <w:cols w:equalWidth="0" w:num="1">
            <w:col w:w="9019"/>
          </w:cols>
          <w:pgMar w:left="1440" w:top="265" w:right="1440" w:bottom="1440" w:gutter="0" w:footer="0" w:header="0"/>
        </w:sectPr>
      </w:pP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6" w:name="page57"/>
    <w:bookmarkEnd w:id="5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growth. We cannot determine what, if any, impact the pandemic had on our MAU growth in 2020. As of December 31, 2021, we grew our MAUs by 57% year-over-year through increased organic traffic and more effective marketing campaigns.</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Since the beginning of the pandemic, we have continued to grow our MAUs, reaching 15.7 million at December 31, 2021. While we believe, like other industries, the pandemic accelerated existing trends towards consumer adoption of online platforms, we cannot be certain to what impact, if any, the end of the pandemic will have on our MAUs or MAU growth.</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believe as we increase MAUs, we increase the value of our bundled SaaS solutions to business customers.</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Current definition:</w:t>
      </w:r>
    </w:p>
    <w:p>
      <w:pPr>
        <w:spacing w:after="0" w:line="176"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4643120</wp:posOffset>
            </wp:positionH>
            <wp:positionV relativeFrom="paragraph">
              <wp:posOffset>49530</wp:posOffset>
            </wp:positionV>
            <wp:extent cx="89154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116" w:lineRule="exact"/>
        <w:rPr>
          <w:sz w:val="20"/>
          <w:szCs w:val="20"/>
          <w:color w:val="auto"/>
        </w:rPr>
      </w:pPr>
    </w:p>
    <w:p>
      <w:pPr>
        <w:ind w:left="7440"/>
        <w:spacing w:after="0"/>
        <w:tabs>
          <w:tab w:leader="none" w:pos="82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49530</wp:posOffset>
            </wp:positionV>
            <wp:extent cx="18859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49530</wp:posOffset>
            </wp:positionV>
            <wp:extent cx="93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58" w:lineRule="exact"/>
        <w:rPr>
          <w:sz w:val="20"/>
          <w:szCs w:val="20"/>
          <w:color w:val="auto"/>
        </w:rPr>
      </w:pPr>
    </w:p>
    <w:tbl>
      <w:tblPr>
        <w:tblLayout w:type="fixed"/>
        <w:tblInd w:w="300" w:type="dxa"/>
        <w:tblCellMar>
          <w:top w:w="0" w:type="dxa"/>
          <w:left w:w="0" w:type="dxa"/>
          <w:bottom w:w="0" w:type="dxa"/>
          <w:right w:w="0" w:type="dxa"/>
        </w:tblCellMar>
      </w:tblPr>
      <w:tr>
        <w:trPr>
          <w:trHeight w:val="20"/>
        </w:trPr>
        <w:tc>
          <w:tcPr>
            <w:tcW w:w="70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r>
        <w:trPr>
          <w:trHeight w:val="277"/>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MAUs (in thousands)</w:t>
            </w: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15,73410,000</w:t>
            </w:r>
          </w:p>
        </w:tc>
      </w:tr>
      <w:tr>
        <w:trPr>
          <w:trHeight w:val="54"/>
        </w:trPr>
        <w:tc>
          <w:tcPr>
            <w:tcW w:w="702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r>
    </w:tbl>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Prior definition</w:t>
      </w:r>
      <w:r>
        <w:rPr>
          <w:rFonts w:ascii="Arial" w:cs="Arial" w:eastAsia="Arial" w:hAnsi="Arial"/>
          <w:sz w:val="29"/>
          <w:szCs w:val="29"/>
          <w:i w:val="1"/>
          <w:iCs w:val="1"/>
          <w:color w:val="auto"/>
          <w:vertAlign w:val="superscript"/>
        </w:rPr>
        <w:t>1</w:t>
      </w:r>
      <w:r>
        <w:rPr>
          <w:rFonts w:ascii="Arial" w:cs="Arial" w:eastAsia="Arial" w:hAnsi="Arial"/>
          <w:sz w:val="18"/>
          <w:szCs w:val="18"/>
          <w:i w:val="1"/>
          <w:iCs w:val="1"/>
          <w:color w:val="auto"/>
        </w:rPr>
        <w:t>:</w:t>
      </w:r>
    </w:p>
    <w:p>
      <w:pPr>
        <w:spacing w:after="0" w:line="59"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4643120</wp:posOffset>
            </wp:positionH>
            <wp:positionV relativeFrom="paragraph">
              <wp:posOffset>49530</wp:posOffset>
            </wp:positionV>
            <wp:extent cx="8915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116" w:lineRule="exact"/>
        <w:rPr>
          <w:sz w:val="20"/>
          <w:szCs w:val="20"/>
          <w:color w:val="auto"/>
        </w:rPr>
      </w:pPr>
    </w:p>
    <w:p>
      <w:pPr>
        <w:ind w:left="7440"/>
        <w:spacing w:after="0"/>
        <w:tabs>
          <w:tab w:leader="none" w:pos="82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49530</wp:posOffset>
            </wp:positionV>
            <wp:extent cx="1885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49530</wp:posOffset>
            </wp:positionV>
            <wp:extent cx="939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58" w:lineRule="exact"/>
        <w:rPr>
          <w:sz w:val="20"/>
          <w:szCs w:val="20"/>
          <w:color w:val="auto"/>
        </w:rPr>
      </w:pPr>
    </w:p>
    <w:tbl>
      <w:tblPr>
        <w:tblLayout w:type="fixed"/>
        <w:tblInd w:w="300" w:type="dxa"/>
        <w:tblCellMar>
          <w:top w:w="0" w:type="dxa"/>
          <w:left w:w="0" w:type="dxa"/>
          <w:bottom w:w="0" w:type="dxa"/>
          <w:right w:w="0" w:type="dxa"/>
        </w:tblCellMar>
      </w:tblPr>
      <w:tr>
        <w:trPr>
          <w:trHeight w:val="20"/>
        </w:trPr>
        <w:tc>
          <w:tcPr>
            <w:tcW w:w="70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r>
        <w:trPr>
          <w:trHeight w:val="277"/>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MAUs (in thousands)</w:t>
            </w: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14,90410,000</w:t>
            </w:r>
          </w:p>
        </w:tc>
      </w:tr>
      <w:tr>
        <w:trPr>
          <w:trHeight w:val="54"/>
        </w:trPr>
        <w:tc>
          <w:tcPr>
            <w:tcW w:w="702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8" w:lineRule="exact"/>
        <w:rPr>
          <w:sz w:val="20"/>
          <w:szCs w:val="20"/>
          <w:color w:val="auto"/>
        </w:rPr>
      </w:pPr>
    </w:p>
    <w:p>
      <w:pPr>
        <w:jc w:val="both"/>
        <w:ind w:left="640" w:right="319" w:hanging="348"/>
        <w:spacing w:after="0" w:line="238" w:lineRule="auto"/>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When calculating our MAUs, we previously excluded the MAUs attributed to the Learn section of weedmaps.com, which we began tracking in March 2021. We believe including MAUs from the Learn section of weedmaps.com more accurately reflects our total MAUs. MAUs as of dates prior to March 31, 2021 do not include MAUs from our Learn section.</w:t>
      </w:r>
    </w:p>
    <w:p>
      <w:pPr>
        <w:spacing w:after="0" w:line="20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Quarterly Key Operating Metrics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Current definition:</w:t>
      </w:r>
    </w:p>
    <w:p>
      <w:pPr>
        <w:spacing w:after="0" w:line="176" w:lineRule="exact"/>
        <w:rPr>
          <w:sz w:val="20"/>
          <w:szCs w:val="20"/>
          <w:color w:val="auto"/>
        </w:rPr>
      </w:pPr>
    </w:p>
    <w:p>
      <w:pPr>
        <w:ind w:left="73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75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39370</wp:posOffset>
            </wp:positionV>
            <wp:extent cx="9347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spacing w:after="0" w:line="10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6"/>
              </w:rPr>
              <w:t>2021</w:t>
            </w:r>
          </w:p>
        </w:tc>
        <w:tc>
          <w:tcPr>
            <w:tcW w:w="240" w:type="dxa"/>
            <w:vAlign w:val="bottom"/>
          </w:tcPr>
          <w:p>
            <w:pPr>
              <w:spacing w:after="0"/>
              <w:rPr>
                <w:sz w:val="16"/>
                <w:szCs w:val="16"/>
                <w:color w:val="auto"/>
              </w:rPr>
            </w:pPr>
          </w:p>
        </w:tc>
        <w:tc>
          <w:tcPr>
            <w:tcW w:w="620" w:type="dxa"/>
            <w:vAlign w:val="bottom"/>
          </w:tcPr>
          <w:p>
            <w:pPr>
              <w:jc w:val="right"/>
              <w:ind w:right="96"/>
              <w:spacing w:after="0"/>
              <w:rPr>
                <w:sz w:val="20"/>
                <w:szCs w:val="20"/>
                <w:color w:val="auto"/>
              </w:rPr>
            </w:pPr>
            <w:r>
              <w:rPr>
                <w:rFonts w:ascii="Arial" w:cs="Arial" w:eastAsia="Arial" w:hAnsi="Arial"/>
                <w:sz w:val="14"/>
                <w:szCs w:val="14"/>
                <w:b w:val="1"/>
                <w:bCs w:val="1"/>
                <w:color w:val="auto"/>
              </w:rPr>
              <w:t>2020</w:t>
            </w:r>
          </w:p>
        </w:tc>
      </w:tr>
      <w:tr>
        <w:trPr>
          <w:trHeight w:val="52"/>
        </w:trPr>
        <w:tc>
          <w:tcPr>
            <w:tcW w:w="694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311"/>
        </w:trPr>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monthly revenue per paying client</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$3,789</w:t>
            </w:r>
          </w:p>
        </w:tc>
        <w:tc>
          <w:tcPr>
            <w:tcW w:w="2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$3,825</w:t>
            </w:r>
          </w:p>
        </w:tc>
      </w:tr>
      <w:tr>
        <w:trPr>
          <w:trHeight w:val="270"/>
        </w:trPr>
        <w:tc>
          <w:tcPr>
            <w:tcW w:w="6940" w:type="dxa"/>
            <w:vAlign w:val="bottom"/>
          </w:tcPr>
          <w:p>
            <w:pPr>
              <w:spacing w:after="0"/>
              <w:rPr>
                <w:sz w:val="20"/>
                <w:szCs w:val="20"/>
                <w:color w:val="auto"/>
              </w:rPr>
            </w:pPr>
            <w:r>
              <w:rPr>
                <w:rFonts w:ascii="Arial" w:cs="Arial" w:eastAsia="Arial" w:hAnsi="Arial"/>
                <w:sz w:val="18"/>
                <w:szCs w:val="18"/>
                <w:color w:val="auto"/>
              </w:rPr>
              <w:t>Average monthly paying clients</w:t>
            </w:r>
          </w:p>
        </w:tc>
        <w:tc>
          <w:tcPr>
            <w:tcW w:w="620" w:type="dxa"/>
            <w:vAlign w:val="bottom"/>
          </w:tcPr>
          <w:p>
            <w:pPr>
              <w:jc w:val="right"/>
              <w:spacing w:after="0"/>
              <w:rPr>
                <w:sz w:val="20"/>
                <w:szCs w:val="20"/>
                <w:color w:val="auto"/>
              </w:rPr>
            </w:pPr>
            <w:r>
              <w:rPr>
                <w:rFonts w:ascii="Arial" w:cs="Arial" w:eastAsia="Arial" w:hAnsi="Arial"/>
                <w:sz w:val="18"/>
                <w:szCs w:val="18"/>
                <w:color w:val="auto"/>
              </w:rPr>
              <w:t>4,766</w:t>
            </w:r>
          </w:p>
        </w:tc>
        <w:tc>
          <w:tcPr>
            <w:tcW w:w="2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3,863</w:t>
            </w:r>
          </w:p>
        </w:tc>
      </w:tr>
      <w:tr>
        <w:trPr>
          <w:trHeight w:val="486"/>
        </w:trPr>
        <w:tc>
          <w:tcPr>
            <w:tcW w:w="6940" w:type="dxa"/>
            <w:vAlign w:val="bottom"/>
          </w:tcPr>
          <w:p>
            <w:pPr>
              <w:ind w:left="360"/>
              <w:spacing w:after="0"/>
              <w:rPr>
                <w:sz w:val="20"/>
                <w:szCs w:val="20"/>
                <w:color w:val="auto"/>
              </w:rPr>
            </w:pPr>
            <w:r>
              <w:rPr>
                <w:rFonts w:ascii="Arial" w:cs="Arial" w:eastAsia="Arial" w:hAnsi="Arial"/>
                <w:sz w:val="18"/>
                <w:szCs w:val="18"/>
                <w:i w:val="1"/>
                <w:iCs w:val="1"/>
                <w:color w:val="auto"/>
              </w:rPr>
              <w:t>Prior definition:</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01"/>
        </w:trPr>
        <w:tc>
          <w:tcPr>
            <w:tcW w:w="6940" w:type="dxa"/>
            <w:vAlign w:val="bottom"/>
          </w:tcPr>
          <w:p>
            <w:pPr>
              <w:spacing w:after="0"/>
              <w:rPr>
                <w:sz w:val="24"/>
                <w:szCs w:val="24"/>
                <w:color w:val="auto"/>
              </w:rPr>
            </w:pPr>
          </w:p>
        </w:tc>
        <w:tc>
          <w:tcPr>
            <w:tcW w:w="1480" w:type="dxa"/>
            <w:vAlign w:val="bottom"/>
            <w:gridSpan w:val="3"/>
          </w:tcPr>
          <w:p>
            <w:pPr>
              <w:jc w:val="right"/>
              <w:ind w:right="16"/>
              <w:spacing w:after="0"/>
              <w:rPr>
                <w:sz w:val="20"/>
                <w:szCs w:val="20"/>
                <w:color w:val="auto"/>
              </w:rPr>
            </w:pPr>
            <w:r>
              <w:rPr>
                <w:rFonts w:ascii="Arial" w:cs="Arial" w:eastAsia="Arial" w:hAnsi="Arial"/>
                <w:sz w:val="14"/>
                <w:szCs w:val="14"/>
                <w:b w:val="1"/>
                <w:bCs w:val="1"/>
                <w:color w:val="auto"/>
                <w:w w:val="98"/>
              </w:rPr>
              <w:t>Three Months Ended</w:t>
            </w:r>
          </w:p>
        </w:tc>
      </w:tr>
      <w:tr>
        <w:trPr>
          <w:trHeight w:val="186"/>
        </w:trPr>
        <w:tc>
          <w:tcPr>
            <w:tcW w:w="6940" w:type="dxa"/>
            <w:vAlign w:val="bottom"/>
          </w:tcPr>
          <w:p>
            <w:pPr>
              <w:spacing w:after="0"/>
              <w:rPr>
                <w:sz w:val="16"/>
                <w:szCs w:val="16"/>
                <w:color w:val="auto"/>
              </w:rPr>
            </w:pPr>
          </w:p>
        </w:tc>
        <w:tc>
          <w:tcPr>
            <w:tcW w:w="1480" w:type="dxa"/>
            <w:vAlign w:val="bottom"/>
            <w:gridSpan w:val="3"/>
          </w:tcPr>
          <w:p>
            <w:pPr>
              <w:jc w:val="right"/>
              <w:ind w:right="236"/>
              <w:spacing w:after="0"/>
              <w:rPr>
                <w:sz w:val="20"/>
                <w:szCs w:val="20"/>
                <w:color w:val="auto"/>
              </w:rPr>
            </w:pPr>
            <w:r>
              <w:rPr>
                <w:rFonts w:ascii="Arial" w:cs="Arial" w:eastAsia="Arial" w:hAnsi="Arial"/>
                <w:sz w:val="14"/>
                <w:szCs w:val="14"/>
                <w:b w:val="1"/>
                <w:bCs w:val="1"/>
                <w:color w:val="auto"/>
              </w:rPr>
              <w:t>December 31,</w:t>
            </w:r>
          </w:p>
        </w:tc>
      </w:tr>
      <w:tr>
        <w:trPr>
          <w:trHeight w:val="53"/>
        </w:trPr>
        <w:tc>
          <w:tcPr>
            <w:tcW w:w="694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25"/>
        </w:trPr>
        <w:tc>
          <w:tcPr>
            <w:tcW w:w="694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6"/>
              </w:rPr>
              <w:t>2021</w:t>
            </w:r>
          </w:p>
        </w:tc>
        <w:tc>
          <w:tcPr>
            <w:tcW w:w="240" w:type="dxa"/>
            <w:vAlign w:val="bottom"/>
          </w:tcPr>
          <w:p>
            <w:pPr>
              <w:spacing w:after="0"/>
              <w:rPr>
                <w:sz w:val="19"/>
                <w:szCs w:val="19"/>
                <w:color w:val="auto"/>
              </w:rPr>
            </w:pPr>
          </w:p>
        </w:tc>
        <w:tc>
          <w:tcPr>
            <w:tcW w:w="620" w:type="dxa"/>
            <w:vAlign w:val="bottom"/>
          </w:tcPr>
          <w:p>
            <w:pPr>
              <w:jc w:val="right"/>
              <w:ind w:right="96"/>
              <w:spacing w:after="0"/>
              <w:rPr>
                <w:sz w:val="20"/>
                <w:szCs w:val="20"/>
                <w:color w:val="auto"/>
              </w:rPr>
            </w:pPr>
            <w:r>
              <w:rPr>
                <w:rFonts w:ascii="Arial" w:cs="Arial" w:eastAsia="Arial" w:hAnsi="Arial"/>
                <w:sz w:val="14"/>
                <w:szCs w:val="14"/>
                <w:b w:val="1"/>
                <w:bCs w:val="1"/>
                <w:color w:val="auto"/>
              </w:rPr>
              <w:t>2020</w:t>
            </w:r>
          </w:p>
        </w:tc>
      </w:tr>
      <w:tr>
        <w:trPr>
          <w:trHeight w:val="53"/>
        </w:trPr>
        <w:tc>
          <w:tcPr>
            <w:tcW w:w="694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311"/>
        </w:trPr>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Monthly revenue per paying client</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$3,781</w:t>
            </w:r>
          </w:p>
        </w:tc>
        <w:tc>
          <w:tcPr>
            <w:tcW w:w="2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$3,609</w:t>
            </w:r>
          </w:p>
        </w:tc>
      </w:tr>
      <w:tr>
        <w:trPr>
          <w:trHeight w:val="270"/>
        </w:trPr>
        <w:tc>
          <w:tcPr>
            <w:tcW w:w="6940" w:type="dxa"/>
            <w:vAlign w:val="bottom"/>
          </w:tcPr>
          <w:p>
            <w:pPr>
              <w:spacing w:after="0"/>
              <w:rPr>
                <w:sz w:val="20"/>
                <w:szCs w:val="20"/>
                <w:color w:val="auto"/>
              </w:rPr>
            </w:pPr>
            <w:r>
              <w:rPr>
                <w:rFonts w:ascii="Arial" w:cs="Arial" w:eastAsia="Arial" w:hAnsi="Arial"/>
                <w:sz w:val="18"/>
                <w:szCs w:val="18"/>
                <w:color w:val="auto"/>
              </w:rPr>
              <w:t>Paying clients</w:t>
            </w:r>
          </w:p>
        </w:tc>
        <w:tc>
          <w:tcPr>
            <w:tcW w:w="620" w:type="dxa"/>
            <w:vAlign w:val="bottom"/>
          </w:tcPr>
          <w:p>
            <w:pPr>
              <w:jc w:val="right"/>
              <w:spacing w:after="0"/>
              <w:rPr>
                <w:sz w:val="20"/>
                <w:szCs w:val="20"/>
                <w:color w:val="auto"/>
              </w:rPr>
            </w:pPr>
            <w:r>
              <w:rPr>
                <w:rFonts w:ascii="Arial" w:cs="Arial" w:eastAsia="Arial" w:hAnsi="Arial"/>
                <w:sz w:val="18"/>
                <w:szCs w:val="18"/>
                <w:color w:val="auto"/>
              </w:rPr>
              <w:t>4,870</w:t>
            </w:r>
          </w:p>
        </w:tc>
        <w:tc>
          <w:tcPr>
            <w:tcW w:w="2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4986020</wp:posOffset>
            </wp:positionH>
            <wp:positionV relativeFrom="paragraph">
              <wp:posOffset>-1628140</wp:posOffset>
            </wp:positionV>
            <wp:extent cx="15430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-1628140</wp:posOffset>
            </wp:positionV>
            <wp:extent cx="768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-393700</wp:posOffset>
            </wp:positionV>
            <wp:extent cx="15430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-393700</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Factors Affecting Our Performance</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Growth of Our Two-Sided Weedmaps Marketplace</w:t>
      </w:r>
    </w:p>
    <w:p>
      <w:pPr>
        <w:spacing w:after="0" w:line="11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We have historically grown through and intend to focus on continuing to grow through the expansion of our two-sided marketplace, which occurs through growth of the number and type of businesses and consumers that we attract to our platform. We believe that expansion of the number and types of cannabis businesses that choose to list on our platform will continue to make our platform more compelling for consumers and drive traffic and consumer engagement, which in turn will make our platform more valuable to cannabis businesses.</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Growth and Retention of Our Paying Clients</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Our revenue grows primarily through acquiring and retaining paying clients and increasing the revenue per paying client over time. We have a history of attracting new paying clients and increasing their annual spend with us over time, primarily due to the value they receive once they are onboarded and able to take advantage of the</w:t>
      </w:r>
    </w:p>
    <w:p>
      <w:pPr>
        <w:sectPr>
          <w:pgSz w:w="11900" w:h="16838" w:orient="portrait"/>
          <w:cols w:equalWidth="0" w:num="1">
            <w:col w:w="9019"/>
          </w:cols>
          <w:pgMar w:left="1440" w:top="265"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7" w:name="page58"/>
    <w:bookmarkEnd w:id="5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benefits of participating in our two-sided marketplace and leveraging our software solutions. Our monthly net dollar retention, which is defined as total revenue from clients in a given month who were paying clients in the immediately preceding month, averaged at 101% in 2021. Our monthly net dollar retention averaged 100% for the eleven months between February 1 and December 31, 2020 (we exclude January 2020 given the high level of client churn that we experienced as a result of our decision to remove clients in California who failed to provide valid licensing information at the end of 2019). We removed our paid Canada-based retail operator clients who failed to provide valid license information beginning in September 2020 (following the earlier removal of such Canada-based clients who were receiving free listing subscriptions).</w:t>
      </w:r>
    </w:p>
    <w:p>
      <w:pPr>
        <w:spacing w:after="0" w:line="34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Regulation and Maturation of Cannabis Markets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believe that we will have significant opportunities for greater growth as more jurisdictions legalize cannabis for medical and/or adult use and the regulatory environment continues to develop. Thirty-eight U.S. states, the District of Columbia, Puerto Rico, and several U.S. territories have legalized some form of whole-plant cannabis cultivation, sales, and use for certain medical purposes. Eighteen of those states and the District of Columbia have also legalized cannabis use by adults for non-medical or adult-use purposes, and several other states are at various stages of similar legalization measures. We intend to explore new expansion opportunities as additional jurisdictions legalize cannabis for medical or adult use and leverage our business model informed by our 13-year operating history to enter new markets.</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also have a significant opportunity to monetize transactions originating from users engaging with a retailer on the Weedmaps marketplace or tracked via one of our WM Business solutions. Given U.S. federal prohibitions on plant-touching businesses and our current policy not to participate in the chain of commerce associated with the sale of cannabis products, we do not charge take-rates or payment fees for transactions originating from users who engage with a retailer on the Weedmaps platform or tracked via one of our WM Business solutions. A change in U.S. federal regulations could result in our ability to engage in such monetization efforts without adverse consequences to our business.</w:t>
      </w:r>
    </w:p>
    <w:p>
      <w:pPr>
        <w:spacing w:after="0" w:line="87"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Our long-term growth depends on our ability to successfully capitalize on new and existing cannabis markets. Each market must reach a critical mass of both cannabis businesses and consumers for listing subscriptions, advertising placements and other solutions to have meaningful appeal to potential clients. As regulated markets mature and as we incur expenses to attract paying clients and convert non-paying clients to paying clients, we may generate losses in new markets for an extended period.</w:t>
      </w:r>
    </w:p>
    <w:p>
      <w:pPr>
        <w:spacing w:after="0" w:line="80"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Furthermore, we compete with cannabis-focused and general two-sided marketplaces, internet search engines, and various other newspaper, television and media companies and other software providers. 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 Our current and future competitors may also enjoy other competitive advantages, such as greater name recognition, more offerings and larger marketing budgets.</w:t>
      </w:r>
    </w:p>
    <w:p>
      <w:pPr>
        <w:spacing w:after="0" w:line="31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Brand Recognition and Reputation</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We believe that maintaining and enhancing our brand identity and our reputation is critical to maintaining and growing our relationships with clients and consumers and to our ability to attract new clients and consumers. Historically, a substantial majority of our marketing spending was on out-of-home advertising on billboards, buses and other non-digital outlets. Starting in 2019, consistent with the overall shift in perceptions regarding cannabis, a number of demand-side digital advertising platforms allowed us to advertise online. We also invested in growing our internal digital performance advertising team. We believe there is an opportunity to improve market efficiency through digital channels and expect to shift our marketing spending accordingly. Over the longer term, we expect to shift and accelerate our marketing spend to additional online and traditional channels, such as broadcast television or radio, as they become available to us.</w:t>
      </w:r>
    </w:p>
    <w:p>
      <w:pPr>
        <w:spacing w:after="0" w:line="7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Negative publicity, whether or not justified, relating to events or activities attributed to us, our employees, clients or others associated with any of these parties, may tarnish our reputation and reduce the value of our brand. Given our high visibility and relatively long operating history compared to many of our competitors, we may be more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 w:name="page59"/>
    <w:bookmarkEnd w:id="5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spacing w:after="0" w:line="79"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Investments in Growth</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We intend to continue to make focused organic and inorganic investments to grow our revenue and scale operations to support that growth.</w:t>
      </w:r>
    </w:p>
    <w:p>
      <w:pPr>
        <w:spacing w:after="0" w:line="62"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Given our long operating history in the United States and the strength of our network, often businesses will initially list on our platform without targeted sales or marketing efforts by us. However, we plan to accelerate our investments in marketing to maintain and increase our brand awareness through both online and offline channels. We also plan to invest in expanding our business listings thereby enhancing our client and consumer experience, and improving the depth and quality of information provided on our platform. We also intend to continue to invest in several areas to continue enhancing the functionality of our WM Business offering. We expect significant near-term investments to enhance our data assets and evolve our current listings and software offerings to our brand clients, among other areas. We anticipate undertaking such investments in order to be positioned to capitalize on the rapidly expanding cannabis market.</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third quarter of 2021, we completed two acquisitions.</w:t>
      </w:r>
    </w:p>
    <w:p>
      <w:pPr>
        <w:spacing w:after="0" w:line="117"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On September 3, 2021, the Company acquired certain assets of the Sprout business (“Sprout”), a leading, cloud-based customer relationship management (“CRM”) and marketing platform for the cannabis industry.</w:t>
      </w:r>
    </w:p>
    <w:p>
      <w:pPr>
        <w:spacing w:after="0" w:line="3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On September 29, 2021, the Company acquired all of the equity interests of Transport Logistics Holding Company, LLC (“TLH”), which is the parent company of Cannveya &amp; CannCurrent. Cannveya is a logistics platform that enables the compliant delivery of cannabis and CannCurrent is a technology integrations and connectors platform facilitating custom integrations with third party technology providers.</w:t>
      </w:r>
    </w:p>
    <w:p>
      <w:pPr>
        <w:spacing w:after="0" w:line="7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are working towards the integration of these businesses and will invest in them appropriately to scale both solutions in the fiscal year 2022. We will also continue to explore inorganic opportunities that can help support and accelerate growth opportunities and new market openings.</w:t>
      </w:r>
    </w:p>
    <w:p>
      <w:pPr>
        <w:spacing w:after="0" w:line="7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As operating expenses and capital expenditures fluctuate over time, we may accordingly experience short-term, negative impacts to our operating results and cash flows.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We generate revenue from the sale of our subscription offerings, which consist of access to the Weedmaps marketplace and SaaS solutions, as well as our additional offerings, which include featured listings placements, nearby listings, deal promotions and display advertising products. Our subscriptions generally have one-month terms that automatically renew unless notice of cancellation is provided in advance. We have a fixed inventory of featured listing and display advertising in each market, and price is generally determined through a competitive auction process that reflects local market demand, though we are testing a more dynamic, performance-based pricing model for these solutions across several markets. We also have generated revenue in the past on delivery orders placed through weedmaps.com, though this revenue was discontinued effective January 1, 2021, when we migrated clients to our new WM Business subscription offering. For clients that pay us in advance for listing and placement subscriptions services we record deferred revenue and recognizes revenue over the applicable subscription term.</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Cost of revenue primarily consists of web hosting, internet service, and credit card processing costs. Cost of sales is primarily driven by increases in revenue leading to increases in credit card processing and web hosting cost. We expect our cost of revenue to continue to increase on an absolute basis and remain relatively flat as a percentage of revenue as we scale our business.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 w:name="page60"/>
    <w:bookmarkEnd w:id="5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11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Selling and marketing expenses consist of salaries, benefits, travel expense and incentive compensation for our sales and marketing employees. In addition, sales and marketing expenses include business acquisition marketing, events cost, and branding and advertising costs. We expect our sales and marketing expenses to increase on an absolute basis as we enter new markets. Over the longer term, we expect sales and marketing expense to increase in a manner consistent with revenue growth, however, we may experience fluctuations in some periods as we enter and develop new markets or have large one-time marketing projects.</w:t>
      </w:r>
    </w:p>
    <w:p>
      <w:pPr>
        <w:spacing w:after="0" w:line="34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Product Development Expenses</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Product development costs consist of salaries and benefits for employees, including engineering and technical teams who are responsible for building new products, as well as maintaining and improving existing products. Product development costs that do not meet the criteria for capitalization are expensed as incurred. The majority of our new software development costs have historically been expensed. We believe that continued investment in our platform is important for our growth and expect our product development expenses will increase in a manner consistent with revenue growth as our operations grow.</w:t>
      </w:r>
    </w:p>
    <w:p>
      <w:pPr>
        <w:spacing w:after="0" w:line="34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General and administrative expenses consist primarily of payroll and related benefit costs for our employees involved in general corporate functions including our senior leadership team as well as costs associated with the use by these functions of software and facilities and equipment, such as rent, insurance, and other occupancy expenses. General and administrative expenses also include professional and outside services related to legal and other consulting services. General and administrative expenses are primarily driven by increases in headcount required to support business growth and meeting our obligations as a public company. We expect general and administrative expenses to decline as a percentage of revenue as we scale our business and leverage investments in these areas.</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Depreciation and amortization expenses primarily consist of depreciation on computer equipment, furniture and fixtures, leasehold improvements, capitalized software development costs and amortization of purchased intangibles. We expect depreciation and amortization expenses to increase on an absolute basis for the foreseeable future as we scale our business.</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Other expense consists primarily of transaction costs related to the warrants, political contributions, interest expense, legal settlements, financing fees and other tax related expenses. Other income consists of change in fair value of warrant liability.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 w:name="page61"/>
    <w:bookmarkEnd w:id="6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following tables set forth our results of operations for the periods presented and express the relationship of certain line items as a percentage of net sales for those periods. The period-to-period comparison of financial results is not necessarily indicative of future results.</w:t>
      </w:r>
    </w:p>
    <w:p>
      <w:pPr>
        <w:spacing w:after="0" w:line="148"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21"/>
          </w:tcPr>
          <w:p>
            <w:pPr>
              <w:jc w:val="center"/>
              <w:ind w:right="440"/>
              <w:spacing w:after="0"/>
              <w:rPr>
                <w:sz w:val="20"/>
                <w:szCs w:val="20"/>
                <w:color w:val="auto"/>
              </w:rPr>
            </w:pPr>
            <w:r>
              <w:rPr>
                <w:rFonts w:ascii="Arial" w:cs="Arial" w:eastAsia="Arial" w:hAnsi="Arial"/>
                <w:sz w:val="14"/>
                <w:szCs w:val="14"/>
                <w:b w:val="1"/>
                <w:bCs w:val="1"/>
                <w:color w:val="auto"/>
                <w:w w:val="91"/>
              </w:rPr>
              <w:t>Years Ended December 31,</w:t>
            </w:r>
          </w:p>
        </w:tc>
      </w:tr>
      <w:tr>
        <w:trPr>
          <w:trHeight w:val="53"/>
        </w:trPr>
        <w:tc>
          <w:tcPr>
            <w:tcW w:w="4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24"/>
        </w:trPr>
        <w:tc>
          <w:tcPr>
            <w:tcW w:w="4920" w:type="dxa"/>
            <w:vAlign w:val="bottom"/>
          </w:tcPr>
          <w:p>
            <w:pPr>
              <w:spacing w:after="0"/>
              <w:rPr>
                <w:sz w:val="19"/>
                <w:szCs w:val="19"/>
                <w:color w:val="auto"/>
              </w:rPr>
            </w:pPr>
          </w:p>
        </w:tc>
        <w:tc>
          <w:tcPr>
            <w:tcW w:w="1440" w:type="dxa"/>
            <w:vAlign w:val="bottom"/>
            <w:gridSpan w:val="5"/>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6"/>
          </w:tcPr>
          <w:p>
            <w:pPr>
              <w:jc w:val="center"/>
              <w:ind w:left="172"/>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53"/>
        </w:trPr>
        <w:tc>
          <w:tcPr>
            <w:tcW w:w="4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24"/>
        </w:trPr>
        <w:tc>
          <w:tcPr>
            <w:tcW w:w="4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9"/>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53"/>
        </w:trPr>
        <w:tc>
          <w:tcPr>
            <w:tcW w:w="4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18"/>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480" w:type="dxa"/>
            <w:vAlign w:val="bottom"/>
            <w:tcBorders>
              <w:bottom w:val="single" w:sz="8" w:color="CCEEFF"/>
            </w:tcBorders>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$193,146</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7"/>
            <w:shd w:val="clear" w:color="auto" w:fill="CCEEFF"/>
          </w:tcPr>
          <w:p>
            <w:pPr>
              <w:jc w:val="right"/>
              <w:spacing w:after="0"/>
              <w:rPr>
                <w:sz w:val="20"/>
                <w:szCs w:val="20"/>
                <w:color w:val="auto"/>
              </w:rPr>
            </w:pPr>
            <w:r>
              <w:rPr>
                <w:rFonts w:ascii="Arial" w:cs="Arial" w:eastAsia="Arial" w:hAnsi="Arial"/>
                <w:sz w:val="18"/>
                <w:szCs w:val="18"/>
                <w:color w:val="auto"/>
              </w:rPr>
              <w:t>$161,791</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7"/>
            <w:shd w:val="clear" w:color="auto" w:fill="CCEEFF"/>
          </w:tcPr>
          <w:p>
            <w:pPr>
              <w:jc w:val="right"/>
              <w:ind w:right="20"/>
              <w:spacing w:after="0"/>
              <w:rPr>
                <w:sz w:val="20"/>
                <w:szCs w:val="20"/>
                <w:color w:val="auto"/>
              </w:rPr>
            </w:pPr>
            <w:r>
              <w:rPr>
                <w:rFonts w:ascii="Arial" w:cs="Arial" w:eastAsia="Arial" w:hAnsi="Arial"/>
                <w:sz w:val="18"/>
                <w:szCs w:val="18"/>
                <w:color w:val="auto"/>
                <w:w w:val="98"/>
              </w:rPr>
              <w:t>$144,232</w:t>
            </w:r>
          </w:p>
        </w:tc>
        <w:tc>
          <w:tcPr>
            <w:tcW w:w="60" w:type="dxa"/>
            <w:vAlign w:val="bottom"/>
            <w:tcBorders>
              <w:bottom w:val="single" w:sz="8" w:color="CCEEFF"/>
            </w:tcBorders>
            <w:shd w:val="clear" w:color="auto" w:fill="CCEEFF"/>
          </w:tcPr>
          <w:p>
            <w:pPr>
              <w:spacing w:after="0"/>
              <w:rPr>
                <w:sz w:val="24"/>
                <w:szCs w:val="24"/>
                <w:color w:val="auto"/>
              </w:rPr>
            </w:pPr>
          </w:p>
        </w:tc>
      </w:tr>
      <w:tr>
        <w:trPr>
          <w:trHeight w:val="324"/>
        </w:trPr>
        <w:tc>
          <w:tcPr>
            <w:tcW w:w="4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4920" w:type="dxa"/>
            <w:vAlign w:val="bottom"/>
          </w:tcPr>
          <w:p>
            <w:pPr>
              <w:ind w:left="360"/>
              <w:spacing w:after="0"/>
              <w:rPr>
                <w:sz w:val="20"/>
                <w:szCs w:val="20"/>
                <w:color w:val="auto"/>
              </w:rPr>
            </w:pPr>
            <w:r>
              <w:rPr>
                <w:rFonts w:ascii="Arial" w:cs="Arial" w:eastAsia="Arial" w:hAnsi="Arial"/>
                <w:sz w:val="18"/>
                <w:szCs w:val="18"/>
                <w:color w:val="auto"/>
              </w:rPr>
              <w:t>Cost of revenues</w:t>
            </w:r>
          </w:p>
        </w:tc>
        <w:tc>
          <w:tcPr>
            <w:tcW w:w="1480" w:type="dxa"/>
            <w:vAlign w:val="bottom"/>
            <w:gridSpan w:val="7"/>
          </w:tcPr>
          <w:p>
            <w:pPr>
              <w:jc w:val="right"/>
              <w:ind w:right="20"/>
              <w:spacing w:after="0"/>
              <w:rPr>
                <w:sz w:val="20"/>
                <w:szCs w:val="20"/>
                <w:color w:val="auto"/>
              </w:rPr>
            </w:pPr>
            <w:r>
              <w:rPr>
                <w:rFonts w:ascii="Arial" w:cs="Arial" w:eastAsia="Arial" w:hAnsi="Arial"/>
                <w:sz w:val="18"/>
                <w:szCs w:val="18"/>
                <w:color w:val="auto"/>
              </w:rPr>
              <w:t>7,938</w:t>
            </w:r>
          </w:p>
        </w:tc>
        <w:tc>
          <w:tcPr>
            <w:tcW w:w="120" w:type="dxa"/>
            <w:vAlign w:val="bottom"/>
          </w:tcPr>
          <w:p>
            <w:pPr>
              <w:spacing w:after="0"/>
              <w:rPr>
                <w:sz w:val="23"/>
                <w:szCs w:val="23"/>
                <w:color w:val="auto"/>
              </w:rPr>
            </w:pPr>
          </w:p>
        </w:tc>
        <w:tc>
          <w:tcPr>
            <w:tcW w:w="840" w:type="dxa"/>
            <w:vAlign w:val="bottom"/>
            <w:gridSpan w:val="7"/>
          </w:tcPr>
          <w:p>
            <w:pPr>
              <w:jc w:val="right"/>
              <w:spacing w:after="0"/>
              <w:rPr>
                <w:sz w:val="20"/>
                <w:szCs w:val="20"/>
                <w:color w:val="auto"/>
              </w:rPr>
            </w:pPr>
            <w:r>
              <w:rPr>
                <w:rFonts w:ascii="Arial" w:cs="Arial" w:eastAsia="Arial" w:hAnsi="Arial"/>
                <w:sz w:val="18"/>
                <w:szCs w:val="18"/>
                <w:color w:val="auto"/>
              </w:rPr>
              <w:t>7,630</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gridSpan w:val="5"/>
          </w:tcPr>
          <w:p>
            <w:pPr>
              <w:jc w:val="right"/>
              <w:ind w:right="20"/>
              <w:spacing w:after="0"/>
              <w:rPr>
                <w:sz w:val="20"/>
                <w:szCs w:val="20"/>
                <w:color w:val="auto"/>
              </w:rPr>
            </w:pPr>
            <w:r>
              <w:rPr>
                <w:rFonts w:ascii="Arial" w:cs="Arial" w:eastAsia="Arial" w:hAnsi="Arial"/>
                <w:sz w:val="18"/>
                <w:szCs w:val="18"/>
                <w:color w:val="auto"/>
              </w:rPr>
              <w:t>7,074</w:t>
            </w:r>
          </w:p>
        </w:tc>
        <w:tc>
          <w:tcPr>
            <w:tcW w:w="60" w:type="dxa"/>
            <w:vAlign w:val="bottom"/>
          </w:tcPr>
          <w:p>
            <w:pPr>
              <w:spacing w:after="0"/>
              <w:rPr>
                <w:sz w:val="23"/>
                <w:szCs w:val="23"/>
                <w:color w:val="auto"/>
              </w:rPr>
            </w:pPr>
          </w:p>
        </w:tc>
      </w:tr>
      <w:tr>
        <w:trPr>
          <w:trHeight w:val="54"/>
        </w:trPr>
        <w:tc>
          <w:tcPr>
            <w:tcW w:w="4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1460" w:type="dxa"/>
            <w:vAlign w:val="bottom"/>
            <w:tcBorders>
              <w:bottom w:val="single" w:sz="8" w:color="CCEEFF"/>
            </w:tcBorders>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56,119</w:t>
            </w: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7"/>
            <w:shd w:val="clear" w:color="auto" w:fill="CCEEFF"/>
          </w:tcPr>
          <w:p>
            <w:pPr>
              <w:jc w:val="right"/>
              <w:spacing w:after="0"/>
              <w:rPr>
                <w:sz w:val="20"/>
                <w:szCs w:val="20"/>
                <w:color w:val="auto"/>
              </w:rPr>
            </w:pPr>
            <w:r>
              <w:rPr>
                <w:rFonts w:ascii="Arial" w:cs="Arial" w:eastAsia="Arial" w:hAnsi="Arial"/>
                <w:sz w:val="18"/>
                <w:szCs w:val="18"/>
                <w:color w:val="auto"/>
              </w:rPr>
              <w:t>30,716</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90"/>
              </w:rPr>
              <w:t>39,746</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4920" w:type="dxa"/>
            <w:vAlign w:val="bottom"/>
          </w:tcPr>
          <w:p>
            <w:pPr>
              <w:ind w:left="360"/>
              <w:spacing w:after="0"/>
              <w:rPr>
                <w:sz w:val="20"/>
                <w:szCs w:val="20"/>
                <w:color w:val="auto"/>
              </w:rPr>
            </w:pPr>
            <w:r>
              <w:rPr>
                <w:rFonts w:ascii="Arial" w:cs="Arial" w:eastAsia="Arial" w:hAnsi="Arial"/>
                <w:sz w:val="18"/>
                <w:szCs w:val="18"/>
                <w:color w:val="auto"/>
              </w:rPr>
              <w:t>Product development</w:t>
            </w:r>
          </w:p>
        </w:tc>
        <w:tc>
          <w:tcPr>
            <w:tcW w:w="1480" w:type="dxa"/>
            <w:vAlign w:val="bottom"/>
            <w:gridSpan w:val="7"/>
          </w:tcPr>
          <w:p>
            <w:pPr>
              <w:jc w:val="right"/>
              <w:ind w:right="20"/>
              <w:spacing w:after="0"/>
              <w:rPr>
                <w:sz w:val="20"/>
                <w:szCs w:val="20"/>
                <w:color w:val="auto"/>
              </w:rPr>
            </w:pPr>
            <w:r>
              <w:rPr>
                <w:rFonts w:ascii="Arial" w:cs="Arial" w:eastAsia="Arial" w:hAnsi="Arial"/>
                <w:sz w:val="18"/>
                <w:szCs w:val="18"/>
                <w:color w:val="auto"/>
              </w:rPr>
              <w:t>35,395</w:t>
            </w:r>
          </w:p>
        </w:tc>
        <w:tc>
          <w:tcPr>
            <w:tcW w:w="120" w:type="dxa"/>
            <w:vAlign w:val="bottom"/>
          </w:tcPr>
          <w:p>
            <w:pPr>
              <w:spacing w:after="0"/>
              <w:rPr>
                <w:sz w:val="23"/>
                <w:szCs w:val="23"/>
                <w:color w:val="auto"/>
              </w:rPr>
            </w:pPr>
          </w:p>
        </w:tc>
        <w:tc>
          <w:tcPr>
            <w:tcW w:w="840" w:type="dxa"/>
            <w:vAlign w:val="bottom"/>
            <w:gridSpan w:val="7"/>
          </w:tcPr>
          <w:p>
            <w:pPr>
              <w:jc w:val="right"/>
              <w:spacing w:after="0"/>
              <w:rPr>
                <w:sz w:val="20"/>
                <w:szCs w:val="20"/>
                <w:color w:val="auto"/>
              </w:rPr>
            </w:pPr>
            <w:r>
              <w:rPr>
                <w:rFonts w:ascii="Arial" w:cs="Arial" w:eastAsia="Arial" w:hAnsi="Arial"/>
                <w:sz w:val="18"/>
                <w:szCs w:val="18"/>
                <w:color w:val="auto"/>
              </w:rPr>
              <w:t>27,142</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gridSpan w:val="5"/>
          </w:tcPr>
          <w:p>
            <w:pPr>
              <w:jc w:val="right"/>
              <w:ind w:right="20"/>
              <w:spacing w:after="0"/>
              <w:rPr>
                <w:sz w:val="20"/>
                <w:szCs w:val="20"/>
                <w:color w:val="auto"/>
              </w:rPr>
            </w:pPr>
            <w:r>
              <w:rPr>
                <w:rFonts w:ascii="Arial" w:cs="Arial" w:eastAsia="Arial" w:hAnsi="Arial"/>
                <w:sz w:val="18"/>
                <w:szCs w:val="18"/>
                <w:color w:val="auto"/>
                <w:w w:val="90"/>
              </w:rPr>
              <w:t>29,497</w:t>
            </w:r>
          </w:p>
        </w:tc>
        <w:tc>
          <w:tcPr>
            <w:tcW w:w="60" w:type="dxa"/>
            <w:vAlign w:val="bottom"/>
          </w:tcPr>
          <w:p>
            <w:pPr>
              <w:spacing w:after="0"/>
              <w:rPr>
                <w:sz w:val="23"/>
                <w:szCs w:val="23"/>
                <w:color w:val="auto"/>
              </w:rPr>
            </w:pPr>
          </w:p>
        </w:tc>
      </w:tr>
      <w:tr>
        <w:trPr>
          <w:trHeight w:val="54"/>
        </w:trPr>
        <w:tc>
          <w:tcPr>
            <w:tcW w:w="4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480" w:type="dxa"/>
            <w:vAlign w:val="bottom"/>
            <w:tcBorders>
              <w:bottom w:val="single" w:sz="8" w:color="CCEEFF"/>
            </w:tcBorders>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97,447</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7"/>
            <w:shd w:val="clear" w:color="auto" w:fill="CCEEFF"/>
          </w:tcPr>
          <w:p>
            <w:pPr>
              <w:jc w:val="right"/>
              <w:spacing w:after="0"/>
              <w:rPr>
                <w:sz w:val="20"/>
                <w:szCs w:val="20"/>
                <w:color w:val="auto"/>
              </w:rPr>
            </w:pPr>
            <w:r>
              <w:rPr>
                <w:rFonts w:ascii="Arial" w:cs="Arial" w:eastAsia="Arial" w:hAnsi="Arial"/>
                <w:sz w:val="18"/>
                <w:szCs w:val="18"/>
                <w:color w:val="auto"/>
              </w:rPr>
              <w:t>51,127</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90"/>
              </w:rPr>
              <w:t>56,466</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57"/>
        </w:trPr>
        <w:tc>
          <w:tcPr>
            <w:tcW w:w="49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480" w:type="dxa"/>
            <w:vAlign w:val="bottom"/>
            <w:gridSpan w:val="7"/>
          </w:tcPr>
          <w:p>
            <w:pPr>
              <w:jc w:val="right"/>
              <w:ind w:right="20"/>
              <w:spacing w:after="0"/>
              <w:rPr>
                <w:sz w:val="20"/>
                <w:szCs w:val="20"/>
                <w:color w:val="auto"/>
              </w:rPr>
            </w:pPr>
            <w:r>
              <w:rPr>
                <w:rFonts w:ascii="Arial" w:cs="Arial" w:eastAsia="Arial" w:hAnsi="Arial"/>
                <w:sz w:val="18"/>
                <w:szCs w:val="18"/>
                <w:color w:val="auto"/>
              </w:rPr>
              <w:t>4,425</w:t>
            </w:r>
          </w:p>
        </w:tc>
        <w:tc>
          <w:tcPr>
            <w:tcW w:w="120" w:type="dxa"/>
            <w:vAlign w:val="bottom"/>
          </w:tcPr>
          <w:p>
            <w:pPr>
              <w:spacing w:after="0"/>
              <w:rPr>
                <w:sz w:val="22"/>
                <w:szCs w:val="22"/>
                <w:color w:val="auto"/>
              </w:rPr>
            </w:pPr>
          </w:p>
        </w:tc>
        <w:tc>
          <w:tcPr>
            <w:tcW w:w="840" w:type="dxa"/>
            <w:vAlign w:val="bottom"/>
            <w:gridSpan w:val="7"/>
          </w:tcPr>
          <w:p>
            <w:pPr>
              <w:jc w:val="right"/>
              <w:spacing w:after="0"/>
              <w:rPr>
                <w:sz w:val="20"/>
                <w:szCs w:val="20"/>
                <w:color w:val="auto"/>
              </w:rPr>
            </w:pPr>
            <w:r>
              <w:rPr>
                <w:rFonts w:ascii="Arial" w:cs="Arial" w:eastAsia="Arial" w:hAnsi="Arial"/>
                <w:sz w:val="18"/>
                <w:szCs w:val="18"/>
                <w:color w:val="auto"/>
              </w:rPr>
              <w:t>3,978</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gridSpan w:val="5"/>
          </w:tcPr>
          <w:p>
            <w:pPr>
              <w:jc w:val="right"/>
              <w:ind w:right="20"/>
              <w:spacing w:after="0"/>
              <w:rPr>
                <w:sz w:val="20"/>
                <w:szCs w:val="20"/>
                <w:color w:val="auto"/>
              </w:rPr>
            </w:pPr>
            <w:r>
              <w:rPr>
                <w:rFonts w:ascii="Arial" w:cs="Arial" w:eastAsia="Arial" w:hAnsi="Arial"/>
                <w:sz w:val="18"/>
                <w:szCs w:val="18"/>
                <w:color w:val="auto"/>
              </w:rPr>
              <w:t>5,162</w:t>
            </w:r>
          </w:p>
        </w:tc>
        <w:tc>
          <w:tcPr>
            <w:tcW w:w="60" w:type="dxa"/>
            <w:vAlign w:val="bottom"/>
          </w:tcPr>
          <w:p>
            <w:pPr>
              <w:spacing w:after="0"/>
              <w:rPr>
                <w:sz w:val="22"/>
                <w:szCs w:val="22"/>
                <w:color w:val="auto"/>
              </w:rPr>
            </w:pPr>
          </w:p>
        </w:tc>
      </w:tr>
      <w:tr>
        <w:trPr>
          <w:trHeight w:val="61"/>
        </w:trPr>
        <w:tc>
          <w:tcPr>
            <w:tcW w:w="4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270"/>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14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201,324</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120,593</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137,945</w:t>
            </w:r>
          </w:p>
        </w:tc>
        <w:tc>
          <w:tcPr>
            <w:tcW w:w="60" w:type="dxa"/>
            <w:vAlign w:val="bottom"/>
            <w:shd w:val="clear" w:color="auto" w:fill="CCEEFF"/>
          </w:tcPr>
          <w:p>
            <w:pPr>
              <w:spacing w:after="0"/>
              <w:rPr>
                <w:sz w:val="23"/>
                <w:szCs w:val="23"/>
                <w:color w:val="auto"/>
              </w:rPr>
            </w:pPr>
          </w:p>
        </w:tc>
      </w:tr>
      <w:tr>
        <w:trPr>
          <w:trHeight w:val="61"/>
        </w:trPr>
        <w:tc>
          <w:tcPr>
            <w:tcW w:w="49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83"/>
        </w:trPr>
        <w:tc>
          <w:tcPr>
            <w:tcW w:w="4920" w:type="dxa"/>
            <w:vAlign w:val="bottom"/>
          </w:tcPr>
          <w:p>
            <w:pPr>
              <w:ind w:left="540"/>
              <w:spacing w:after="0"/>
              <w:rPr>
                <w:sz w:val="20"/>
                <w:szCs w:val="20"/>
                <w:color w:val="auto"/>
              </w:rPr>
            </w:pPr>
            <w:r>
              <w:rPr>
                <w:rFonts w:ascii="Arial" w:cs="Arial" w:eastAsia="Arial" w:hAnsi="Arial"/>
                <w:sz w:val="18"/>
                <w:szCs w:val="18"/>
                <w:color w:val="auto"/>
              </w:rPr>
              <w:t>Operating (loss) income</w:t>
            </w:r>
          </w:p>
        </w:tc>
        <w:tc>
          <w:tcPr>
            <w:tcW w:w="1600" w:type="dxa"/>
            <w:vAlign w:val="bottom"/>
            <w:gridSpan w:val="8"/>
          </w:tcPr>
          <w:p>
            <w:pPr>
              <w:jc w:val="right"/>
              <w:ind w:right="100"/>
              <w:spacing w:after="0"/>
              <w:rPr>
                <w:sz w:val="20"/>
                <w:szCs w:val="20"/>
                <w:color w:val="auto"/>
              </w:rPr>
            </w:pPr>
            <w:r>
              <w:rPr>
                <w:rFonts w:ascii="Arial" w:cs="Arial" w:eastAsia="Arial" w:hAnsi="Arial"/>
                <w:sz w:val="18"/>
                <w:szCs w:val="18"/>
                <w:color w:val="auto"/>
              </w:rPr>
              <w:t>(8,178)</w:t>
            </w:r>
          </w:p>
        </w:tc>
        <w:tc>
          <w:tcPr>
            <w:tcW w:w="840" w:type="dxa"/>
            <w:vAlign w:val="bottom"/>
            <w:gridSpan w:val="7"/>
          </w:tcPr>
          <w:p>
            <w:pPr>
              <w:jc w:val="right"/>
              <w:spacing w:after="0"/>
              <w:rPr>
                <w:sz w:val="20"/>
                <w:szCs w:val="20"/>
                <w:color w:val="auto"/>
              </w:rPr>
            </w:pPr>
            <w:r>
              <w:rPr>
                <w:rFonts w:ascii="Arial" w:cs="Arial" w:eastAsia="Arial" w:hAnsi="Arial"/>
                <w:sz w:val="18"/>
                <w:szCs w:val="18"/>
                <w:color w:val="auto"/>
              </w:rPr>
              <w:t>41,198</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5"/>
          </w:tcPr>
          <w:p>
            <w:pPr>
              <w:jc w:val="right"/>
              <w:ind w:right="20"/>
              <w:spacing w:after="0"/>
              <w:rPr>
                <w:sz w:val="20"/>
                <w:szCs w:val="20"/>
                <w:color w:val="auto"/>
              </w:rPr>
            </w:pPr>
            <w:r>
              <w:rPr>
                <w:rFonts w:ascii="Arial" w:cs="Arial" w:eastAsia="Arial" w:hAnsi="Arial"/>
                <w:sz w:val="18"/>
                <w:szCs w:val="18"/>
                <w:color w:val="auto"/>
              </w:rPr>
              <w:t>6,287</w:t>
            </w:r>
          </w:p>
        </w:tc>
        <w:tc>
          <w:tcPr>
            <w:tcW w:w="60" w:type="dxa"/>
            <w:vAlign w:val="bottom"/>
          </w:tcPr>
          <w:p>
            <w:pPr>
              <w:spacing w:after="0"/>
              <w:rPr>
                <w:sz w:val="24"/>
                <w:szCs w:val="24"/>
                <w:color w:val="auto"/>
              </w:rPr>
            </w:pPr>
          </w:p>
        </w:tc>
      </w:tr>
      <w:tr>
        <w:trPr>
          <w:trHeight w:val="54"/>
        </w:trPr>
        <w:tc>
          <w:tcPr>
            <w:tcW w:w="4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7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4920" w:type="dxa"/>
            <w:vAlign w:val="bottom"/>
          </w:tcPr>
          <w:p>
            <w:pPr>
              <w:ind w:left="360"/>
              <w:spacing w:after="0"/>
              <w:rPr>
                <w:sz w:val="20"/>
                <w:szCs w:val="20"/>
                <w:color w:val="auto"/>
              </w:rPr>
            </w:pPr>
            <w:r>
              <w:rPr>
                <w:rFonts w:ascii="Arial" w:cs="Arial" w:eastAsia="Arial" w:hAnsi="Arial"/>
                <w:sz w:val="18"/>
                <w:szCs w:val="18"/>
                <w:color w:val="auto"/>
              </w:rPr>
              <w:t>Change in fair value of warrant liability</w:t>
            </w:r>
          </w:p>
        </w:tc>
        <w:tc>
          <w:tcPr>
            <w:tcW w:w="1460" w:type="dxa"/>
            <w:vAlign w:val="bottom"/>
            <w:gridSpan w:val="6"/>
          </w:tcPr>
          <w:p>
            <w:pPr>
              <w:jc w:val="right"/>
              <w:ind w:right="20"/>
              <w:spacing w:after="0"/>
              <w:rPr>
                <w:sz w:val="20"/>
                <w:szCs w:val="20"/>
                <w:color w:val="auto"/>
              </w:rPr>
            </w:pPr>
            <w:r>
              <w:rPr>
                <w:rFonts w:ascii="Arial" w:cs="Arial" w:eastAsia="Arial" w:hAnsi="Arial"/>
                <w:sz w:val="18"/>
                <w:szCs w:val="18"/>
                <w:color w:val="auto"/>
              </w:rPr>
              <w:t>166,518</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gridSpan w:val="4"/>
          </w:tcPr>
          <w:p>
            <w:pPr>
              <w:jc w:val="right"/>
              <w:ind w:righ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gridSpan w:val="5"/>
          </w:tcPr>
          <w:p>
            <w:pPr>
              <w:jc w:val="right"/>
              <w:ind w:right="80"/>
              <w:spacing w:after="0"/>
              <w:rPr>
                <w:sz w:val="20"/>
                <w:szCs w:val="20"/>
                <w:color w:val="auto"/>
              </w:rPr>
            </w:pPr>
            <w:r>
              <w:rPr>
                <w:rFonts w:ascii="Arial" w:cs="Arial" w:eastAsia="Arial" w:hAnsi="Arial"/>
                <w:sz w:val="18"/>
                <w:szCs w:val="18"/>
                <w:color w:val="auto"/>
              </w:rPr>
              <w:t>—</w:t>
            </w:r>
          </w:p>
        </w:tc>
      </w:tr>
      <w:tr>
        <w:trPr>
          <w:trHeight w:val="54"/>
        </w:trPr>
        <w:tc>
          <w:tcPr>
            <w:tcW w:w="4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7"/>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 net</w:t>
            </w:r>
          </w:p>
        </w:tc>
        <w:tc>
          <w:tcPr>
            <w:tcW w:w="1600" w:type="dxa"/>
            <w:vAlign w:val="bottom"/>
            <w:gridSpan w:val="8"/>
            <w:shd w:val="clear" w:color="auto" w:fill="CCEEFF"/>
          </w:tcPr>
          <w:p>
            <w:pPr>
              <w:jc w:val="right"/>
              <w:ind w:right="100"/>
              <w:spacing w:after="0"/>
              <w:rPr>
                <w:sz w:val="20"/>
                <w:szCs w:val="20"/>
                <w:color w:val="auto"/>
              </w:rPr>
            </w:pPr>
            <w:r>
              <w:rPr>
                <w:rFonts w:ascii="Arial" w:cs="Arial" w:eastAsia="Arial" w:hAnsi="Arial"/>
                <w:sz w:val="18"/>
                <w:szCs w:val="18"/>
                <w:color w:val="auto"/>
              </w:rPr>
              <w:t>(6,723)</w:t>
            </w:r>
          </w:p>
        </w:tc>
        <w:tc>
          <w:tcPr>
            <w:tcW w:w="1060" w:type="dxa"/>
            <w:vAlign w:val="bottom"/>
            <w:gridSpan w:val="9"/>
            <w:shd w:val="clear" w:color="auto" w:fill="CCEEFF"/>
          </w:tcPr>
          <w:p>
            <w:pPr>
              <w:jc w:val="right"/>
              <w:ind w:right="160"/>
              <w:spacing w:after="0"/>
              <w:rPr>
                <w:sz w:val="20"/>
                <w:szCs w:val="20"/>
                <w:color w:val="auto"/>
              </w:rPr>
            </w:pPr>
            <w:r>
              <w:rPr>
                <w:rFonts w:ascii="Arial" w:cs="Arial" w:eastAsia="Arial" w:hAnsi="Arial"/>
                <w:sz w:val="18"/>
                <w:szCs w:val="18"/>
                <w:color w:val="auto"/>
              </w:rPr>
              <w:t>(2,368)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w w:val="98"/>
              </w:rPr>
              <w:t>(5,341)</w:t>
            </w:r>
          </w:p>
        </w:tc>
      </w:tr>
      <w:tr>
        <w:trPr>
          <w:trHeight w:val="61"/>
        </w:trPr>
        <w:tc>
          <w:tcPr>
            <w:tcW w:w="49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84"/>
        </w:trPr>
        <w:tc>
          <w:tcPr>
            <w:tcW w:w="4920" w:type="dxa"/>
            <w:vAlign w:val="bottom"/>
          </w:tcPr>
          <w:p>
            <w:pPr>
              <w:ind w:left="540"/>
              <w:spacing w:after="0"/>
              <w:rPr>
                <w:sz w:val="20"/>
                <w:szCs w:val="20"/>
                <w:color w:val="auto"/>
              </w:rPr>
            </w:pPr>
            <w:r>
              <w:rPr>
                <w:rFonts w:ascii="Arial" w:cs="Arial" w:eastAsia="Arial" w:hAnsi="Arial"/>
                <w:sz w:val="18"/>
                <w:szCs w:val="18"/>
                <w:color w:val="auto"/>
              </w:rPr>
              <w:t>Income before income taxes</w:t>
            </w:r>
          </w:p>
        </w:tc>
        <w:tc>
          <w:tcPr>
            <w:tcW w:w="1460" w:type="dxa"/>
            <w:vAlign w:val="bottom"/>
            <w:gridSpan w:val="6"/>
          </w:tcPr>
          <w:p>
            <w:pPr>
              <w:jc w:val="right"/>
              <w:ind w:right="20"/>
              <w:spacing w:after="0"/>
              <w:rPr>
                <w:sz w:val="20"/>
                <w:szCs w:val="20"/>
                <w:color w:val="auto"/>
              </w:rPr>
            </w:pPr>
            <w:r>
              <w:rPr>
                <w:rFonts w:ascii="Arial" w:cs="Arial" w:eastAsia="Arial" w:hAnsi="Arial"/>
                <w:sz w:val="18"/>
                <w:szCs w:val="18"/>
                <w:color w:val="auto"/>
              </w:rPr>
              <w:t>151,617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7"/>
          </w:tcPr>
          <w:p>
            <w:pPr>
              <w:jc w:val="right"/>
              <w:spacing w:after="0"/>
              <w:rPr>
                <w:sz w:val="20"/>
                <w:szCs w:val="20"/>
                <w:color w:val="auto"/>
              </w:rPr>
            </w:pPr>
            <w:r>
              <w:rPr>
                <w:rFonts w:ascii="Arial" w:cs="Arial" w:eastAsia="Arial" w:hAnsi="Arial"/>
                <w:sz w:val="18"/>
                <w:szCs w:val="18"/>
                <w:color w:val="auto"/>
              </w:rPr>
              <w:t>38,830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5"/>
          </w:tcPr>
          <w:p>
            <w:pPr>
              <w:jc w:val="right"/>
              <w:ind w:right="20"/>
              <w:spacing w:after="0"/>
              <w:rPr>
                <w:sz w:val="20"/>
                <w:szCs w:val="20"/>
                <w:color w:val="auto"/>
              </w:rPr>
            </w:pPr>
            <w:r>
              <w:rPr>
                <w:rFonts w:ascii="Arial" w:cs="Arial" w:eastAsia="Arial" w:hAnsi="Arial"/>
                <w:sz w:val="18"/>
                <w:szCs w:val="18"/>
                <w:color w:val="auto"/>
              </w:rPr>
              <w:t>946</w:t>
            </w:r>
          </w:p>
        </w:tc>
        <w:tc>
          <w:tcPr>
            <w:tcW w:w="60" w:type="dxa"/>
            <w:vAlign w:val="bottom"/>
          </w:tcPr>
          <w:p>
            <w:pPr>
              <w:spacing w:after="0"/>
              <w:rPr>
                <w:sz w:val="24"/>
                <w:szCs w:val="24"/>
                <w:color w:val="auto"/>
              </w:rPr>
            </w:pPr>
          </w:p>
        </w:tc>
      </w:tr>
      <w:tr>
        <w:trPr>
          <w:trHeight w:val="54"/>
        </w:trPr>
        <w:tc>
          <w:tcPr>
            <w:tcW w:w="4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1600" w:type="dxa"/>
            <w:vAlign w:val="bottom"/>
            <w:gridSpan w:val="8"/>
            <w:shd w:val="clear" w:color="auto" w:fill="CCEEFF"/>
          </w:tcPr>
          <w:p>
            <w:pPr>
              <w:jc w:val="right"/>
              <w:ind w:right="100"/>
              <w:spacing w:after="0"/>
              <w:rPr>
                <w:sz w:val="20"/>
                <w:szCs w:val="20"/>
                <w:color w:val="auto"/>
              </w:rPr>
            </w:pPr>
            <w:r>
              <w:rPr>
                <w:rFonts w:ascii="Arial" w:cs="Arial" w:eastAsia="Arial" w:hAnsi="Arial"/>
                <w:sz w:val="18"/>
                <w:szCs w:val="18"/>
                <w:color w:val="auto"/>
              </w:rPr>
              <w:t>(601)</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1,321</w:t>
            </w:r>
          </w:p>
        </w:tc>
        <w:tc>
          <w:tcPr>
            <w:tcW w:w="60" w:type="dxa"/>
            <w:vAlign w:val="bottom"/>
            <w:shd w:val="clear" w:color="auto" w:fill="CCEEFF"/>
          </w:tcPr>
          <w:p>
            <w:pPr>
              <w:spacing w:after="0"/>
              <w:rPr>
                <w:sz w:val="22"/>
                <w:szCs w:val="22"/>
                <w:color w:val="auto"/>
              </w:rPr>
            </w:pPr>
          </w:p>
        </w:tc>
      </w:tr>
      <w:tr>
        <w:trPr>
          <w:trHeight w:val="61"/>
        </w:trPr>
        <w:tc>
          <w:tcPr>
            <w:tcW w:w="49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83"/>
        </w:trPr>
        <w:tc>
          <w:tcPr>
            <w:tcW w:w="492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460" w:type="dxa"/>
            <w:vAlign w:val="bottom"/>
            <w:gridSpan w:val="6"/>
          </w:tcPr>
          <w:p>
            <w:pPr>
              <w:jc w:val="right"/>
              <w:ind w:right="20"/>
              <w:spacing w:after="0"/>
              <w:rPr>
                <w:sz w:val="20"/>
                <w:szCs w:val="20"/>
                <w:color w:val="auto"/>
              </w:rPr>
            </w:pPr>
            <w:r>
              <w:rPr>
                <w:rFonts w:ascii="Arial" w:cs="Arial" w:eastAsia="Arial" w:hAnsi="Arial"/>
                <w:sz w:val="18"/>
                <w:szCs w:val="18"/>
                <w:color w:val="auto"/>
              </w:rPr>
              <w:t>152,218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7"/>
          </w:tcPr>
          <w:p>
            <w:pPr>
              <w:jc w:val="right"/>
              <w:spacing w:after="0"/>
              <w:rPr>
                <w:sz w:val="20"/>
                <w:szCs w:val="20"/>
                <w:color w:val="auto"/>
              </w:rPr>
            </w:pPr>
            <w:r>
              <w:rPr>
                <w:rFonts w:ascii="Arial" w:cs="Arial" w:eastAsia="Arial" w:hAnsi="Arial"/>
                <w:sz w:val="18"/>
                <w:szCs w:val="18"/>
                <w:color w:val="auto"/>
              </w:rPr>
              <w:t>38,830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gridSpan w:val="6"/>
          </w:tcPr>
          <w:p>
            <w:pPr>
              <w:jc w:val="right"/>
              <w:ind w:right="20"/>
              <w:spacing w:after="0"/>
              <w:rPr>
                <w:sz w:val="20"/>
                <w:szCs w:val="20"/>
                <w:color w:val="auto"/>
              </w:rPr>
            </w:pPr>
            <w:r>
              <w:rPr>
                <w:rFonts w:ascii="Arial" w:cs="Arial" w:eastAsia="Arial" w:hAnsi="Arial"/>
                <w:sz w:val="18"/>
                <w:szCs w:val="18"/>
                <w:color w:val="auto"/>
              </w:rPr>
              <w:t>(375)</w:t>
            </w:r>
          </w:p>
        </w:tc>
      </w:tr>
      <w:tr>
        <w:trPr>
          <w:trHeight w:val="54"/>
        </w:trPr>
        <w:tc>
          <w:tcPr>
            <w:tcW w:w="4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148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91,835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61"/>
        </w:trPr>
        <w:tc>
          <w:tcPr>
            <w:tcW w:w="49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8"/>
                <w:szCs w:val="18"/>
                <w:color w:val="auto"/>
              </w:rPr>
              <w:t>Net income (loss) attributable to WM Technology, Inc.</w:t>
            </w:r>
          </w:p>
        </w:tc>
        <w:tc>
          <w:tcPr>
            <w:tcW w:w="780" w:type="dxa"/>
            <w:vAlign w:val="bottom"/>
          </w:tcPr>
          <w:p>
            <w:pPr>
              <w:spacing w:after="0"/>
              <w:rPr>
                <w:sz w:val="23"/>
                <w:szCs w:val="23"/>
                <w:color w:val="auto"/>
              </w:rPr>
            </w:pPr>
          </w:p>
        </w:tc>
        <w:tc>
          <w:tcPr>
            <w:tcW w:w="680" w:type="dxa"/>
            <w:vAlign w:val="bottom"/>
            <w:gridSpan w:val="5"/>
          </w:tcPr>
          <w:p>
            <w:pPr>
              <w:jc w:val="right"/>
              <w:ind w:right="20"/>
              <w:spacing w:after="0"/>
              <w:rPr>
                <w:sz w:val="20"/>
                <w:szCs w:val="20"/>
                <w:color w:val="auto"/>
              </w:rPr>
            </w:pPr>
            <w:r>
              <w:rPr>
                <w:rFonts w:ascii="Arial" w:cs="Arial" w:eastAsia="Arial" w:hAnsi="Arial"/>
                <w:sz w:val="18"/>
                <w:szCs w:val="18"/>
                <w:color w:val="auto"/>
                <w:w w:val="91"/>
              </w:rPr>
              <w:t>$ 60,383</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gridSpan w:val="6"/>
          </w:tcPr>
          <w:p>
            <w:pPr>
              <w:jc w:val="right"/>
              <w:spacing w:after="0"/>
              <w:rPr>
                <w:sz w:val="20"/>
                <w:szCs w:val="20"/>
                <w:color w:val="auto"/>
              </w:rPr>
            </w:pPr>
            <w:r>
              <w:rPr>
                <w:rFonts w:ascii="Arial" w:cs="Arial" w:eastAsia="Arial" w:hAnsi="Arial"/>
                <w:sz w:val="18"/>
                <w:szCs w:val="18"/>
                <w:color w:val="auto"/>
                <w:w w:val="94"/>
              </w:rPr>
              <w:t>$ 38,830</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6"/>
          </w:tcPr>
          <w:p>
            <w:pPr>
              <w:jc w:val="right"/>
              <w:ind w:right="20"/>
              <w:spacing w:after="0"/>
              <w:rPr>
                <w:sz w:val="20"/>
                <w:szCs w:val="20"/>
                <w:color w:val="auto"/>
              </w:rPr>
            </w:pPr>
            <w:r>
              <w:rPr>
                <w:rFonts w:ascii="Arial" w:cs="Arial" w:eastAsia="Arial" w:hAnsi="Arial"/>
                <w:sz w:val="18"/>
                <w:szCs w:val="18"/>
                <w:color w:val="auto"/>
              </w:rPr>
              <w:t>(375)</w:t>
            </w:r>
          </w:p>
        </w:tc>
      </w:tr>
      <w:tr>
        <w:trPr>
          <w:trHeight w:val="20"/>
        </w:trPr>
        <w:tc>
          <w:tcPr>
            <w:tcW w:w="4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46"/>
        </w:trPr>
        <w:tc>
          <w:tcPr>
            <w:tcW w:w="4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gridSpan w:val="21"/>
          </w:tcPr>
          <w:p>
            <w:pPr>
              <w:jc w:val="right"/>
              <w:ind w:right="500"/>
              <w:spacing w:after="0"/>
              <w:rPr>
                <w:sz w:val="20"/>
                <w:szCs w:val="20"/>
                <w:color w:val="auto"/>
              </w:rPr>
            </w:pPr>
            <w:r>
              <w:rPr>
                <w:rFonts w:ascii="Arial" w:cs="Arial" w:eastAsia="Arial" w:hAnsi="Arial"/>
                <w:sz w:val="14"/>
                <w:szCs w:val="14"/>
                <w:b w:val="1"/>
                <w:bCs w:val="1"/>
                <w:color w:val="auto"/>
                <w:w w:val="97"/>
              </w:rPr>
              <w:t>Years Ended December 31,</w:t>
            </w:r>
          </w:p>
        </w:tc>
      </w:tr>
      <w:tr>
        <w:trPr>
          <w:trHeight w:val="53"/>
        </w:trPr>
        <w:tc>
          <w:tcPr>
            <w:tcW w:w="492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25"/>
        </w:trPr>
        <w:tc>
          <w:tcPr>
            <w:tcW w:w="4920" w:type="dxa"/>
            <w:vAlign w:val="bottom"/>
          </w:tcPr>
          <w:p>
            <w:pPr>
              <w:spacing w:after="0"/>
              <w:rPr>
                <w:sz w:val="19"/>
                <w:szCs w:val="19"/>
                <w:color w:val="auto"/>
              </w:rPr>
            </w:pPr>
          </w:p>
        </w:tc>
        <w:tc>
          <w:tcPr>
            <w:tcW w:w="1440" w:type="dxa"/>
            <w:vAlign w:val="bottom"/>
            <w:gridSpan w:val="5"/>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6"/>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53"/>
        </w:trPr>
        <w:tc>
          <w:tcPr>
            <w:tcW w:w="4920" w:type="dxa"/>
            <w:vAlign w:val="bottom"/>
            <w:tcBorders>
              <w:bottom w:val="single" w:sz="8" w:color="CCEEFF"/>
            </w:tcBorders>
          </w:tcPr>
          <w:p>
            <w:pPr>
              <w:spacing w:after="0"/>
              <w:rPr>
                <w:sz w:val="4"/>
                <w:szCs w:val="4"/>
                <w:color w:val="auto"/>
              </w:rPr>
            </w:pPr>
          </w:p>
        </w:tc>
        <w:tc>
          <w:tcPr>
            <w:tcW w:w="840" w:type="dxa"/>
            <w:vAlign w:val="bottom"/>
            <w:tcBorders>
              <w:bottom w:val="single" w:sz="8" w:color="CCEEFF"/>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311"/>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4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324"/>
        </w:trPr>
        <w:tc>
          <w:tcPr>
            <w:tcW w:w="4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4920" w:type="dxa"/>
            <w:vAlign w:val="bottom"/>
          </w:tcPr>
          <w:p>
            <w:pPr>
              <w:ind w:left="360"/>
              <w:spacing w:after="0"/>
              <w:rPr>
                <w:sz w:val="20"/>
                <w:szCs w:val="20"/>
                <w:color w:val="auto"/>
              </w:rPr>
            </w:pPr>
            <w:r>
              <w:rPr>
                <w:rFonts w:ascii="Arial" w:cs="Arial" w:eastAsia="Arial" w:hAnsi="Arial"/>
                <w:sz w:val="18"/>
                <w:szCs w:val="18"/>
                <w:color w:val="auto"/>
              </w:rPr>
              <w:t>Cost of revenues</w:t>
            </w:r>
          </w:p>
        </w:tc>
        <w:tc>
          <w:tcPr>
            <w:tcW w:w="1440" w:type="dxa"/>
            <w:vAlign w:val="bottom"/>
            <w:gridSpan w:val="5"/>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gridSpan w:val="5"/>
          </w:tcPr>
          <w:p>
            <w:pPr>
              <w:jc w:val="right"/>
              <w:ind w:right="2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3"/>
                <w:szCs w:val="23"/>
                <w:color w:val="auto"/>
              </w:rPr>
            </w:pPr>
          </w:p>
        </w:tc>
      </w:tr>
      <w:tr>
        <w:trPr>
          <w:trHeight w:val="54"/>
        </w:trPr>
        <w:tc>
          <w:tcPr>
            <w:tcW w:w="492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14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4920" w:type="dxa"/>
            <w:vAlign w:val="bottom"/>
          </w:tcPr>
          <w:p>
            <w:pPr>
              <w:ind w:left="360"/>
              <w:spacing w:after="0"/>
              <w:rPr>
                <w:sz w:val="20"/>
                <w:szCs w:val="20"/>
                <w:color w:val="auto"/>
              </w:rPr>
            </w:pPr>
            <w:r>
              <w:rPr>
                <w:rFonts w:ascii="Arial" w:cs="Arial" w:eastAsia="Arial" w:hAnsi="Arial"/>
                <w:sz w:val="18"/>
                <w:szCs w:val="18"/>
                <w:color w:val="auto"/>
              </w:rPr>
              <w:t>Product development</w:t>
            </w:r>
          </w:p>
        </w:tc>
        <w:tc>
          <w:tcPr>
            <w:tcW w:w="1440" w:type="dxa"/>
            <w:vAlign w:val="bottom"/>
            <w:gridSpan w:val="5"/>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gridSpan w:val="5"/>
          </w:tcPr>
          <w:p>
            <w:pPr>
              <w:jc w:val="right"/>
              <w:ind w:right="2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3"/>
                <w:szCs w:val="23"/>
                <w:color w:val="auto"/>
              </w:rPr>
            </w:pPr>
          </w:p>
        </w:tc>
      </w:tr>
      <w:tr>
        <w:trPr>
          <w:trHeight w:val="54"/>
        </w:trPr>
        <w:tc>
          <w:tcPr>
            <w:tcW w:w="492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4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57"/>
        </w:trPr>
        <w:tc>
          <w:tcPr>
            <w:tcW w:w="49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440" w:type="dxa"/>
            <w:vAlign w:val="bottom"/>
            <w:gridSpan w:val="5"/>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gridSpan w:val="5"/>
          </w:tcPr>
          <w:p>
            <w:pPr>
              <w:jc w:val="right"/>
              <w:ind w:right="2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2"/>
                <w:szCs w:val="22"/>
                <w:color w:val="auto"/>
              </w:rPr>
            </w:pPr>
          </w:p>
        </w:tc>
      </w:tr>
      <w:tr>
        <w:trPr>
          <w:trHeight w:val="61"/>
        </w:trPr>
        <w:tc>
          <w:tcPr>
            <w:tcW w:w="4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270"/>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14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c>
          <w:tcPr>
            <w:tcW w:w="60" w:type="dxa"/>
            <w:vAlign w:val="bottom"/>
            <w:shd w:val="clear" w:color="auto" w:fill="CCEEFF"/>
          </w:tcPr>
          <w:p>
            <w:pPr>
              <w:spacing w:after="0"/>
              <w:rPr>
                <w:sz w:val="23"/>
                <w:szCs w:val="23"/>
                <w:color w:val="auto"/>
              </w:rPr>
            </w:pPr>
          </w:p>
        </w:tc>
      </w:tr>
      <w:tr>
        <w:trPr>
          <w:trHeight w:val="61"/>
        </w:trPr>
        <w:tc>
          <w:tcPr>
            <w:tcW w:w="49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84"/>
        </w:trPr>
        <w:tc>
          <w:tcPr>
            <w:tcW w:w="4920" w:type="dxa"/>
            <w:vAlign w:val="bottom"/>
          </w:tcPr>
          <w:p>
            <w:pPr>
              <w:ind w:left="540"/>
              <w:spacing w:after="0"/>
              <w:rPr>
                <w:sz w:val="20"/>
                <w:szCs w:val="20"/>
                <w:color w:val="auto"/>
              </w:rPr>
            </w:pPr>
            <w:r>
              <w:rPr>
                <w:rFonts w:ascii="Arial" w:cs="Arial" w:eastAsia="Arial" w:hAnsi="Arial"/>
                <w:sz w:val="18"/>
                <w:szCs w:val="18"/>
                <w:color w:val="auto"/>
              </w:rPr>
              <w:t>Operating (loss) income</w:t>
            </w:r>
          </w:p>
        </w:tc>
        <w:tc>
          <w:tcPr>
            <w:tcW w:w="1440" w:type="dxa"/>
            <w:vAlign w:val="bottom"/>
            <w:gridSpan w:val="5"/>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5"/>
          </w:tcPr>
          <w:p>
            <w:pPr>
              <w:jc w:val="right"/>
              <w:ind w:right="2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4"/>
                <w:szCs w:val="24"/>
                <w:color w:val="auto"/>
              </w:rPr>
            </w:pPr>
          </w:p>
        </w:tc>
      </w:tr>
      <w:tr>
        <w:trPr>
          <w:trHeight w:val="54"/>
        </w:trPr>
        <w:tc>
          <w:tcPr>
            <w:tcW w:w="4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7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4920" w:type="dxa"/>
            <w:vAlign w:val="bottom"/>
          </w:tcPr>
          <w:p>
            <w:pPr>
              <w:ind w:left="360"/>
              <w:spacing w:after="0"/>
              <w:rPr>
                <w:sz w:val="20"/>
                <w:szCs w:val="20"/>
                <w:color w:val="auto"/>
              </w:rPr>
            </w:pPr>
            <w:r>
              <w:rPr>
                <w:rFonts w:ascii="Arial" w:cs="Arial" w:eastAsia="Arial" w:hAnsi="Arial"/>
                <w:sz w:val="18"/>
                <w:szCs w:val="18"/>
                <w:color w:val="auto"/>
              </w:rPr>
              <w:t>Change in fair value of warrant liability</w:t>
            </w:r>
          </w:p>
        </w:tc>
        <w:tc>
          <w:tcPr>
            <w:tcW w:w="1440" w:type="dxa"/>
            <w:vAlign w:val="bottom"/>
            <w:gridSpan w:val="5"/>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gridSpan w:val="5"/>
          </w:tcPr>
          <w:p>
            <w:pPr>
              <w:jc w:val="right"/>
              <w:ind w:right="2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3"/>
                <w:szCs w:val="23"/>
                <w:color w:val="auto"/>
              </w:rPr>
            </w:pPr>
          </w:p>
        </w:tc>
      </w:tr>
      <w:tr>
        <w:trPr>
          <w:trHeight w:val="54"/>
        </w:trPr>
        <w:tc>
          <w:tcPr>
            <w:tcW w:w="492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 net</w:t>
            </w:r>
          </w:p>
        </w:tc>
        <w:tc>
          <w:tcPr>
            <w:tcW w:w="14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r>
      <w:tr>
        <w:trPr>
          <w:trHeight w:val="61"/>
        </w:trPr>
        <w:tc>
          <w:tcPr>
            <w:tcW w:w="49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84"/>
        </w:trPr>
        <w:tc>
          <w:tcPr>
            <w:tcW w:w="4920" w:type="dxa"/>
            <w:vAlign w:val="bottom"/>
          </w:tcPr>
          <w:p>
            <w:pPr>
              <w:ind w:left="540"/>
              <w:spacing w:after="0"/>
              <w:rPr>
                <w:sz w:val="20"/>
                <w:szCs w:val="20"/>
                <w:color w:val="auto"/>
              </w:rPr>
            </w:pPr>
            <w:r>
              <w:rPr>
                <w:rFonts w:ascii="Arial" w:cs="Arial" w:eastAsia="Arial" w:hAnsi="Arial"/>
                <w:sz w:val="18"/>
                <w:szCs w:val="18"/>
                <w:color w:val="auto"/>
              </w:rPr>
              <w:t>Income before income taxes</w:t>
            </w:r>
          </w:p>
        </w:tc>
        <w:tc>
          <w:tcPr>
            <w:tcW w:w="1440" w:type="dxa"/>
            <w:vAlign w:val="bottom"/>
            <w:gridSpan w:val="5"/>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5"/>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r>
      <w:tr>
        <w:trPr>
          <w:trHeight w:val="54"/>
        </w:trPr>
        <w:tc>
          <w:tcPr>
            <w:tcW w:w="492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14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2"/>
                <w:szCs w:val="22"/>
                <w:color w:val="auto"/>
              </w:rPr>
            </w:pPr>
          </w:p>
        </w:tc>
      </w:tr>
      <w:tr>
        <w:trPr>
          <w:trHeight w:val="61"/>
        </w:trPr>
        <w:tc>
          <w:tcPr>
            <w:tcW w:w="49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83"/>
        </w:trPr>
        <w:tc>
          <w:tcPr>
            <w:tcW w:w="492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440" w:type="dxa"/>
            <w:vAlign w:val="bottom"/>
            <w:gridSpan w:val="5"/>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5"/>
          </w:tcPr>
          <w:p>
            <w:pPr>
              <w:jc w:val="right"/>
              <w:ind w:right="2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4"/>
                <w:szCs w:val="24"/>
                <w:color w:val="auto"/>
              </w:rPr>
            </w:pPr>
          </w:p>
        </w:tc>
      </w:tr>
      <w:tr>
        <w:trPr>
          <w:trHeight w:val="54"/>
        </w:trPr>
        <w:tc>
          <w:tcPr>
            <w:tcW w:w="492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14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22"/>
                <w:szCs w:val="22"/>
                <w:color w:val="auto"/>
              </w:rPr>
            </w:pPr>
          </w:p>
        </w:tc>
      </w:tr>
      <w:tr>
        <w:trPr>
          <w:trHeight w:val="61"/>
        </w:trPr>
        <w:tc>
          <w:tcPr>
            <w:tcW w:w="49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8"/>
                <w:szCs w:val="18"/>
                <w:color w:val="auto"/>
              </w:rPr>
              <w:t>Net income (loss) attributable to WM Technology, Inc.</w:t>
            </w:r>
          </w:p>
        </w:tc>
        <w:tc>
          <w:tcPr>
            <w:tcW w:w="1440" w:type="dxa"/>
            <w:vAlign w:val="bottom"/>
            <w:gridSpan w:val="5"/>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gridSpan w:val="5"/>
          </w:tcPr>
          <w:p>
            <w:pPr>
              <w:jc w:val="right"/>
              <w:ind w:right="2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3"/>
                <w:szCs w:val="23"/>
                <w:color w:val="auto"/>
              </w:rPr>
            </w:pPr>
          </w:p>
        </w:tc>
      </w:tr>
      <w:tr>
        <w:trPr>
          <w:trHeight w:val="21"/>
        </w:trPr>
        <w:tc>
          <w:tcPr>
            <w:tcW w:w="4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-8220075</wp:posOffset>
            </wp:positionV>
            <wp:extent cx="15430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-8220075</wp:posOffset>
            </wp:positionV>
            <wp:extent cx="15430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-3796665</wp:posOffset>
            </wp:positionV>
            <wp:extent cx="274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-3796665</wp:posOffset>
            </wp:positionV>
            <wp:extent cx="274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-3796665</wp:posOffset>
            </wp:positionV>
            <wp:extent cx="137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019"/>
          </w:cols>
          <w:pgMar w:left="1440" w:top="265" w:right="1440" w:bottom="682"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682" w:gutter="0" w:footer="0" w:header="0"/>
          <w:type w:val="continuous"/>
        </w:sectPr>
      </w:pPr>
    </w:p>
    <w:bookmarkStart w:id="61" w:name="page62"/>
    <w:bookmarkEnd w:id="6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Comparison of Years Ended December 31, 2021, 2020 and 2019</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Revenues</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2340" w:type="dxa"/>
            <w:vAlign w:val="bottom"/>
            <w:gridSpan w:val="4"/>
          </w:tcPr>
          <w:p>
            <w:pPr>
              <w:ind w:left="300"/>
              <w:spacing w:after="0"/>
              <w:rPr>
                <w:sz w:val="20"/>
                <w:szCs w:val="20"/>
                <w:color w:val="auto"/>
              </w:rPr>
            </w:pPr>
            <w:r>
              <w:rPr>
                <w:rFonts w:ascii="Arial" w:cs="Arial" w:eastAsia="Arial" w:hAnsi="Arial"/>
                <w:sz w:val="14"/>
                <w:szCs w:val="14"/>
                <w:b w:val="1"/>
                <w:bCs w:val="1"/>
                <w:color w:val="auto"/>
              </w:rPr>
              <w:t>Years Ended December 31,</w:t>
            </w:r>
          </w:p>
        </w:tc>
        <w:tc>
          <w:tcPr>
            <w:tcW w:w="1400" w:type="dxa"/>
            <w:vAlign w:val="bottom"/>
            <w:gridSpan w:val="3"/>
          </w:tcPr>
          <w:p>
            <w:pPr>
              <w:ind w:left="360"/>
              <w:spacing w:after="0"/>
              <w:rPr>
                <w:sz w:val="20"/>
                <w:szCs w:val="20"/>
                <w:color w:val="auto"/>
              </w:rPr>
            </w:pPr>
            <w:r>
              <w:rPr>
                <w:rFonts w:ascii="Arial" w:cs="Arial" w:eastAsia="Arial" w:hAnsi="Arial"/>
                <w:sz w:val="14"/>
                <w:szCs w:val="14"/>
                <w:b w:val="1"/>
                <w:bCs w:val="1"/>
                <w:color w:val="auto"/>
              </w:rPr>
              <w:t>$ Change</w:t>
            </w:r>
          </w:p>
        </w:tc>
        <w:tc>
          <w:tcPr>
            <w:tcW w:w="1120" w:type="dxa"/>
            <w:vAlign w:val="bottom"/>
            <w:gridSpan w:val="2"/>
          </w:tcPr>
          <w:p>
            <w:pPr>
              <w:jc w:val="right"/>
              <w:ind w:right="16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53"/>
        </w:trPr>
        <w:tc>
          <w:tcPr>
            <w:tcW w:w="35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560" w:type="dxa"/>
            <w:vAlign w:val="bottom"/>
          </w:tcPr>
          <w:p>
            <w:pPr>
              <w:spacing w:after="0"/>
              <w:rPr>
                <w:sz w:val="16"/>
                <w:szCs w:val="16"/>
                <w:color w:val="auto"/>
              </w:rPr>
            </w:pPr>
          </w:p>
        </w:tc>
        <w:tc>
          <w:tcPr>
            <w:tcW w:w="72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2021</w:t>
            </w:r>
          </w:p>
        </w:tc>
        <w:tc>
          <w:tcPr>
            <w:tcW w:w="78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2020</w:t>
            </w:r>
          </w:p>
        </w:tc>
        <w:tc>
          <w:tcPr>
            <w:tcW w:w="74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640" w:type="dxa"/>
            <w:vAlign w:val="bottom"/>
          </w:tcPr>
          <w:p>
            <w:pPr>
              <w:jc w:val="center"/>
              <w:ind w:right="4"/>
              <w:spacing w:after="0"/>
              <w:rPr>
                <w:sz w:val="20"/>
                <w:szCs w:val="20"/>
                <w:color w:val="auto"/>
              </w:rPr>
            </w:pPr>
            <w:r>
              <w:rPr>
                <w:rFonts w:ascii="Arial" w:cs="Arial" w:eastAsia="Arial" w:hAnsi="Arial"/>
                <w:sz w:val="14"/>
                <w:szCs w:val="14"/>
                <w:b w:val="1"/>
                <w:bCs w:val="1"/>
                <w:color w:val="auto"/>
                <w:w w:val="88"/>
              </w:rPr>
              <w:t>2021 vs.</w:t>
            </w: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2020 vs.</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88"/>
              </w:rPr>
              <w:t>2021 vs.</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9"/>
              </w:rPr>
              <w:t>2020 vs.</w:t>
            </w: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560" w:type="dxa"/>
            <w:vAlign w:val="bottom"/>
          </w:tcPr>
          <w:p>
            <w:pPr>
              <w:jc w:val="right"/>
              <w:ind w:right="84"/>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jc w:val="right"/>
              <w:ind w:right="2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3"/>
        </w:trPr>
        <w:tc>
          <w:tcPr>
            <w:tcW w:w="35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gridSpan w:val="3"/>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40" w:type="dxa"/>
            <w:vAlign w:val="bottom"/>
            <w:gridSpan w:val="5"/>
          </w:tcPr>
          <w:p>
            <w:pPr>
              <w:ind w:left="260"/>
              <w:spacing w:after="0"/>
              <w:rPr>
                <w:sz w:val="20"/>
                <w:szCs w:val="20"/>
                <w:color w:val="auto"/>
              </w:rPr>
            </w:pPr>
            <w:r>
              <w:rPr>
                <w:rFonts w:ascii="Arial" w:cs="Arial" w:eastAsia="Arial" w:hAnsi="Arial"/>
                <w:sz w:val="14"/>
                <w:szCs w:val="14"/>
                <w:b w:val="1"/>
                <w:bCs w:val="1"/>
                <w:color w:val="auto"/>
              </w:rPr>
              <w:t>(dollars in thousands)</w:t>
            </w: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$193,146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$161,791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$144,232</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$31,355</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$17,559</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54"/>
        </w:trPr>
        <w:tc>
          <w:tcPr>
            <w:tcW w:w="35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-402590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-402590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-402590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-402590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-402590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-402590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b w:val="1"/>
          <w:bCs w:val="1"/>
          <w:color w:val="auto"/>
        </w:rPr>
        <w:t xml:space="preserve">Year ended December 31, 2021 compared to year ended December 31, 2020. </w:t>
      </w:r>
      <w:r>
        <w:rPr>
          <w:rFonts w:ascii="Arial" w:cs="Arial" w:eastAsia="Arial" w:hAnsi="Arial"/>
          <w:sz w:val="16"/>
          <w:szCs w:val="16"/>
          <w:color w:val="auto"/>
        </w:rPr>
        <w:t>Total revenues increased by</w:t>
      </w:r>
      <w:r>
        <w:rPr>
          <w:rFonts w:ascii="Arial" w:cs="Arial" w:eastAsia="Arial" w:hAnsi="Arial"/>
          <w:sz w:val="16"/>
          <w:szCs w:val="16"/>
          <w:b w:val="1"/>
          <w:bCs w:val="1"/>
          <w:color w:val="auto"/>
        </w:rPr>
        <w:t xml:space="preserve"> </w:t>
      </w:r>
      <w:r>
        <w:rPr>
          <w:rFonts w:ascii="Arial" w:cs="Arial" w:eastAsia="Arial" w:hAnsi="Arial"/>
          <w:sz w:val="16"/>
          <w:szCs w:val="16"/>
          <w:color w:val="auto"/>
        </w:rPr>
        <w:t>$31.4 million, or 19% for the year ended December 31, 2021 compared to the same period in 2020. The increase was driven by a 14% increase in average monthly revenue per paying client and a 5% increase in monthly average paying clients. Our growth in average monthly revenue per paying client reflects continued growth in our WM Business subscription offering and other ad solutions, more client engagement driven by the increased functionality across our WM Business suite of solutions and the impact of the pricing increase related to transitioning all of our standard listing subscription clients to our new WM Business subscription package at the beginning of 2021. These impacts were partially offset by the removal of Canada-based clients who had higher monthly spend than our average client base as well as the elimination of our technology services fee on all delivery orders. For the year ended December 31, 2021, Featured Listing product, WM Business subscription offering and other ad solutions represented 55%, 22% and 23% of our total revenues, respectively.</w:t>
      </w:r>
    </w:p>
    <w:p>
      <w:pPr>
        <w:spacing w:after="0" w:line="59"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During the second half of fiscal 2020, we discontinued our services to Canada-based retail operator clients who failed to provide valid license information, similar to the transition we implemented in California at the end of fiscal 2019 (beginning with clients receiving free listing subscriptions in June 2020 and continuing with paid listings starting in September 2020). Total revenue excluding Canada was $193.1 million for the year ended December 31, 2021 compared $130.4 million in the same period in 2020. The increase of approximately $62.8 million, or 48% in total revenue excluding Canada was primarily driven by a 19% increase in the average monthly revenue per paying client and a 25% increase in average monthly paying clients.</w:t>
      </w:r>
    </w:p>
    <w:p>
      <w:pPr>
        <w:spacing w:after="0" w:line="65" w:lineRule="exact"/>
        <w:rPr>
          <w:sz w:val="20"/>
          <w:szCs w:val="20"/>
          <w:color w:val="auto"/>
        </w:rPr>
      </w:pPr>
    </w:p>
    <w:p>
      <w:pPr>
        <w:jc w:val="both"/>
        <w:ind w:left="300" w:right="299" w:firstLine="360"/>
        <w:spacing w:after="0" w:line="281" w:lineRule="auto"/>
        <w:rPr>
          <w:sz w:val="20"/>
          <w:szCs w:val="20"/>
          <w:color w:val="auto"/>
        </w:rPr>
      </w:pPr>
      <w:r>
        <w:rPr>
          <w:rFonts w:ascii="Arial" w:cs="Arial" w:eastAsia="Arial" w:hAnsi="Arial"/>
          <w:sz w:val="17"/>
          <w:szCs w:val="17"/>
          <w:b w:val="1"/>
          <w:bCs w:val="1"/>
          <w:color w:val="auto"/>
        </w:rPr>
        <w:t xml:space="preserve">Year ended December 31, 2020 compared to year ended December 31, 2019. </w:t>
      </w:r>
      <w:r>
        <w:rPr>
          <w:rFonts w:ascii="Arial" w:cs="Arial" w:eastAsia="Arial" w:hAnsi="Arial"/>
          <w:sz w:val="17"/>
          <w:szCs w:val="17"/>
          <w:color w:val="auto"/>
        </w:rPr>
        <w:t>Total revenue increased by</w:t>
      </w:r>
      <w:r>
        <w:rPr>
          <w:rFonts w:ascii="Arial" w:cs="Arial" w:eastAsia="Arial" w:hAnsi="Arial"/>
          <w:sz w:val="17"/>
          <w:szCs w:val="17"/>
          <w:b w:val="1"/>
          <w:bCs w:val="1"/>
          <w:color w:val="auto"/>
        </w:rPr>
        <w:t xml:space="preserve"> </w:t>
      </w:r>
      <w:r>
        <w:rPr>
          <w:rFonts w:ascii="Arial" w:cs="Arial" w:eastAsia="Arial" w:hAnsi="Arial"/>
          <w:sz w:val="17"/>
          <w:szCs w:val="17"/>
          <w:color w:val="auto"/>
        </w:rPr>
        <w:t>$17.6 million, or 12% for the year ended December 31, 2020 compared to the same period in 2019. The increase was driven by a 27% increase in average monthly revenue per paying client, which was partially offset by a 12% decrease in average monthly paying clients as a result of factors described above.</w:t>
      </w:r>
    </w:p>
    <w:p>
      <w:pPr>
        <w:spacing w:after="0" w:line="31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2540" w:type="dxa"/>
            <w:vAlign w:val="bottom"/>
            <w:gridSpan w:val="4"/>
          </w:tcPr>
          <w:p>
            <w:pPr>
              <w:ind w:left="340"/>
              <w:spacing w:after="0"/>
              <w:rPr>
                <w:sz w:val="20"/>
                <w:szCs w:val="20"/>
                <w:color w:val="auto"/>
              </w:rPr>
            </w:pPr>
            <w:r>
              <w:rPr>
                <w:rFonts w:ascii="Arial" w:cs="Arial" w:eastAsia="Arial" w:hAnsi="Arial"/>
                <w:sz w:val="14"/>
                <w:szCs w:val="14"/>
                <w:b w:val="1"/>
                <w:bCs w:val="1"/>
                <w:color w:val="auto"/>
              </w:rPr>
              <w:t>Years Ended December 31,</w:t>
            </w:r>
          </w:p>
        </w:tc>
        <w:tc>
          <w:tcPr>
            <w:tcW w:w="1380" w:type="dxa"/>
            <w:vAlign w:val="bottom"/>
            <w:gridSpan w:val="3"/>
          </w:tcPr>
          <w:p>
            <w:pPr>
              <w:ind w:left="280"/>
              <w:spacing w:after="0"/>
              <w:rPr>
                <w:sz w:val="20"/>
                <w:szCs w:val="20"/>
                <w:color w:val="auto"/>
              </w:rPr>
            </w:pPr>
            <w:r>
              <w:rPr>
                <w:rFonts w:ascii="Arial" w:cs="Arial" w:eastAsia="Arial" w:hAnsi="Arial"/>
                <w:sz w:val="14"/>
                <w:szCs w:val="14"/>
                <w:b w:val="1"/>
                <w:bCs w:val="1"/>
                <w:color w:val="auto"/>
              </w:rPr>
              <w:t>$ Change</w:t>
            </w:r>
          </w:p>
        </w:tc>
        <w:tc>
          <w:tcPr>
            <w:tcW w:w="122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52"/>
        </w:trPr>
        <w:tc>
          <w:tcPr>
            <w:tcW w:w="328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280" w:type="dxa"/>
            <w:vAlign w:val="bottom"/>
          </w:tcPr>
          <w:p>
            <w:pPr>
              <w:spacing w:after="0"/>
              <w:rPr>
                <w:sz w:val="16"/>
                <w:szCs w:val="16"/>
                <w:color w:val="auto"/>
              </w:rPr>
            </w:pPr>
          </w:p>
        </w:tc>
        <w:tc>
          <w:tcPr>
            <w:tcW w:w="74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2021</w:t>
            </w:r>
          </w:p>
        </w:tc>
        <w:tc>
          <w:tcPr>
            <w:tcW w:w="84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2020</w:t>
            </w:r>
          </w:p>
        </w:tc>
        <w:tc>
          <w:tcPr>
            <w:tcW w:w="74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rPr>
              <w:t>2021 vs.</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2020 vs</w:t>
            </w:r>
          </w:p>
        </w:tc>
        <w:tc>
          <w:tcPr>
            <w:tcW w:w="600" w:type="dxa"/>
            <w:vAlign w:val="bottom"/>
          </w:tcPr>
          <w:p>
            <w:pPr>
              <w:jc w:val="center"/>
              <w:ind w:right="24"/>
              <w:spacing w:after="0"/>
              <w:rPr>
                <w:sz w:val="20"/>
                <w:szCs w:val="20"/>
                <w:color w:val="auto"/>
              </w:rPr>
            </w:pPr>
            <w:r>
              <w:rPr>
                <w:rFonts w:ascii="Arial" w:cs="Arial" w:eastAsia="Arial" w:hAnsi="Arial"/>
                <w:sz w:val="14"/>
                <w:szCs w:val="14"/>
                <w:b w:val="1"/>
                <w:bCs w:val="1"/>
                <w:color w:val="auto"/>
                <w:w w:val="91"/>
              </w:rPr>
              <w:t>2021 vs.</w:t>
            </w:r>
          </w:p>
        </w:tc>
        <w:tc>
          <w:tcPr>
            <w:tcW w:w="620" w:type="dxa"/>
            <w:vAlign w:val="bottom"/>
          </w:tcPr>
          <w:p>
            <w:pPr>
              <w:jc w:val="center"/>
              <w:ind w:left="42"/>
              <w:spacing w:after="0"/>
              <w:rPr>
                <w:sz w:val="20"/>
                <w:szCs w:val="20"/>
                <w:color w:val="auto"/>
              </w:rPr>
            </w:pPr>
            <w:r>
              <w:rPr>
                <w:rFonts w:ascii="Arial" w:cs="Arial" w:eastAsia="Arial" w:hAnsi="Arial"/>
                <w:sz w:val="14"/>
                <w:szCs w:val="14"/>
                <w:b w:val="1"/>
                <w:bCs w:val="1"/>
                <w:color w:val="auto"/>
                <w:w w:val="91"/>
              </w:rPr>
              <w:t>2020 vs.</w:t>
            </w:r>
          </w:p>
        </w:tc>
        <w:tc>
          <w:tcPr>
            <w:tcW w:w="0" w:type="dxa"/>
            <w:vAlign w:val="bottom"/>
          </w:tcPr>
          <w:p>
            <w:pPr>
              <w:spacing w:after="0"/>
              <w:rPr>
                <w:sz w:val="1"/>
                <w:szCs w:val="1"/>
                <w:color w:val="auto"/>
              </w:rPr>
            </w:pPr>
          </w:p>
        </w:tc>
      </w:tr>
      <w:tr>
        <w:trPr>
          <w:trHeight w:val="186"/>
        </w:trPr>
        <w:tc>
          <w:tcPr>
            <w:tcW w:w="32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44"/>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jc w:val="right"/>
              <w:ind w:right="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600" w:type="dxa"/>
            <w:vAlign w:val="bottom"/>
          </w:tcPr>
          <w:p>
            <w:pPr>
              <w:jc w:val="right"/>
              <w:ind w:right="124"/>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jc w:val="right"/>
              <w:ind w:right="2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2"/>
        </w:trPr>
        <w:tc>
          <w:tcPr>
            <w:tcW w:w="328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60" w:type="dxa"/>
            <w:vAlign w:val="bottom"/>
            <w:gridSpan w:val="3"/>
          </w:tcPr>
          <w:p>
            <w:pPr>
              <w:ind w:left="320"/>
              <w:spacing w:after="0"/>
              <w:rPr>
                <w:sz w:val="20"/>
                <w:szCs w:val="20"/>
                <w:color w:val="auto"/>
              </w:rPr>
            </w:pPr>
            <w:r>
              <w:rPr>
                <w:rFonts w:ascii="Arial" w:cs="Arial" w:eastAsia="Arial" w:hAnsi="Arial"/>
                <w:sz w:val="14"/>
                <w:szCs w:val="14"/>
                <w:b w:val="1"/>
                <w:bCs w:val="1"/>
                <w:color w:val="auto"/>
                <w:w w:val="90"/>
              </w:rPr>
              <w:t>(dollars in thousands)</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87"/>
              </w:rPr>
              <w:t>$7,938</w:t>
            </w:r>
          </w:p>
        </w:tc>
        <w:tc>
          <w:tcPr>
            <w:tcW w:w="8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$7,630</w:t>
            </w: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$7,074</w:t>
            </w: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204"/>
              <w:spacing w:after="0"/>
              <w:rPr>
                <w:sz w:val="20"/>
                <w:szCs w:val="20"/>
                <w:color w:val="auto"/>
              </w:rPr>
            </w:pPr>
            <w:r>
              <w:rPr>
                <w:rFonts w:ascii="Arial" w:cs="Arial" w:eastAsia="Arial" w:hAnsi="Arial"/>
                <w:sz w:val="18"/>
                <w:szCs w:val="18"/>
                <w:color w:val="auto"/>
                <w:w w:val="99"/>
              </w:rPr>
              <w:t>$308</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$556</w:t>
            </w:r>
          </w:p>
        </w:tc>
        <w:tc>
          <w:tcPr>
            <w:tcW w:w="2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8"/>
                <w:szCs w:val="18"/>
                <w:color w:val="auto"/>
              </w:rPr>
              <w:t>4%</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8"/>
                <w:szCs w:val="18"/>
                <w:color w:val="auto"/>
              </w:rPr>
              <w:t>Gross margin</w:t>
            </w: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96%</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95%</w:t>
            </w:r>
          </w:p>
        </w:tc>
        <w:tc>
          <w:tcPr>
            <w:tcW w:w="740" w:type="dxa"/>
            <w:vAlign w:val="bottom"/>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-574040</wp:posOffset>
            </wp:positionV>
            <wp:extent cx="1371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-574040</wp:posOffset>
            </wp:positionV>
            <wp:extent cx="13716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-574040</wp:posOffset>
            </wp:positionV>
            <wp:extent cx="13716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-574040</wp:posOffset>
            </wp:positionV>
            <wp:extent cx="12890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-574040</wp:posOffset>
            </wp:positionV>
            <wp:extent cx="12001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-574040</wp:posOffset>
            </wp:positionV>
            <wp:extent cx="12001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24"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8"/>
          <w:szCs w:val="18"/>
          <w:b w:val="1"/>
          <w:bCs w:val="1"/>
          <w:color w:val="auto"/>
        </w:rPr>
        <w:t xml:space="preserve">Year ended December 31, 2021 compared to year ended December 31, 2020. </w:t>
      </w:r>
      <w:r>
        <w:rPr>
          <w:rFonts w:ascii="Arial" w:cs="Arial" w:eastAsia="Arial" w:hAnsi="Arial"/>
          <w:sz w:val="18"/>
          <w:szCs w:val="18"/>
          <w:color w:val="auto"/>
        </w:rPr>
        <w:t>Cost of revenue was</w:t>
      </w:r>
      <w:r>
        <w:rPr>
          <w:rFonts w:ascii="Arial" w:cs="Arial" w:eastAsia="Arial" w:hAnsi="Arial"/>
          <w:sz w:val="18"/>
          <w:szCs w:val="18"/>
          <w:b w:val="1"/>
          <w:bCs w:val="1"/>
          <w:color w:val="auto"/>
        </w:rPr>
        <w:t xml:space="preserve"> </w:t>
      </w:r>
      <w:r>
        <w:rPr>
          <w:rFonts w:ascii="Arial" w:cs="Arial" w:eastAsia="Arial" w:hAnsi="Arial"/>
          <w:sz w:val="18"/>
          <w:szCs w:val="18"/>
          <w:color w:val="auto"/>
        </w:rPr>
        <w:t>$7.9 million for the year ended December 31, 2021 compared to $7.6 million for the same period in 2020. There were no material changes to the drivers of our cost of revenue.</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Arial" w:cs="Arial" w:eastAsia="Arial" w:hAnsi="Arial"/>
          <w:sz w:val="18"/>
          <w:szCs w:val="18"/>
          <w:b w:val="1"/>
          <w:bCs w:val="1"/>
          <w:color w:val="auto"/>
        </w:rPr>
        <w:t xml:space="preserve">Year ended December 31, 2020 compared to year ended December 31, 2019. </w:t>
      </w:r>
      <w:r>
        <w:rPr>
          <w:rFonts w:ascii="Arial" w:cs="Arial" w:eastAsia="Arial" w:hAnsi="Arial"/>
          <w:sz w:val="18"/>
          <w:szCs w:val="18"/>
          <w:color w:val="auto"/>
        </w:rPr>
        <w:t>Cost of revenue increased by</w:t>
      </w:r>
      <w:r>
        <w:rPr>
          <w:rFonts w:ascii="Arial" w:cs="Arial" w:eastAsia="Arial" w:hAnsi="Arial"/>
          <w:sz w:val="18"/>
          <w:szCs w:val="18"/>
          <w:b w:val="1"/>
          <w:bCs w:val="1"/>
          <w:color w:val="auto"/>
        </w:rPr>
        <w:t xml:space="preserve"> </w:t>
      </w:r>
      <w:r>
        <w:rPr>
          <w:rFonts w:ascii="Arial" w:cs="Arial" w:eastAsia="Arial" w:hAnsi="Arial"/>
          <w:sz w:val="18"/>
          <w:szCs w:val="18"/>
          <w:color w:val="auto"/>
        </w:rPr>
        <w:t>$0.6 million, or 8%, for the year ended December 31, 2020, compared to the same period in 2019. Credit card processing fees increased by $0.6 million as revenue increased and more clients opted to use credit cards as a form of payment.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2" w:name="page63"/>
    <w:bookmarkEnd w:id="6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100" w:type="dxa"/>
            <w:vAlign w:val="bottom"/>
          </w:tcPr>
          <w:p>
            <w:pPr>
              <w:spacing w:after="0"/>
              <w:rPr>
                <w:sz w:val="16"/>
                <w:szCs w:val="16"/>
                <w:color w:val="auto"/>
              </w:rPr>
            </w:pPr>
          </w:p>
        </w:tc>
        <w:tc>
          <w:tcPr>
            <w:tcW w:w="2620" w:type="dxa"/>
            <w:vAlign w:val="bottom"/>
            <w:gridSpan w:val="4"/>
          </w:tcPr>
          <w:p>
            <w:pPr>
              <w:ind w:left="420"/>
              <w:spacing w:after="0"/>
              <w:rPr>
                <w:sz w:val="20"/>
                <w:szCs w:val="20"/>
                <w:color w:val="auto"/>
              </w:rPr>
            </w:pPr>
            <w:r>
              <w:rPr>
                <w:rFonts w:ascii="Arial" w:cs="Arial" w:eastAsia="Arial" w:hAnsi="Arial"/>
                <w:sz w:val="14"/>
                <w:szCs w:val="14"/>
                <w:b w:val="1"/>
                <w:bCs w:val="1"/>
                <w:color w:val="auto"/>
              </w:rPr>
              <w:t>Years Ended December 31,</w:t>
            </w:r>
          </w:p>
        </w:tc>
        <w:tc>
          <w:tcPr>
            <w:tcW w:w="1480" w:type="dxa"/>
            <w:vAlign w:val="bottom"/>
            <w:gridSpan w:val="3"/>
          </w:tcPr>
          <w:p>
            <w:pPr>
              <w:ind w:left="380"/>
              <w:spacing w:after="0"/>
              <w:rPr>
                <w:sz w:val="20"/>
                <w:szCs w:val="20"/>
                <w:color w:val="auto"/>
              </w:rPr>
            </w:pPr>
            <w:r>
              <w:rPr>
                <w:rFonts w:ascii="Arial" w:cs="Arial" w:eastAsia="Arial" w:hAnsi="Arial"/>
                <w:sz w:val="14"/>
                <w:szCs w:val="14"/>
                <w:b w:val="1"/>
                <w:bCs w:val="1"/>
                <w:color w:val="auto"/>
              </w:rPr>
              <w:t>$ Change</w:t>
            </w:r>
          </w:p>
        </w:tc>
        <w:tc>
          <w:tcPr>
            <w:tcW w:w="1220" w:type="dxa"/>
            <w:vAlign w:val="bottom"/>
            <w:gridSpan w:val="2"/>
          </w:tcPr>
          <w:p>
            <w:pPr>
              <w:ind w:lef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53"/>
        </w:trPr>
        <w:tc>
          <w:tcPr>
            <w:tcW w:w="31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100" w:type="dxa"/>
            <w:vAlign w:val="bottom"/>
          </w:tcPr>
          <w:p>
            <w:pPr>
              <w:spacing w:after="0"/>
              <w:rPr>
                <w:sz w:val="16"/>
                <w:szCs w:val="16"/>
                <w:color w:val="auto"/>
              </w:rPr>
            </w:pPr>
          </w:p>
        </w:tc>
        <w:tc>
          <w:tcPr>
            <w:tcW w:w="7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2021</w:t>
            </w:r>
          </w:p>
        </w:tc>
        <w:tc>
          <w:tcPr>
            <w:tcW w:w="8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8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720" w:type="dxa"/>
            <w:vAlign w:val="bottom"/>
          </w:tcPr>
          <w:p>
            <w:pPr>
              <w:ind w:left="40"/>
              <w:spacing w:after="0"/>
              <w:rPr>
                <w:sz w:val="20"/>
                <w:szCs w:val="20"/>
                <w:color w:val="auto"/>
              </w:rPr>
            </w:pPr>
            <w:r>
              <w:rPr>
                <w:rFonts w:ascii="Arial" w:cs="Arial" w:eastAsia="Arial" w:hAnsi="Arial"/>
                <w:sz w:val="14"/>
                <w:szCs w:val="14"/>
                <w:b w:val="1"/>
                <w:bCs w:val="1"/>
                <w:color w:val="auto"/>
              </w:rPr>
              <w:t>2021 vs.</w:t>
            </w: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2020 vs</w:t>
            </w:r>
          </w:p>
        </w:tc>
        <w:tc>
          <w:tcPr>
            <w:tcW w:w="580" w:type="dxa"/>
            <w:vAlign w:val="bottom"/>
          </w:tcPr>
          <w:p>
            <w:pPr>
              <w:jc w:val="right"/>
              <w:ind w:right="4"/>
              <w:spacing w:after="0"/>
              <w:rPr>
                <w:sz w:val="20"/>
                <w:szCs w:val="20"/>
                <w:color w:val="auto"/>
              </w:rPr>
            </w:pPr>
            <w:r>
              <w:rPr>
                <w:rFonts w:ascii="Arial" w:cs="Arial" w:eastAsia="Arial" w:hAnsi="Arial"/>
                <w:sz w:val="14"/>
                <w:szCs w:val="14"/>
                <w:b w:val="1"/>
                <w:bCs w:val="1"/>
                <w:color w:val="auto"/>
                <w:w w:val="88"/>
              </w:rPr>
              <w:t>2021 vs.</w:t>
            </w:r>
          </w:p>
        </w:tc>
        <w:tc>
          <w:tcPr>
            <w:tcW w:w="640" w:type="dxa"/>
            <w:vAlign w:val="bottom"/>
          </w:tcPr>
          <w:p>
            <w:pPr>
              <w:ind w:left="80"/>
              <w:spacing w:after="0"/>
              <w:rPr>
                <w:sz w:val="20"/>
                <w:szCs w:val="20"/>
                <w:color w:val="auto"/>
              </w:rPr>
            </w:pPr>
            <w:r>
              <w:rPr>
                <w:rFonts w:ascii="Arial" w:cs="Arial" w:eastAsia="Arial" w:hAnsi="Arial"/>
                <w:sz w:val="14"/>
                <w:szCs w:val="14"/>
                <w:b w:val="1"/>
                <w:bCs w:val="1"/>
                <w:color w:val="auto"/>
                <w:w w:val="99"/>
              </w:rPr>
              <w:t>2020 vs.</w:t>
            </w:r>
          </w:p>
        </w:tc>
        <w:tc>
          <w:tcPr>
            <w:tcW w:w="0" w:type="dxa"/>
            <w:vAlign w:val="bottom"/>
          </w:tcPr>
          <w:p>
            <w:pPr>
              <w:spacing w:after="0"/>
              <w:rPr>
                <w:sz w:val="1"/>
                <w:szCs w:val="1"/>
                <w:color w:val="auto"/>
              </w:rPr>
            </w:pPr>
          </w:p>
        </w:tc>
      </w:tr>
      <w:tr>
        <w:trPr>
          <w:trHeight w:val="186"/>
        </w:trPr>
        <w:tc>
          <w:tcPr>
            <w:tcW w:w="3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204"/>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jc w:val="right"/>
              <w:ind w:right="82"/>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580" w:type="dxa"/>
            <w:vAlign w:val="bottom"/>
          </w:tcPr>
          <w:p>
            <w:pPr>
              <w:jc w:val="right"/>
              <w:ind w:right="104"/>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ind w:left="20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3"/>
        </w:trPr>
        <w:tc>
          <w:tcPr>
            <w:tcW w:w="31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80" w:type="dxa"/>
            <w:vAlign w:val="bottom"/>
            <w:gridSpan w:val="3"/>
          </w:tcPr>
          <w:p>
            <w:pPr>
              <w:ind w:left="320"/>
              <w:spacing w:after="0"/>
              <w:rPr>
                <w:sz w:val="20"/>
                <w:szCs w:val="20"/>
                <w:color w:val="auto"/>
              </w:rPr>
            </w:pPr>
            <w:r>
              <w:rPr>
                <w:rFonts w:ascii="Arial" w:cs="Arial" w:eastAsia="Arial" w:hAnsi="Arial"/>
                <w:sz w:val="14"/>
                <w:szCs w:val="14"/>
                <w:b w:val="1"/>
                <w:bCs w:val="1"/>
                <w:color w:val="auto"/>
                <w:w w:val="91"/>
              </w:rPr>
              <w:t>(dollars in thousands)</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7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w w:val="86"/>
              </w:rPr>
              <w:t>$56,119</w:t>
            </w:r>
          </w:p>
        </w:tc>
        <w:tc>
          <w:tcPr>
            <w:tcW w:w="8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8"/>
              </w:rPr>
              <w:t>$30,716</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w w:val="98"/>
              </w:rPr>
              <w:t>$39,746</w:t>
            </w:r>
          </w:p>
        </w:tc>
        <w:tc>
          <w:tcPr>
            <w:tcW w:w="1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8"/>
                <w:szCs w:val="18"/>
                <w:color w:val="auto"/>
                <w:w w:val="86"/>
              </w:rPr>
              <w:t>$25,403</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$(9,030)</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8"/>
                <w:szCs w:val="18"/>
                <w:color w:val="auto"/>
              </w:rPr>
              <w:t>83%</w:t>
            </w:r>
          </w:p>
        </w:tc>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1"/>
              </w:rPr>
              <w:t>(23)%</w:t>
            </w:r>
          </w:p>
        </w:tc>
        <w:tc>
          <w:tcPr>
            <w:tcW w:w="0" w:type="dxa"/>
            <w:vAlign w:val="bottom"/>
          </w:tcPr>
          <w:p>
            <w:pPr>
              <w:spacing w:after="0"/>
              <w:rPr>
                <w:sz w:val="1"/>
                <w:szCs w:val="1"/>
                <w:color w:val="auto"/>
              </w:rPr>
            </w:pPr>
          </w:p>
        </w:tc>
      </w:tr>
      <w:tr>
        <w:trPr>
          <w:trHeight w:val="270"/>
        </w:trPr>
        <w:tc>
          <w:tcPr>
            <w:tcW w:w="3100" w:type="dxa"/>
            <w:vAlign w:val="bottom"/>
          </w:tcPr>
          <w:p>
            <w:pPr>
              <w:spacing w:after="0"/>
              <w:rPr>
                <w:sz w:val="20"/>
                <w:szCs w:val="20"/>
                <w:color w:val="auto"/>
              </w:rPr>
            </w:pPr>
            <w:r>
              <w:rPr>
                <w:rFonts w:ascii="Arial" w:cs="Arial" w:eastAsia="Arial" w:hAnsi="Arial"/>
                <w:sz w:val="18"/>
                <w:szCs w:val="18"/>
                <w:color w:val="auto"/>
              </w:rPr>
              <w:t>Percentage of revenue</w:t>
            </w: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-574040</wp:posOffset>
            </wp:positionV>
            <wp:extent cx="85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-574040</wp:posOffset>
            </wp:positionV>
            <wp:extent cx="857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-574040</wp:posOffset>
            </wp:positionV>
            <wp:extent cx="857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-574040</wp:posOffset>
            </wp:positionV>
            <wp:extent cx="857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-574040</wp:posOffset>
            </wp:positionV>
            <wp:extent cx="857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-574040</wp:posOffset>
            </wp:positionV>
            <wp:extent cx="857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4"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b w:val="1"/>
          <w:bCs w:val="1"/>
          <w:color w:val="auto"/>
        </w:rPr>
        <w:t xml:space="preserve">Year ended December 31, 2021 compared to year ended December 31, 2020. </w:t>
      </w:r>
      <w:r>
        <w:rPr>
          <w:rFonts w:ascii="Arial" w:cs="Arial" w:eastAsia="Arial" w:hAnsi="Arial"/>
          <w:sz w:val="17"/>
          <w:szCs w:val="17"/>
          <w:color w:val="auto"/>
        </w:rPr>
        <w:t>Sales and marketing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increased by $25.4 million, or 83% for the year ended December 31, 2021 compared to the same period in 2020. The increase was primarily related to an increase in personnel-related costs of $16.2 million. The $16.2 million includes increases in salaries and wages of $6.3 million, as a result of increased headcount, stock-based compensation expense of $6.0 million and sales incentive plan compensation of $3.2 million due to higher revenues. Also contributing to the increase in sales and marketing was an increase in online advertising of $2.6 million as more advertising options became available in the cannabis industry, an increase in branding and advertising expense of $2.1 million, and an increase in events expense of $2.0 million.</w:t>
      </w:r>
    </w:p>
    <w:p>
      <w:pPr>
        <w:spacing w:after="0" w:line="6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Our stock-based compensation expense increased due in part to the removal of certain limitations on the exercisability of certain equity awards issued to employees and consultants upon the completion of the Business Combination. The increase in stock-based compensation expense was also driven by the increased issuance of restricted stock units to our employees during the second half of 2021.</w:t>
      </w:r>
    </w:p>
    <w:p>
      <w:pPr>
        <w:spacing w:after="0" w:line="75"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b w:val="1"/>
          <w:bCs w:val="1"/>
          <w:color w:val="auto"/>
        </w:rPr>
        <w:t xml:space="preserve">Year ended December 31, 2020 compared to year ended December 31, 2019. </w:t>
      </w:r>
      <w:r>
        <w:rPr>
          <w:rFonts w:ascii="Arial" w:cs="Arial" w:eastAsia="Arial" w:hAnsi="Arial"/>
          <w:sz w:val="17"/>
          <w:szCs w:val="17"/>
          <w:color w:val="auto"/>
        </w:rPr>
        <w:t>Sales and marketing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decreased by $9.0 million, or 23%, for the year ended December 31, 2020, compared to the same period in 2019. Branding and advertising cost, which consisted mostly of out-of-home advertising, decreased by $6.3 million as we concentrated more on online advertising for fiscal year 2020 due to the current COVID-19 pandemic. Event related cost decreased by $3.6 million due to cost incurred in 2019 related to the Weedmaps Museum of Weed while there was minimal cost incurred related to events in 2020 due to the COVID-19 pandemic. There was also a decrease of $0.5 million and $0.1 million in travel related expenses and marketing consulting fees, respectively, due to less marketing projects as a result of the COVID-19 pandemic. The decrease in marketing spend was offset by an increase in personnel-related cost of $1.5 million, mostly due to an increase in sales incentive plan compensation due to higher revenues. The increase in personnel-related cost was partially offset by a reduction in force in October 2019 resulting in a 25 percent headcount decrease.</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Product Development Expenses</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2620" w:type="dxa"/>
            <w:vAlign w:val="bottom"/>
            <w:gridSpan w:val="4"/>
          </w:tcPr>
          <w:p>
            <w:pPr>
              <w:ind w:left="420"/>
              <w:spacing w:after="0"/>
              <w:rPr>
                <w:sz w:val="20"/>
                <w:szCs w:val="20"/>
                <w:color w:val="auto"/>
              </w:rPr>
            </w:pPr>
            <w:r>
              <w:rPr>
                <w:rFonts w:ascii="Arial" w:cs="Arial" w:eastAsia="Arial" w:hAnsi="Arial"/>
                <w:sz w:val="14"/>
                <w:szCs w:val="14"/>
                <w:b w:val="1"/>
                <w:bCs w:val="1"/>
                <w:color w:val="auto"/>
              </w:rPr>
              <w:t>Years Ended December 31,</w:t>
            </w:r>
          </w:p>
        </w:tc>
        <w:tc>
          <w:tcPr>
            <w:tcW w:w="1440" w:type="dxa"/>
            <w:vAlign w:val="bottom"/>
            <w:gridSpan w:val="3"/>
          </w:tcPr>
          <w:p>
            <w:pPr>
              <w:ind w:left="340"/>
              <w:spacing w:after="0"/>
              <w:rPr>
                <w:sz w:val="20"/>
                <w:szCs w:val="20"/>
                <w:color w:val="auto"/>
              </w:rPr>
            </w:pPr>
            <w:r>
              <w:rPr>
                <w:rFonts w:ascii="Arial" w:cs="Arial" w:eastAsia="Arial" w:hAnsi="Arial"/>
                <w:sz w:val="14"/>
                <w:szCs w:val="14"/>
                <w:b w:val="1"/>
                <w:bCs w:val="1"/>
                <w:color w:val="auto"/>
              </w:rPr>
              <w:t>$ Change</w:t>
            </w:r>
          </w:p>
        </w:tc>
        <w:tc>
          <w:tcPr>
            <w:tcW w:w="120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52"/>
        </w:trPr>
        <w:tc>
          <w:tcPr>
            <w:tcW w:w="31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160" w:type="dxa"/>
            <w:vAlign w:val="bottom"/>
          </w:tcPr>
          <w:p>
            <w:pPr>
              <w:spacing w:after="0"/>
              <w:rPr>
                <w:sz w:val="16"/>
                <w:szCs w:val="16"/>
                <w:color w:val="auto"/>
              </w:rPr>
            </w:pPr>
          </w:p>
        </w:tc>
        <w:tc>
          <w:tcPr>
            <w:tcW w:w="80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88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8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rPr>
              <w:t>2021 vs.</w:t>
            </w: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2020 vs.</w:t>
            </w:r>
          </w:p>
        </w:tc>
        <w:tc>
          <w:tcPr>
            <w:tcW w:w="580" w:type="dxa"/>
            <w:vAlign w:val="bottom"/>
          </w:tcPr>
          <w:p>
            <w:pPr>
              <w:jc w:val="right"/>
              <w:ind w:right="24"/>
              <w:spacing w:after="0"/>
              <w:rPr>
                <w:sz w:val="20"/>
                <w:szCs w:val="20"/>
                <w:color w:val="auto"/>
              </w:rPr>
            </w:pPr>
            <w:r>
              <w:rPr>
                <w:rFonts w:ascii="Arial" w:cs="Arial" w:eastAsia="Arial" w:hAnsi="Arial"/>
                <w:sz w:val="14"/>
                <w:szCs w:val="14"/>
                <w:b w:val="1"/>
                <w:bCs w:val="1"/>
                <w:color w:val="auto"/>
                <w:w w:val="84"/>
              </w:rPr>
              <w:t>2021 vs.</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2020 vs.</w:t>
            </w:r>
          </w:p>
        </w:tc>
        <w:tc>
          <w:tcPr>
            <w:tcW w:w="0" w:type="dxa"/>
            <w:vAlign w:val="bottom"/>
          </w:tcPr>
          <w:p>
            <w:pPr>
              <w:spacing w:after="0"/>
              <w:rPr>
                <w:sz w:val="1"/>
                <w:szCs w:val="1"/>
                <w:color w:val="auto"/>
              </w:rPr>
            </w:pPr>
          </w:p>
        </w:tc>
      </w:tr>
      <w:tr>
        <w:trPr>
          <w:trHeight w:val="186"/>
        </w:trPr>
        <w:tc>
          <w:tcPr>
            <w:tcW w:w="3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ind w:right="104"/>
              <w:spacing w:after="0"/>
              <w:rPr>
                <w:sz w:val="20"/>
                <w:szCs w:val="20"/>
                <w:color w:val="auto"/>
              </w:rPr>
            </w:pPr>
            <w:r>
              <w:rPr>
                <w:rFonts w:ascii="Arial" w:cs="Arial" w:eastAsia="Arial" w:hAnsi="Arial"/>
                <w:sz w:val="14"/>
                <w:szCs w:val="14"/>
                <w:b w:val="1"/>
                <w:bCs w:val="1"/>
                <w:color w:val="auto"/>
              </w:rPr>
              <w:t>2020</w:t>
            </w:r>
          </w:p>
        </w:tc>
        <w:tc>
          <w:tcPr>
            <w:tcW w:w="700" w:type="dxa"/>
            <w:vAlign w:val="bottom"/>
          </w:tcPr>
          <w:p>
            <w:pPr>
              <w:jc w:val="right"/>
              <w:ind w:right="10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6"/>
                <w:szCs w:val="16"/>
                <w:color w:val="auto"/>
              </w:rPr>
            </w:pPr>
          </w:p>
        </w:tc>
        <w:tc>
          <w:tcPr>
            <w:tcW w:w="580" w:type="dxa"/>
            <w:vAlign w:val="bottom"/>
          </w:tcPr>
          <w:p>
            <w:pPr>
              <w:jc w:val="right"/>
              <w:ind w:right="124"/>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jc w:val="right"/>
              <w:ind w:right="6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3"/>
        </w:trPr>
        <w:tc>
          <w:tcPr>
            <w:tcW w:w="31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3"/>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380" w:type="dxa"/>
            <w:vAlign w:val="bottom"/>
            <w:gridSpan w:val="5"/>
          </w:tcPr>
          <w:p>
            <w:pPr>
              <w:ind w:left="280"/>
              <w:spacing w:after="0"/>
              <w:rPr>
                <w:sz w:val="20"/>
                <w:szCs w:val="20"/>
                <w:color w:val="auto"/>
              </w:rPr>
            </w:pPr>
            <w:r>
              <w:rPr>
                <w:rFonts w:ascii="Arial" w:cs="Arial" w:eastAsia="Arial" w:hAnsi="Arial"/>
                <w:sz w:val="14"/>
                <w:szCs w:val="14"/>
                <w:b w:val="1"/>
                <w:bCs w:val="1"/>
                <w:color w:val="auto"/>
              </w:rPr>
              <w:t>(dollars in thousands)</w:t>
            </w: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
        </w:trPr>
        <w:tc>
          <w:tcPr>
            <w:tcW w:w="3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development expenses</w:t>
            </w:r>
          </w:p>
        </w:tc>
        <w:tc>
          <w:tcPr>
            <w:tcW w:w="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w w:val="86"/>
              </w:rPr>
              <w:t>$35,395</w:t>
            </w:r>
          </w:p>
        </w:tc>
        <w:tc>
          <w:tcPr>
            <w:tcW w:w="8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8"/>
              </w:rPr>
              <w:t>$27,142</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w w:val="98"/>
              </w:rPr>
              <w:t>$29,497</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8"/>
                <w:szCs w:val="18"/>
                <w:color w:val="auto"/>
                <w:w w:val="87"/>
              </w:rPr>
              <w:t>$8,253</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$(2,355)</w:t>
            </w:r>
          </w:p>
        </w:tc>
        <w:tc>
          <w:tcPr>
            <w:tcW w:w="1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30%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Arial" w:cs="Arial" w:eastAsia="Arial" w:hAnsi="Arial"/>
                <w:sz w:val="18"/>
                <w:szCs w:val="18"/>
                <w:color w:val="auto"/>
              </w:rPr>
              <w:t>Percentage of revenue</w:t>
            </w: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5088890</wp:posOffset>
            </wp:positionH>
            <wp:positionV relativeFrom="paragraph">
              <wp:posOffset>-574040</wp:posOffset>
            </wp:positionV>
            <wp:extent cx="1028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-574040</wp:posOffset>
            </wp:positionV>
            <wp:extent cx="1028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-574040</wp:posOffset>
            </wp:positionV>
            <wp:extent cx="939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-574040</wp:posOffset>
            </wp:positionV>
            <wp:extent cx="857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-574040</wp:posOffset>
            </wp:positionV>
            <wp:extent cx="857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-574040</wp:posOffset>
            </wp:positionV>
            <wp:extent cx="857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4"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b w:val="1"/>
          <w:bCs w:val="1"/>
          <w:color w:val="auto"/>
        </w:rPr>
        <w:t xml:space="preserve">Year ended December 31, 2021 compared to year ended December 31, 2020. </w:t>
      </w:r>
      <w:r>
        <w:rPr>
          <w:rFonts w:ascii="Arial" w:cs="Arial" w:eastAsia="Arial" w:hAnsi="Arial"/>
          <w:sz w:val="16"/>
          <w:szCs w:val="16"/>
          <w:color w:val="auto"/>
        </w:rPr>
        <w:t>Product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increased by $8.3 million, or 30% for the year ended December 31, 2021 compared to the same period in 2020. This increase was primarily due to an increase in personnel-related costs of $14.9 million, including an increase in salaries and wages of $5.8 million due to increased headcount and an increase in stock-based compensation of $6.2 million. The personnel-related costs include capitalized software development costs of $7.4 million for the year ended December 31, 2021 related to certain costs we capitalized for the development or enhancement of our Weedmaps platform. Our stock-based compensation expense increased due in part to the removal of certain limitations on the exercisability of certain equity awards issued to employees and consultants upon the completion of the Business Combination. The increase in stock-based compensation expense was also driven by the increased issuance of restricted stock units to our employees during the second half of 2021.</w:t>
      </w:r>
    </w:p>
    <w:p>
      <w:pPr>
        <w:spacing w:after="0" w:line="53" w:lineRule="exact"/>
        <w:rPr>
          <w:sz w:val="20"/>
          <w:szCs w:val="20"/>
          <w:color w:val="auto"/>
        </w:rPr>
      </w:pPr>
    </w:p>
    <w:p>
      <w:pPr>
        <w:jc w:val="both"/>
        <w:ind w:left="300" w:right="299" w:firstLine="360"/>
        <w:spacing w:after="0" w:line="258" w:lineRule="auto"/>
        <w:rPr>
          <w:sz w:val="20"/>
          <w:szCs w:val="20"/>
          <w:color w:val="auto"/>
        </w:rPr>
      </w:pPr>
      <w:r>
        <w:rPr>
          <w:rFonts w:ascii="Arial" w:cs="Arial" w:eastAsia="Arial" w:hAnsi="Arial"/>
          <w:sz w:val="18"/>
          <w:szCs w:val="18"/>
          <w:b w:val="1"/>
          <w:bCs w:val="1"/>
          <w:color w:val="auto"/>
        </w:rPr>
        <w:t xml:space="preserve">Year ended December 31, 2020 compared to year ended December 31, 2019. </w:t>
      </w:r>
      <w:r>
        <w:rPr>
          <w:rFonts w:ascii="Arial" w:cs="Arial" w:eastAsia="Arial" w:hAnsi="Arial"/>
          <w:sz w:val="18"/>
          <w:szCs w:val="18"/>
          <w:color w:val="auto"/>
        </w:rPr>
        <w:t>Product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decreased by $2.4 million, or 8%, for the year ended December 31, 2020, compared to the same period in 2019. The decrease is due to a decrease of $1.7 million in personnel-related cost as a result of a reduction in force in October 2019, resulting in an overall headcount decrease for us of 25 percent. There was also a decrease in cost relate</w:t>
      </w:r>
    </w:p>
    <w:p>
      <w:pPr>
        <w:sectPr>
          <w:pgSz w:w="11900" w:h="16838" w:orient="portrait"/>
          <w:cols w:equalWidth="0" w:num="1">
            <w:col w:w="9019"/>
          </w:cols>
          <w:pgMar w:left="1440" w:top="265"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3" w:name="page64"/>
    <w:bookmarkEnd w:id="6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to third-party development services of $0.4 million. The reduction in headcount and third-party development services was to drive operating efficiencies and increase our liquidity position at the time. Travel related expenses also decreased by $0.2 million due to the COVID-19 pandemic.</w:t>
      </w:r>
    </w:p>
    <w:p>
      <w:pPr>
        <w:spacing w:after="0" w:line="3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120" w:type="dxa"/>
            <w:vAlign w:val="bottom"/>
          </w:tcPr>
          <w:p>
            <w:pPr>
              <w:spacing w:after="0"/>
              <w:rPr>
                <w:sz w:val="16"/>
                <w:szCs w:val="16"/>
                <w:color w:val="auto"/>
              </w:rPr>
            </w:pPr>
          </w:p>
        </w:tc>
        <w:tc>
          <w:tcPr>
            <w:tcW w:w="250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rPr>
              <w:t>Years Ended December 31,</w:t>
            </w:r>
          </w:p>
        </w:tc>
        <w:tc>
          <w:tcPr>
            <w:tcW w:w="140" w:type="dxa"/>
            <w:vAlign w:val="bottom"/>
          </w:tcPr>
          <w:p>
            <w:pPr>
              <w:spacing w:after="0"/>
              <w:rPr>
                <w:sz w:val="16"/>
                <w:szCs w:val="16"/>
                <w:color w:val="auto"/>
              </w:rPr>
            </w:pPr>
          </w:p>
        </w:tc>
        <w:tc>
          <w:tcPr>
            <w:tcW w:w="1480" w:type="dxa"/>
            <w:vAlign w:val="bottom"/>
            <w:gridSpan w:val="3"/>
          </w:tcPr>
          <w:p>
            <w:pPr>
              <w:ind w:left="380"/>
              <w:spacing w:after="0"/>
              <w:rPr>
                <w:sz w:val="20"/>
                <w:szCs w:val="20"/>
                <w:color w:val="auto"/>
              </w:rPr>
            </w:pPr>
            <w:r>
              <w:rPr>
                <w:rFonts w:ascii="Arial" w:cs="Arial" w:eastAsia="Arial" w:hAnsi="Arial"/>
                <w:sz w:val="14"/>
                <w:szCs w:val="14"/>
                <w:b w:val="1"/>
                <w:bCs w:val="1"/>
                <w:color w:val="auto"/>
              </w:rPr>
              <w:t>$ Change</w:t>
            </w:r>
          </w:p>
        </w:tc>
        <w:tc>
          <w:tcPr>
            <w:tcW w:w="1180" w:type="dxa"/>
            <w:vAlign w:val="bottom"/>
            <w:gridSpan w:val="2"/>
          </w:tcPr>
          <w:p>
            <w:pPr>
              <w:jc w:val="right"/>
              <w:ind w:right="18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53"/>
        </w:trPr>
        <w:tc>
          <w:tcPr>
            <w:tcW w:w="3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120" w:type="dxa"/>
            <w:vAlign w:val="bottom"/>
          </w:tcPr>
          <w:p>
            <w:pPr>
              <w:spacing w:after="0"/>
              <w:rPr>
                <w:sz w:val="16"/>
                <w:szCs w:val="16"/>
                <w:color w:val="auto"/>
              </w:rPr>
            </w:pPr>
          </w:p>
        </w:tc>
        <w:tc>
          <w:tcPr>
            <w:tcW w:w="82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8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8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700" w:type="dxa"/>
            <w:vAlign w:val="bottom"/>
          </w:tcPr>
          <w:p>
            <w:pPr>
              <w:jc w:val="center"/>
              <w:ind w:right="68"/>
              <w:spacing w:after="0"/>
              <w:rPr>
                <w:sz w:val="20"/>
                <w:szCs w:val="20"/>
                <w:color w:val="auto"/>
              </w:rPr>
            </w:pPr>
            <w:r>
              <w:rPr>
                <w:rFonts w:ascii="Arial" w:cs="Arial" w:eastAsia="Arial" w:hAnsi="Arial"/>
                <w:sz w:val="14"/>
                <w:szCs w:val="14"/>
                <w:b w:val="1"/>
                <w:bCs w:val="1"/>
                <w:color w:val="auto"/>
                <w:w w:val="88"/>
              </w:rPr>
              <w:t>2021 vs.</w:t>
            </w: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2020 vs.</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88"/>
              </w:rPr>
              <w:t>2021 vs.</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2020 vs.</w:t>
            </w:r>
          </w:p>
        </w:tc>
        <w:tc>
          <w:tcPr>
            <w:tcW w:w="0" w:type="dxa"/>
            <w:vAlign w:val="bottom"/>
          </w:tcPr>
          <w:p>
            <w:pPr>
              <w:spacing w:after="0"/>
              <w:rPr>
                <w:sz w:val="1"/>
                <w:szCs w:val="1"/>
                <w:color w:val="auto"/>
              </w:rPr>
            </w:pPr>
          </w:p>
        </w:tc>
      </w:tr>
      <w:tr>
        <w:trPr>
          <w:trHeight w:val="186"/>
        </w:trPr>
        <w:tc>
          <w:tcPr>
            <w:tcW w:w="3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2020</w:t>
            </w:r>
          </w:p>
        </w:tc>
        <w:tc>
          <w:tcPr>
            <w:tcW w:w="640" w:type="dxa"/>
            <w:vAlign w:val="bottom"/>
          </w:tcPr>
          <w:p>
            <w:pPr>
              <w:jc w:val="right"/>
              <w:ind w:right="82"/>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560" w:type="dxa"/>
            <w:vAlign w:val="bottom"/>
          </w:tcPr>
          <w:p>
            <w:pPr>
              <w:jc w:val="right"/>
              <w:ind w:right="84"/>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jc w:val="right"/>
              <w:ind w:right="6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3"/>
        </w:trPr>
        <w:tc>
          <w:tcPr>
            <w:tcW w:w="3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60" w:type="dxa"/>
            <w:vAlign w:val="bottom"/>
            <w:gridSpan w:val="3"/>
          </w:tcPr>
          <w:p>
            <w:pPr>
              <w:ind w:left="300"/>
              <w:spacing w:after="0"/>
              <w:rPr>
                <w:sz w:val="20"/>
                <w:szCs w:val="20"/>
                <w:color w:val="auto"/>
              </w:rPr>
            </w:pPr>
            <w:r>
              <w:rPr>
                <w:rFonts w:ascii="Arial" w:cs="Arial" w:eastAsia="Arial" w:hAnsi="Arial"/>
                <w:sz w:val="14"/>
                <w:szCs w:val="14"/>
                <w:b w:val="1"/>
                <w:bCs w:val="1"/>
                <w:color w:val="auto"/>
                <w:w w:val="91"/>
              </w:rPr>
              <w:t>(dollars in thousands)</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86"/>
              </w:rPr>
              <w:t>$97,447</w:t>
            </w:r>
          </w:p>
        </w:tc>
        <w:tc>
          <w:tcPr>
            <w:tcW w:w="8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5"/>
              </w:rPr>
              <w:t>$51,127</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w w:val="98"/>
              </w:rPr>
              <w:t>$56,466</w:t>
            </w:r>
          </w:p>
        </w:tc>
        <w:tc>
          <w:tcPr>
            <w:tcW w:w="8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$46,320</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$(5,339)</w:t>
            </w: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3120" w:type="dxa"/>
            <w:vAlign w:val="bottom"/>
          </w:tcPr>
          <w:p>
            <w:pPr>
              <w:spacing w:after="0"/>
              <w:rPr>
                <w:sz w:val="20"/>
                <w:szCs w:val="20"/>
                <w:color w:val="auto"/>
              </w:rPr>
            </w:pPr>
            <w:r>
              <w:rPr>
                <w:rFonts w:ascii="Arial" w:cs="Arial" w:eastAsia="Arial" w:hAnsi="Arial"/>
                <w:sz w:val="18"/>
                <w:szCs w:val="18"/>
                <w:color w:val="auto"/>
              </w:rPr>
              <w:t>Percentage of revenue</w:t>
            </w: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5106035</wp:posOffset>
            </wp:positionH>
            <wp:positionV relativeFrom="paragraph">
              <wp:posOffset>-573405</wp:posOffset>
            </wp:positionV>
            <wp:extent cx="857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-573405</wp:posOffset>
            </wp:positionV>
            <wp:extent cx="857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-573405</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-573405</wp:posOffset>
            </wp:positionV>
            <wp:extent cx="857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-573405</wp:posOffset>
            </wp:positionV>
            <wp:extent cx="857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-573405</wp:posOffset>
            </wp:positionV>
            <wp:extent cx="857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4"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b w:val="1"/>
          <w:bCs w:val="1"/>
          <w:color w:val="auto"/>
        </w:rPr>
        <w:t xml:space="preserve">Year ended December 31, 2021 compared to year ended December 31, 2020. </w:t>
      </w:r>
      <w:r>
        <w:rPr>
          <w:rFonts w:ascii="Arial" w:cs="Arial" w:eastAsia="Arial" w:hAnsi="Arial"/>
          <w:sz w:val="16"/>
          <w:szCs w:val="16"/>
          <w:color w:val="auto"/>
        </w:rPr>
        <w:t>General and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increased by $46.3 million, or 91% for the year ended December 31, 2021 compared to the same period in 2020. This increase was primarily due to increases in insurance costs of $7.1 million as a result of additional insurance coverage as a public company, allowance for doubtful accounts of $4.2 million, professional fees of $3.8 million, software costs of $2.8 million, and an impairment loss of $2.4 million. General and administrative expenses also increased due to increases in employee related expenses of $23.3 million. This $23.3 million increase includes increases in stock-based compensation expense of $18.2 million recognized in 2021, bonus expense of $2.4 million and salaries and wages of $1.2 million. Our stock-based compensation expense increased due in part to the removal of certain limitations on the exercisability of certain equity awards issued to employees and consultants upon the completion of the Business Combination. The increase in stock-based compensation expense was also driven by the increased issuance of restricted stock units to our employees during the second half of 2021.</w:t>
      </w:r>
    </w:p>
    <w:p>
      <w:pPr>
        <w:spacing w:after="0" w:line="55"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b w:val="1"/>
          <w:bCs w:val="1"/>
          <w:color w:val="auto"/>
        </w:rPr>
        <w:t xml:space="preserve">Year ended December 31, 2020 compared to year ended December 31, 2019. </w:t>
      </w:r>
      <w:r>
        <w:rPr>
          <w:rFonts w:ascii="Arial" w:cs="Arial" w:eastAsia="Arial" w:hAnsi="Arial"/>
          <w:sz w:val="16"/>
          <w:szCs w:val="16"/>
          <w:color w:val="auto"/>
        </w:rPr>
        <w:t>General and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decreased by $5.3 million, or 9%, for the year ended December 31, 2020, compared to the same period in 2019. Personnel-related cost decreased by $7.5 million due to a reduction in force implemented in October 2019, resulting in an overall headcount decrease for us of 25 percent. The reduction in headcount was to drive operating efficiencies and increase our liquidity position at the time. Facility and travel related costs also decreased by $3.3 million due to a combination of the reduced headcount and the stay at home orders put into effect by us in March 2020. Professional services decreased by $2.3 million as a result of the decrease in legal and lobbying expenses. The decrease was partially offset by an increase in rent expense of $5.6 million due to a new office lease that commenced in March 2020 together with an increase in software cost of $0.9 million as we entered into new software service agreements to effectively operate the business. We also recorded additional provision for doubtful accounts expense of $1.1 million during the year ended December 31, 2020 compared to the same period in 2019 due to higher reserves for past due balances outstanding greater than ninety days.</w:t>
      </w:r>
    </w:p>
    <w:p>
      <w:pPr>
        <w:spacing w:after="0" w:line="32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gridSpan w:val="4"/>
          </w:tcPr>
          <w:p>
            <w:pPr>
              <w:ind w:left="320"/>
              <w:spacing w:after="0"/>
              <w:rPr>
                <w:sz w:val="20"/>
                <w:szCs w:val="20"/>
                <w:color w:val="auto"/>
              </w:rPr>
            </w:pPr>
            <w:r>
              <w:rPr>
                <w:rFonts w:ascii="Arial" w:cs="Arial" w:eastAsia="Arial" w:hAnsi="Arial"/>
                <w:sz w:val="14"/>
                <w:szCs w:val="14"/>
                <w:b w:val="1"/>
                <w:bCs w:val="1"/>
                <w:color w:val="auto"/>
              </w:rPr>
              <w:t>Years Ended December 31,</w:t>
            </w:r>
          </w:p>
        </w:tc>
        <w:tc>
          <w:tcPr>
            <w:tcW w:w="1500" w:type="dxa"/>
            <w:vAlign w:val="bottom"/>
            <w:gridSpan w:val="3"/>
          </w:tcPr>
          <w:p>
            <w:pPr>
              <w:ind w:left="380"/>
              <w:spacing w:after="0"/>
              <w:rPr>
                <w:sz w:val="20"/>
                <w:szCs w:val="20"/>
                <w:color w:val="auto"/>
              </w:rPr>
            </w:pPr>
            <w:r>
              <w:rPr>
                <w:rFonts w:ascii="Arial" w:cs="Arial" w:eastAsia="Arial" w:hAnsi="Arial"/>
                <w:sz w:val="14"/>
                <w:szCs w:val="14"/>
                <w:b w:val="1"/>
                <w:bCs w:val="1"/>
                <w:color w:val="auto"/>
              </w:rPr>
              <w:t>$Change</w:t>
            </w:r>
          </w:p>
        </w:tc>
        <w:tc>
          <w:tcPr>
            <w:tcW w:w="1300" w:type="dxa"/>
            <w:vAlign w:val="bottom"/>
            <w:gridSpan w:val="2"/>
          </w:tcPr>
          <w:p>
            <w:pPr>
              <w:ind w:left="3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52"/>
        </w:trPr>
        <w:tc>
          <w:tcPr>
            <w:tcW w:w="2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960" w:type="dxa"/>
            <w:vAlign w:val="bottom"/>
          </w:tcPr>
          <w:p>
            <w:pPr>
              <w:spacing w:after="0"/>
              <w:rPr>
                <w:sz w:val="16"/>
                <w:szCs w:val="16"/>
                <w:color w:val="auto"/>
              </w:rPr>
            </w:pPr>
          </w:p>
        </w:tc>
        <w:tc>
          <w:tcPr>
            <w:tcW w:w="900" w:type="dxa"/>
            <w:vAlign w:val="bottom"/>
            <w:gridSpan w:val="2"/>
            <w:vMerge w:val="restart"/>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82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2020</w:t>
            </w:r>
          </w:p>
        </w:tc>
        <w:tc>
          <w:tcPr>
            <w:tcW w:w="76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rPr>
              <w:t>2021 vs.</w:t>
            </w: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2020 vs.</w:t>
            </w:r>
          </w:p>
        </w:tc>
        <w:tc>
          <w:tcPr>
            <w:tcW w:w="620" w:type="dxa"/>
            <w:vAlign w:val="bottom"/>
          </w:tcPr>
          <w:p>
            <w:pPr>
              <w:jc w:val="center"/>
              <w:ind w:right="44"/>
              <w:spacing w:after="0"/>
              <w:rPr>
                <w:sz w:val="20"/>
                <w:szCs w:val="20"/>
                <w:color w:val="auto"/>
              </w:rPr>
            </w:pPr>
            <w:r>
              <w:rPr>
                <w:rFonts w:ascii="Arial" w:cs="Arial" w:eastAsia="Arial" w:hAnsi="Arial"/>
                <w:sz w:val="14"/>
                <w:szCs w:val="14"/>
                <w:b w:val="1"/>
                <w:bCs w:val="1"/>
                <w:color w:val="auto"/>
                <w:w w:val="91"/>
              </w:rPr>
              <w:t>2021 vs.</w:t>
            </w:r>
          </w:p>
        </w:tc>
        <w:tc>
          <w:tcPr>
            <w:tcW w:w="680" w:type="dxa"/>
            <w:vAlign w:val="bottom"/>
          </w:tcPr>
          <w:p>
            <w:pPr>
              <w:ind w:left="120"/>
              <w:spacing w:after="0"/>
              <w:rPr>
                <w:sz w:val="20"/>
                <w:szCs w:val="20"/>
                <w:color w:val="auto"/>
              </w:rPr>
            </w:pPr>
            <w:r>
              <w:rPr>
                <w:rFonts w:ascii="Arial" w:cs="Arial" w:eastAsia="Arial" w:hAnsi="Arial"/>
                <w:sz w:val="14"/>
                <w:szCs w:val="14"/>
                <w:b w:val="1"/>
                <w:bCs w:val="1"/>
                <w:color w:val="auto"/>
                <w:w w:val="99"/>
              </w:rPr>
              <w:t>2020 vs.</w:t>
            </w:r>
          </w:p>
        </w:tc>
        <w:tc>
          <w:tcPr>
            <w:tcW w:w="0" w:type="dxa"/>
            <w:vAlign w:val="bottom"/>
          </w:tcPr>
          <w:p>
            <w:pPr>
              <w:spacing w:after="0"/>
              <w:rPr>
                <w:sz w:val="1"/>
                <w:szCs w:val="1"/>
                <w:color w:val="auto"/>
              </w:rPr>
            </w:pPr>
          </w:p>
        </w:tc>
      </w:tr>
      <w:tr>
        <w:trPr>
          <w:trHeight w:val="186"/>
        </w:trPr>
        <w:tc>
          <w:tcPr>
            <w:tcW w:w="29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124"/>
              <w:spacing w:after="0"/>
              <w:rPr>
                <w:sz w:val="20"/>
                <w:szCs w:val="20"/>
                <w:color w:val="auto"/>
              </w:rPr>
            </w:pPr>
            <w:r>
              <w:rPr>
                <w:rFonts w:ascii="Arial" w:cs="Arial" w:eastAsia="Arial" w:hAnsi="Arial"/>
                <w:sz w:val="14"/>
                <w:szCs w:val="14"/>
                <w:b w:val="1"/>
                <w:bCs w:val="1"/>
                <w:color w:val="auto"/>
              </w:rPr>
              <w:t>2020</w:t>
            </w:r>
          </w:p>
        </w:tc>
        <w:tc>
          <w:tcPr>
            <w:tcW w:w="720" w:type="dxa"/>
            <w:vAlign w:val="bottom"/>
          </w:tcPr>
          <w:p>
            <w:pPr>
              <w:jc w:val="right"/>
              <w:ind w:right="102"/>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6"/>
                <w:szCs w:val="16"/>
                <w:color w:val="auto"/>
              </w:rPr>
            </w:pPr>
          </w:p>
        </w:tc>
        <w:tc>
          <w:tcPr>
            <w:tcW w:w="620" w:type="dxa"/>
            <w:vAlign w:val="bottom"/>
          </w:tcPr>
          <w:p>
            <w:pPr>
              <w:jc w:val="right"/>
              <w:ind w:right="144"/>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ind w:left="24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2"/>
        </w:trPr>
        <w:tc>
          <w:tcPr>
            <w:tcW w:w="2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gridSpan w:val="3"/>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2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40" w:type="dxa"/>
            <w:vAlign w:val="bottom"/>
            <w:gridSpan w:val="5"/>
          </w:tcPr>
          <w:p>
            <w:pPr>
              <w:ind w:left="420"/>
              <w:spacing w:after="0"/>
              <w:rPr>
                <w:sz w:val="20"/>
                <w:szCs w:val="20"/>
                <w:color w:val="auto"/>
              </w:rPr>
            </w:pPr>
            <w:r>
              <w:rPr>
                <w:rFonts w:ascii="Arial" w:cs="Arial" w:eastAsia="Arial" w:hAnsi="Arial"/>
                <w:sz w:val="14"/>
                <w:szCs w:val="14"/>
                <w:b w:val="1"/>
                <w:bCs w:val="1"/>
                <w:color w:val="auto"/>
              </w:rPr>
              <w:t>(dollars in thousands)</w:t>
            </w: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2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Depreciation and amortization expense</w:t>
            </w:r>
          </w:p>
        </w:tc>
        <w:tc>
          <w:tcPr>
            <w:tcW w:w="90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$4,425</w:t>
            </w:r>
          </w:p>
        </w:tc>
        <w:tc>
          <w:tcPr>
            <w:tcW w:w="8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$3,978</w:t>
            </w: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$5,162</w:t>
            </w:r>
          </w:p>
        </w:tc>
        <w:tc>
          <w:tcPr>
            <w:tcW w:w="1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8"/>
                <w:szCs w:val="18"/>
                <w:color w:val="auto"/>
              </w:rPr>
              <w:t>$447</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8"/>
                <w:szCs w:val="18"/>
                <w:color w:val="auto"/>
              </w:rPr>
              <w:t>11%</w:t>
            </w:r>
          </w:p>
        </w:tc>
        <w:tc>
          <w:tcPr>
            <w:tcW w:w="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1"/>
              </w:rPr>
              <w:t>(23)%</w:t>
            </w:r>
          </w:p>
        </w:tc>
        <w:tc>
          <w:tcPr>
            <w:tcW w:w="0" w:type="dxa"/>
            <w:vAlign w:val="bottom"/>
          </w:tcPr>
          <w:p>
            <w:pPr>
              <w:spacing w:after="0"/>
              <w:rPr>
                <w:sz w:val="1"/>
                <w:szCs w:val="1"/>
                <w:color w:val="auto"/>
              </w:rPr>
            </w:pPr>
          </w:p>
        </w:tc>
      </w:tr>
      <w:tr>
        <w:trPr>
          <w:trHeight w:val="270"/>
        </w:trPr>
        <w:tc>
          <w:tcPr>
            <w:tcW w:w="2960" w:type="dxa"/>
            <w:vAlign w:val="bottom"/>
          </w:tcPr>
          <w:p>
            <w:pPr>
              <w:spacing w:after="0"/>
              <w:rPr>
                <w:sz w:val="20"/>
                <w:szCs w:val="20"/>
                <w:color w:val="auto"/>
              </w:rPr>
            </w:pPr>
            <w:r>
              <w:rPr>
                <w:rFonts w:ascii="Arial" w:cs="Arial" w:eastAsia="Arial" w:hAnsi="Arial"/>
                <w:sz w:val="18"/>
                <w:szCs w:val="18"/>
                <w:color w:val="auto"/>
              </w:rPr>
              <w:t>Percentage of revenue</w:t>
            </w:r>
          </w:p>
        </w:tc>
        <w:tc>
          <w:tcPr>
            <w:tcW w:w="900" w:type="dxa"/>
            <w:vAlign w:val="bottom"/>
            <w:gridSpan w:val="2"/>
          </w:tcPr>
          <w:p>
            <w:pPr>
              <w:jc w:val="right"/>
              <w:ind w:right="28"/>
              <w:spacing w:after="0"/>
              <w:rPr>
                <w:sz w:val="20"/>
                <w:szCs w:val="20"/>
                <w:color w:val="auto"/>
              </w:rPr>
            </w:pPr>
            <w:r>
              <w:rPr>
                <w:rFonts w:ascii="Arial" w:cs="Arial" w:eastAsia="Arial" w:hAnsi="Arial"/>
                <w:sz w:val="18"/>
                <w:szCs w:val="18"/>
                <w:color w:val="auto"/>
              </w:rPr>
              <w:t>2%</w:t>
            </w: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-574040</wp:posOffset>
            </wp:positionV>
            <wp:extent cx="1371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-574040</wp:posOffset>
            </wp:positionV>
            <wp:extent cx="12001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-574040</wp:posOffset>
            </wp:positionV>
            <wp:extent cx="12001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-574040</wp:posOffset>
            </wp:positionV>
            <wp:extent cx="12001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-574040</wp:posOffset>
            </wp:positionV>
            <wp:extent cx="12001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-574040</wp:posOffset>
            </wp:positionV>
            <wp:extent cx="12001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24"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8"/>
          <w:szCs w:val="18"/>
          <w:b w:val="1"/>
          <w:bCs w:val="1"/>
          <w:color w:val="auto"/>
        </w:rPr>
        <w:t xml:space="preserve">Year ended December 31, 2021 compared to year ended December 31, 2020. </w:t>
      </w:r>
      <w:r>
        <w:rPr>
          <w:rFonts w:ascii="Arial" w:cs="Arial" w:eastAsia="Arial" w:hAnsi="Arial"/>
          <w:sz w:val="18"/>
          <w:szCs w:val="18"/>
          <w:color w:val="auto"/>
        </w:rPr>
        <w:t>Depreciation and amortization</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increased by $0.4 million, or 11%, for the year ended December 31, 2021, compared to the same period in 2020.</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Arial" w:cs="Arial" w:eastAsia="Arial" w:hAnsi="Arial"/>
          <w:sz w:val="18"/>
          <w:szCs w:val="18"/>
          <w:b w:val="1"/>
          <w:bCs w:val="1"/>
          <w:color w:val="auto"/>
        </w:rPr>
        <w:t xml:space="preserve">Year ended December 31, 2020 compared to year ended December 31, 2019. </w:t>
      </w:r>
      <w:r>
        <w:rPr>
          <w:rFonts w:ascii="Arial" w:cs="Arial" w:eastAsia="Arial" w:hAnsi="Arial"/>
          <w:sz w:val="18"/>
          <w:szCs w:val="18"/>
          <w:color w:val="auto"/>
        </w:rPr>
        <w:t>Depreciation and amortization</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decreased by $1.2 million, or 23%, for the year ended December 31, 2020, compared to the same period in 2019. The decrease is due to accelerated amortization of $2.5 million related to intangible assets of the Weedmaps Museum of Weed recorded in fiscal year 2019, which was partially offset by additional depreciation of $1.3 million recorded in fiscal year 2020 related capitalized software development cost for our point of sale system that launched in October 2019.</w:t>
      </w:r>
    </w:p>
    <w:p>
      <w:pPr>
        <w:sectPr>
          <w:pgSz w:w="11900" w:h="16838" w:orient="portrait"/>
          <w:cols w:equalWidth="0" w:num="1">
            <w:col w:w="9019"/>
          </w:cols>
          <w:pgMar w:left="1440" w:top="265" w:right="1440"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4" w:name="page65"/>
    <w:bookmarkEnd w:id="6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820" w:type="dxa"/>
            <w:vAlign w:val="bottom"/>
          </w:tcPr>
          <w:p>
            <w:pPr>
              <w:spacing w:after="0"/>
              <w:rPr>
                <w:sz w:val="16"/>
                <w:szCs w:val="16"/>
                <w:color w:val="auto"/>
              </w:rPr>
            </w:pPr>
          </w:p>
        </w:tc>
        <w:tc>
          <w:tcPr>
            <w:tcW w:w="2780" w:type="dxa"/>
            <w:vAlign w:val="bottom"/>
            <w:gridSpan w:val="10"/>
          </w:tcPr>
          <w:p>
            <w:pPr>
              <w:ind w:left="500"/>
              <w:spacing w:after="0"/>
              <w:rPr>
                <w:sz w:val="20"/>
                <w:szCs w:val="20"/>
                <w:color w:val="auto"/>
              </w:rPr>
            </w:pPr>
            <w:r>
              <w:rPr>
                <w:rFonts w:ascii="Arial" w:cs="Arial" w:eastAsia="Arial" w:hAnsi="Arial"/>
                <w:sz w:val="14"/>
                <w:szCs w:val="14"/>
                <w:b w:val="1"/>
                <w:bCs w:val="1"/>
                <w:color w:val="auto"/>
              </w:rPr>
              <w:t>Years Ended December 31,</w:t>
            </w: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 Change</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ind w:left="3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53"/>
        </w:trPr>
        <w:tc>
          <w:tcPr>
            <w:tcW w:w="28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820" w:type="dxa"/>
            <w:vAlign w:val="bottom"/>
          </w:tcPr>
          <w:p>
            <w:pPr>
              <w:spacing w:after="0"/>
              <w:rPr>
                <w:sz w:val="16"/>
                <w:szCs w:val="16"/>
                <w:color w:val="auto"/>
              </w:rPr>
            </w:pPr>
          </w:p>
        </w:tc>
        <w:tc>
          <w:tcPr>
            <w:tcW w:w="66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2021 vs.</w:t>
            </w: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rPr>
              <w:t>2020 vs.</w:t>
            </w: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rPr>
              <w:t>2021 vs.</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2020 vs.</w:t>
            </w:r>
          </w:p>
        </w:tc>
        <w:tc>
          <w:tcPr>
            <w:tcW w:w="0" w:type="dxa"/>
            <w:vAlign w:val="bottom"/>
          </w:tcPr>
          <w:p>
            <w:pPr>
              <w:spacing w:after="0"/>
              <w:rPr>
                <w:sz w:val="1"/>
                <w:szCs w:val="1"/>
                <w:color w:val="auto"/>
              </w:rPr>
            </w:pPr>
          </w:p>
        </w:tc>
      </w:tr>
      <w:tr>
        <w:trPr>
          <w:trHeight w:val="186"/>
        </w:trPr>
        <w:tc>
          <w:tcPr>
            <w:tcW w:w="28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left="19"/>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ind w:right="19"/>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6"/>
                <w:szCs w:val="16"/>
                <w:color w:val="auto"/>
              </w:rPr>
            </w:pPr>
          </w:p>
        </w:tc>
        <w:tc>
          <w:tcPr>
            <w:tcW w:w="660" w:type="dxa"/>
            <w:vAlign w:val="bottom"/>
          </w:tcPr>
          <w:p>
            <w:pPr>
              <w:ind w:left="140"/>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ind w:left="20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3"/>
        </w:trPr>
        <w:tc>
          <w:tcPr>
            <w:tcW w:w="28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5"/>
          </w:tcPr>
          <w:p>
            <w:pPr>
              <w:ind w:left="100"/>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28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w:t>
            </w:r>
          </w:p>
        </w:tc>
        <w:tc>
          <w:tcPr>
            <w:tcW w:w="6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liability</w:t>
            </w: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$166,518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$166,518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N/M</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820" w:type="dxa"/>
            <w:vAlign w:val="bottom"/>
          </w:tcPr>
          <w:p>
            <w:pPr>
              <w:spacing w:after="0"/>
              <w:rPr>
                <w:sz w:val="20"/>
                <w:szCs w:val="20"/>
                <w:color w:val="auto"/>
              </w:rPr>
            </w:pPr>
            <w:r>
              <w:rPr>
                <w:rFonts w:ascii="Arial" w:cs="Arial" w:eastAsia="Arial" w:hAnsi="Arial"/>
                <w:sz w:val="18"/>
                <w:szCs w:val="18"/>
                <w:color w:val="auto"/>
              </w:rPr>
              <w:t>Other expense, net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(6,723)</w:t>
            </w: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(2,368)</w:t>
            </w:r>
          </w:p>
        </w:tc>
        <w:tc>
          <w:tcPr>
            <w:tcW w:w="840" w:type="dxa"/>
            <w:vAlign w:val="bottom"/>
            <w:gridSpan w:val="4"/>
          </w:tcPr>
          <w:p>
            <w:pPr>
              <w:jc w:val="right"/>
              <w:ind w:right="180"/>
              <w:spacing w:after="0"/>
              <w:rPr>
                <w:sz w:val="20"/>
                <w:szCs w:val="20"/>
                <w:color w:val="auto"/>
              </w:rPr>
            </w:pPr>
            <w:r>
              <w:rPr>
                <w:rFonts w:ascii="Arial" w:cs="Arial" w:eastAsia="Arial" w:hAnsi="Arial"/>
                <w:sz w:val="18"/>
                <w:szCs w:val="18"/>
                <w:color w:val="auto"/>
              </w:rPr>
              <w:t>(5,341)</w:t>
            </w:r>
          </w:p>
        </w:tc>
        <w:tc>
          <w:tcPr>
            <w:tcW w:w="12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(4,355)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2,973</w:t>
            </w:r>
          </w:p>
        </w:tc>
        <w:tc>
          <w:tcPr>
            <w:tcW w:w="140" w:type="dxa"/>
            <w:vAlign w:val="bottom"/>
          </w:tcPr>
          <w:p>
            <w:pPr>
              <w:spacing w:after="0"/>
              <w:rPr>
                <w:sz w:val="22"/>
                <w:szCs w:val="22"/>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184%</w:t>
            </w:r>
          </w:p>
        </w:tc>
        <w:tc>
          <w:tcPr>
            <w:tcW w:w="640" w:type="dxa"/>
            <w:vAlign w:val="bottom"/>
          </w:tcPr>
          <w:p>
            <w:pPr>
              <w:ind w:left="180"/>
              <w:spacing w:after="0"/>
              <w:rPr>
                <w:sz w:val="20"/>
                <w:szCs w:val="20"/>
                <w:color w:val="auto"/>
              </w:rPr>
            </w:pPr>
            <w:r>
              <w:rPr>
                <w:rFonts w:ascii="Arial" w:cs="Arial" w:eastAsia="Arial" w:hAnsi="Arial"/>
                <w:sz w:val="18"/>
                <w:szCs w:val="18"/>
                <w:color w:val="auto"/>
                <w:w w:val="91"/>
              </w:rPr>
              <w:t>(56)%</w:t>
            </w:r>
          </w:p>
        </w:tc>
        <w:tc>
          <w:tcPr>
            <w:tcW w:w="0" w:type="dxa"/>
            <w:vAlign w:val="bottom"/>
          </w:tcPr>
          <w:p>
            <w:pPr>
              <w:spacing w:after="0"/>
              <w:rPr>
                <w:sz w:val="1"/>
                <w:szCs w:val="1"/>
                <w:color w:val="auto"/>
              </w:rPr>
            </w:pPr>
          </w:p>
        </w:tc>
      </w:tr>
      <w:tr>
        <w:trPr>
          <w:trHeight w:val="61"/>
        </w:trPr>
        <w:tc>
          <w:tcPr>
            <w:tcW w:w="282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$159,795</w:t>
            </w: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9"/>
              </w:rPr>
              <w:t>$(2,368)</w:t>
            </w:r>
          </w:p>
        </w:tc>
        <w:tc>
          <w:tcPr>
            <w:tcW w:w="8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8"/>
              </w:rPr>
              <w:t>$(5,341)</w:t>
            </w: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$162,163</w:t>
            </w: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$2,973</w:t>
            </w: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N/M</w:t>
            </w:r>
          </w:p>
        </w:tc>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1"/>
              </w:rPr>
              <w:t>(56)%</w:t>
            </w:r>
          </w:p>
        </w:tc>
        <w:tc>
          <w:tcPr>
            <w:tcW w:w="0" w:type="dxa"/>
            <w:vAlign w:val="bottom"/>
          </w:tcPr>
          <w:p>
            <w:pPr>
              <w:spacing w:after="0"/>
              <w:rPr>
                <w:sz w:val="1"/>
                <w:szCs w:val="1"/>
                <w:color w:val="auto"/>
              </w:rPr>
            </w:pPr>
          </w:p>
        </w:tc>
      </w:tr>
      <w:tr>
        <w:trPr>
          <w:trHeight w:val="270"/>
        </w:trPr>
        <w:tc>
          <w:tcPr>
            <w:tcW w:w="2820" w:type="dxa"/>
            <w:vAlign w:val="bottom"/>
          </w:tcPr>
          <w:p>
            <w:pPr>
              <w:spacing w:after="0"/>
              <w:rPr>
                <w:sz w:val="20"/>
                <w:szCs w:val="20"/>
                <w:color w:val="auto"/>
              </w:rPr>
            </w:pPr>
            <w:r>
              <w:rPr>
                <w:rFonts w:ascii="Arial" w:cs="Arial" w:eastAsia="Arial" w:hAnsi="Arial"/>
                <w:sz w:val="18"/>
                <w:szCs w:val="18"/>
                <w:color w:val="auto"/>
              </w:rPr>
              <w:t>Percentage of revenue</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23"/>
                <w:szCs w:val="2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-1139825</wp:posOffset>
            </wp:positionV>
            <wp:extent cx="857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-1139825</wp:posOffset>
            </wp:positionV>
            <wp:extent cx="857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-1139825</wp:posOffset>
            </wp:positionV>
            <wp:extent cx="857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-1139825</wp:posOffset>
            </wp:positionV>
            <wp:extent cx="857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-1139825</wp:posOffset>
            </wp:positionV>
            <wp:extent cx="857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-1139825</wp:posOffset>
            </wp:positionV>
            <wp:extent cx="857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5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N/M - Not meaningful</w:t>
      </w:r>
    </w:p>
    <w:p>
      <w:pPr>
        <w:spacing w:after="0" w:line="96" w:lineRule="exact"/>
        <w:rPr>
          <w:sz w:val="20"/>
          <w:szCs w:val="20"/>
          <w:color w:val="auto"/>
        </w:rPr>
      </w:pPr>
    </w:p>
    <w:p>
      <w:pPr>
        <w:jc w:val="both"/>
        <w:ind w:left="300" w:right="299" w:firstLine="360"/>
        <w:spacing w:after="0" w:line="258" w:lineRule="auto"/>
        <w:rPr>
          <w:sz w:val="20"/>
          <w:szCs w:val="20"/>
          <w:color w:val="auto"/>
        </w:rPr>
      </w:pPr>
      <w:r>
        <w:rPr>
          <w:rFonts w:ascii="Arial" w:cs="Arial" w:eastAsia="Arial" w:hAnsi="Arial"/>
          <w:sz w:val="18"/>
          <w:szCs w:val="18"/>
          <w:b w:val="1"/>
          <w:bCs w:val="1"/>
          <w:color w:val="auto"/>
        </w:rPr>
        <w:t xml:space="preserve">Year ended December 31, 2021 compared to year ended December 31, 2020. </w:t>
      </w:r>
      <w:r>
        <w:rPr>
          <w:rFonts w:ascii="Arial" w:cs="Arial" w:eastAsia="Arial" w:hAnsi="Arial"/>
          <w:sz w:val="18"/>
          <w:szCs w:val="18"/>
          <w:color w:val="auto"/>
        </w:rPr>
        <w:t>Other income, net increased</w:t>
      </w:r>
      <w:r>
        <w:rPr>
          <w:rFonts w:ascii="Arial" w:cs="Arial" w:eastAsia="Arial" w:hAnsi="Arial"/>
          <w:sz w:val="18"/>
          <w:szCs w:val="18"/>
          <w:b w:val="1"/>
          <w:bCs w:val="1"/>
          <w:color w:val="auto"/>
        </w:rPr>
        <w:t xml:space="preserve"> </w:t>
      </w:r>
      <w:r>
        <w:rPr>
          <w:rFonts w:ascii="Arial" w:cs="Arial" w:eastAsia="Arial" w:hAnsi="Arial"/>
          <w:sz w:val="18"/>
          <w:szCs w:val="18"/>
          <w:color w:val="auto"/>
        </w:rPr>
        <w:t>by $162.2 million for the year ended December 31, 2021 compared to the same period in 2020. The increase in other income was primarily due to changes in fair value of warrant liability of $166.5 million. The increase in other expense, net of $4.4 million was primarily due to warrant transaction costs of $5.5 million related to the Business Combination included in other expenses in 2021.</w:t>
      </w:r>
    </w:p>
    <w:p>
      <w:pPr>
        <w:spacing w:after="0" w:line="75" w:lineRule="exact"/>
        <w:rPr>
          <w:sz w:val="20"/>
          <w:szCs w:val="20"/>
          <w:color w:val="auto"/>
        </w:rPr>
      </w:pPr>
    </w:p>
    <w:p>
      <w:pPr>
        <w:jc w:val="both"/>
        <w:ind w:left="300" w:right="299" w:firstLine="360"/>
        <w:spacing w:after="0" w:line="292" w:lineRule="auto"/>
        <w:rPr>
          <w:sz w:val="20"/>
          <w:szCs w:val="20"/>
          <w:color w:val="auto"/>
        </w:rPr>
      </w:pPr>
      <w:r>
        <w:rPr>
          <w:rFonts w:ascii="Arial" w:cs="Arial" w:eastAsia="Arial" w:hAnsi="Arial"/>
          <w:sz w:val="16"/>
          <w:szCs w:val="16"/>
          <w:b w:val="1"/>
          <w:bCs w:val="1"/>
          <w:color w:val="auto"/>
        </w:rPr>
        <w:t xml:space="preserve">Year ended December 31, 2020 compared to year ended December 31, 2019. </w:t>
      </w:r>
      <w:r>
        <w:rPr>
          <w:rFonts w:ascii="Arial" w:cs="Arial" w:eastAsia="Arial" w:hAnsi="Arial"/>
          <w:sz w:val="16"/>
          <w:szCs w:val="16"/>
          <w:color w:val="auto"/>
        </w:rPr>
        <w:t>Other expenses decreased by</w:t>
      </w:r>
      <w:r>
        <w:rPr>
          <w:rFonts w:ascii="Arial" w:cs="Arial" w:eastAsia="Arial" w:hAnsi="Arial"/>
          <w:sz w:val="16"/>
          <w:szCs w:val="16"/>
          <w:b w:val="1"/>
          <w:bCs w:val="1"/>
          <w:color w:val="auto"/>
        </w:rPr>
        <w:t xml:space="preserve"> </w:t>
      </w:r>
      <w:r>
        <w:rPr>
          <w:rFonts w:ascii="Arial" w:cs="Arial" w:eastAsia="Arial" w:hAnsi="Arial"/>
          <w:sz w:val="16"/>
          <w:szCs w:val="16"/>
          <w:color w:val="auto"/>
        </w:rPr>
        <w:t>$3.0 million, or 56%, for the year ended December 31, 2020, compared to the same period in 2019. Financing related costs decreased by $2.7 million as a result of several equity and debt transactions that we were evaluating in 2019 but ultimately decided not to pursue. Other tax and interest related expenses also decreased by $0.8 million as 2019 included tax expenses related to revenue generated by our foreign subsidiary in Canada. Political contributions also decreased by $0.2 million period over period. The decrease was partially offset by loss from foreign currency exchange of $0.7 million related to revenue generated by our foreign subsidiary in Canada.</w:t>
      </w:r>
    </w:p>
    <w:p>
      <w:pPr>
        <w:spacing w:after="0" w:line="31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Our rapid growth and recent changes in legislation have historically offset seasonal trends in our business.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show our cash, accounts receivable and working capital as of the dates indicated:</w:t>
      </w: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06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As of December 31,</w:t>
            </w:r>
          </w:p>
        </w:tc>
      </w:tr>
      <w:tr>
        <w:trPr>
          <w:trHeight w:val="53"/>
        </w:trPr>
        <w:tc>
          <w:tcPr>
            <w:tcW w:w="706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225"/>
        </w:trPr>
        <w:tc>
          <w:tcPr>
            <w:tcW w:w="7060" w:type="dxa"/>
            <w:vAlign w:val="bottom"/>
          </w:tcPr>
          <w:p>
            <w:pPr>
              <w:spacing w:after="0"/>
              <w:rPr>
                <w:sz w:val="19"/>
                <w:szCs w:val="19"/>
                <w:color w:val="auto"/>
              </w:rPr>
            </w:pPr>
          </w:p>
        </w:tc>
        <w:tc>
          <w:tcPr>
            <w:tcW w:w="680" w:type="dxa"/>
            <w:vAlign w:val="bottom"/>
          </w:tcPr>
          <w:p>
            <w:pPr>
              <w:jc w:val="right"/>
              <w:ind w:right="159"/>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jc w:val="right"/>
              <w:ind w:right="75"/>
              <w:spacing w:after="0"/>
              <w:rPr>
                <w:sz w:val="20"/>
                <w:szCs w:val="20"/>
                <w:color w:val="auto"/>
              </w:rPr>
            </w:pPr>
            <w:r>
              <w:rPr>
                <w:rFonts w:ascii="Arial" w:cs="Arial" w:eastAsia="Arial" w:hAnsi="Arial"/>
                <w:sz w:val="14"/>
                <w:szCs w:val="14"/>
                <w:b w:val="1"/>
                <w:bCs w:val="1"/>
                <w:color w:val="auto"/>
              </w:rPr>
              <w:t>2020</w:t>
            </w:r>
          </w:p>
        </w:tc>
      </w:tr>
      <w:tr>
        <w:trPr>
          <w:trHeight w:val="52"/>
        </w:trPr>
        <w:tc>
          <w:tcPr>
            <w:tcW w:w="7060" w:type="dxa"/>
            <w:vAlign w:val="bottom"/>
          </w:tcPr>
          <w:p>
            <w:pPr>
              <w:spacing w:after="0"/>
              <w:rPr>
                <w:sz w:val="4"/>
                <w:szCs w:val="4"/>
                <w:color w:val="auto"/>
              </w:rPr>
            </w:pPr>
          </w:p>
        </w:tc>
        <w:tc>
          <w:tcPr>
            <w:tcW w:w="1360" w:type="dxa"/>
            <w:vAlign w:val="bottom"/>
            <w:tcBorders>
              <w:bottom w:val="single" w:sz="8" w:color="auto"/>
            </w:tcBorders>
            <w:gridSpan w:val="2"/>
          </w:tcPr>
          <w:p>
            <w:pPr>
              <w:spacing w:after="0"/>
              <w:rPr>
                <w:sz w:val="4"/>
                <w:szCs w:val="4"/>
                <w:color w:val="auto"/>
              </w:rPr>
            </w:pPr>
          </w:p>
        </w:tc>
      </w:tr>
      <w:tr>
        <w:trPr>
          <w:trHeight w:val="225"/>
        </w:trPr>
        <w:tc>
          <w:tcPr>
            <w:tcW w:w="7060" w:type="dxa"/>
            <w:vAlign w:val="bottom"/>
          </w:tcPr>
          <w:p>
            <w:pPr>
              <w:spacing w:after="0"/>
              <w:rPr>
                <w:sz w:val="19"/>
                <w:szCs w:val="19"/>
                <w:color w:val="auto"/>
              </w:rPr>
            </w:pPr>
          </w:p>
        </w:tc>
        <w:tc>
          <w:tcPr>
            <w:tcW w:w="1360" w:type="dxa"/>
            <w:vAlign w:val="bottom"/>
            <w:gridSpan w:val="2"/>
          </w:tcPr>
          <w:p>
            <w:pPr>
              <w:jc w:val="right"/>
              <w:ind w:right="155"/>
              <w:spacing w:after="0"/>
              <w:rPr>
                <w:sz w:val="20"/>
                <w:szCs w:val="20"/>
                <w:color w:val="auto"/>
              </w:rPr>
            </w:pPr>
            <w:r>
              <w:rPr>
                <w:rFonts w:ascii="Arial" w:cs="Arial" w:eastAsia="Arial" w:hAnsi="Arial"/>
                <w:sz w:val="14"/>
                <w:szCs w:val="14"/>
                <w:b w:val="1"/>
                <w:bCs w:val="1"/>
                <w:color w:val="auto"/>
              </w:rPr>
              <w:t>(in thousands)</w:t>
            </w:r>
          </w:p>
        </w:tc>
      </w:tr>
      <w:tr>
        <w:trPr>
          <w:trHeight w:val="53"/>
        </w:trPr>
        <w:tc>
          <w:tcPr>
            <w:tcW w:w="7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18"/>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$67,777</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$19,919</w:t>
            </w:r>
          </w:p>
        </w:tc>
      </w:tr>
      <w:tr>
        <w:trPr>
          <w:trHeight w:val="270"/>
        </w:trPr>
        <w:tc>
          <w:tcPr>
            <w:tcW w:w="70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680" w:type="dxa"/>
            <w:vAlign w:val="bottom"/>
          </w:tcPr>
          <w:p>
            <w:pPr>
              <w:ind w:left="80"/>
              <w:spacing w:after="0"/>
              <w:rPr>
                <w:sz w:val="20"/>
                <w:szCs w:val="20"/>
                <w:color w:val="auto"/>
              </w:rPr>
            </w:pPr>
            <w:r>
              <w:rPr>
                <w:rFonts w:ascii="Arial" w:cs="Arial" w:eastAsia="Arial" w:hAnsi="Arial"/>
                <w:sz w:val="18"/>
                <w:szCs w:val="18"/>
                <w:color w:val="auto"/>
              </w:rPr>
              <w:t>17,550</w:t>
            </w:r>
          </w:p>
        </w:tc>
        <w:tc>
          <w:tcPr>
            <w:tcW w:w="680" w:type="dxa"/>
            <w:vAlign w:val="bottom"/>
          </w:tcPr>
          <w:p>
            <w:pPr>
              <w:jc w:val="right"/>
              <w:spacing w:after="0"/>
              <w:rPr>
                <w:sz w:val="20"/>
                <w:szCs w:val="20"/>
                <w:color w:val="auto"/>
              </w:rPr>
            </w:pPr>
            <w:r>
              <w:rPr>
                <w:rFonts w:ascii="Arial" w:cs="Arial" w:eastAsia="Arial" w:hAnsi="Arial"/>
                <w:sz w:val="18"/>
                <w:szCs w:val="18"/>
                <w:color w:val="auto"/>
              </w:rPr>
              <w:t>9,428</w:t>
            </w:r>
          </w:p>
        </w:tc>
      </w:tr>
      <w:tr>
        <w:trPr>
          <w:trHeight w:val="54"/>
        </w:trPr>
        <w:tc>
          <w:tcPr>
            <w:tcW w:w="7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7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61,134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10,918</w:t>
            </w:r>
          </w:p>
        </w:tc>
      </w:tr>
      <w:tr>
        <w:trPr>
          <w:trHeight w:val="54"/>
        </w:trPr>
        <w:tc>
          <w:tcPr>
            <w:tcW w:w="70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5054600</wp:posOffset>
            </wp:positionH>
            <wp:positionV relativeFrom="paragraph">
              <wp:posOffset>-814070</wp:posOffset>
            </wp:positionV>
            <wp:extent cx="1028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As of December 31, 2021, we had cash of $67.8 million. During the second quarter of fiscal year 2021, we completed the Business Combination, resulting in proceeds of approximately $80.0 million. The additional funds will be used for funding our current operations and potential strategic acquisitions in the future. We also intend to increase our capital expenditures to support the organic growth in our business and operations. We expect to fund our near-term capital expenditures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We may not be able to secure additional financing to meet our operating requirements on acceptable terms, or at all.</w:t>
      </w:r>
    </w:p>
    <w:p>
      <w:pPr>
        <w:sectPr>
          <w:pgSz w:w="11900" w:h="16838" w:orient="portrait"/>
          <w:cols w:equalWidth="0" w:num="1">
            <w:col w:w="9019"/>
          </w:cols>
          <w:pgMar w:left="1440" w:top="265" w:right="1440"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5" w:name="page66"/>
    <w:bookmarkEnd w:id="6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Since our inception, we have financed our operations and capital expenditures primarily through cash flows generated by operations, a secured revolving line of credit agreement, the private sales of equity securities, and recently, the public sales of equity securities as a result of the Business Combination.</w:t>
      </w:r>
    </w:p>
    <w:p>
      <w:pPr>
        <w:spacing w:after="0" w:line="76"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To the extent existing cash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 We may enter into investment or acquisition transactions in the future, which could require us to seek additional equity financing, incur indebtedness, or use cash resources.</w:t>
      </w:r>
    </w:p>
    <w:p>
      <w:pPr>
        <w:spacing w:after="0" w:line="31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Cash Flows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7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r>
      <w:tr>
        <w:trPr>
          <w:trHeight w:val="53"/>
        </w:trPr>
        <w:tc>
          <w:tcPr>
            <w:tcW w:w="46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r>
      <w:tr>
        <w:trPr>
          <w:trHeight w:val="224"/>
        </w:trPr>
        <w:tc>
          <w:tcPr>
            <w:tcW w:w="4680" w:type="dxa"/>
            <w:vAlign w:val="bottom"/>
          </w:tcPr>
          <w:p>
            <w:pPr>
              <w:spacing w:after="0"/>
              <w:rPr>
                <w:sz w:val="19"/>
                <w:szCs w:val="19"/>
                <w:color w:val="auto"/>
              </w:rPr>
            </w:pPr>
          </w:p>
        </w:tc>
        <w:tc>
          <w:tcPr>
            <w:tcW w:w="18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9"/>
                <w:szCs w:val="19"/>
                <w:color w:val="auto"/>
              </w:rPr>
            </w:pPr>
          </w:p>
        </w:tc>
        <w:tc>
          <w:tcPr>
            <w:tcW w:w="760" w:type="dxa"/>
            <w:vAlign w:val="bottom"/>
          </w:tcPr>
          <w:p>
            <w:pPr>
              <w:jc w:val="center"/>
              <w:ind w:right="216"/>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9"/>
                <w:szCs w:val="19"/>
                <w:color w:val="auto"/>
              </w:rPr>
            </w:pPr>
          </w:p>
        </w:tc>
        <w:tc>
          <w:tcPr>
            <w:tcW w:w="580" w:type="dxa"/>
            <w:vAlign w:val="bottom"/>
          </w:tcPr>
          <w:p>
            <w:pPr>
              <w:jc w:val="right"/>
              <w:ind w:right="136"/>
              <w:spacing w:after="0"/>
              <w:rPr>
                <w:sz w:val="20"/>
                <w:szCs w:val="20"/>
                <w:color w:val="auto"/>
              </w:rPr>
            </w:pPr>
            <w:r>
              <w:rPr>
                <w:rFonts w:ascii="Arial" w:cs="Arial" w:eastAsia="Arial" w:hAnsi="Arial"/>
                <w:sz w:val="14"/>
                <w:szCs w:val="14"/>
                <w:b w:val="1"/>
                <w:bCs w:val="1"/>
                <w:color w:val="auto"/>
              </w:rPr>
              <w:t>2019</w:t>
            </w:r>
          </w:p>
        </w:tc>
      </w:tr>
      <w:tr>
        <w:trPr>
          <w:trHeight w:val="53"/>
        </w:trPr>
        <w:tc>
          <w:tcPr>
            <w:tcW w:w="46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r>
      <w:tr>
        <w:trPr>
          <w:trHeight w:val="224"/>
        </w:trPr>
        <w:tc>
          <w:tcPr>
            <w:tcW w:w="4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53"/>
        </w:trPr>
        <w:tc>
          <w:tcPr>
            <w:tcW w:w="46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318"/>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6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$ 23,092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0"/>
              </w:rPr>
              <w:t>38,620</w:t>
            </w:r>
          </w:p>
        </w:tc>
        <w:tc>
          <w:tcPr>
            <w:tcW w:w="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6,295</w:t>
            </w:r>
          </w:p>
        </w:tc>
      </w:tr>
      <w:tr>
        <w:trPr>
          <w:trHeight w:val="270"/>
        </w:trPr>
        <w:tc>
          <w:tcPr>
            <w:tcW w:w="46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860" w:type="dxa"/>
            <w:vAlign w:val="bottom"/>
            <w:gridSpan w:val="2"/>
          </w:tcPr>
          <w:p>
            <w:pPr>
              <w:ind w:left="1040"/>
              <w:spacing w:after="0"/>
              <w:rPr>
                <w:sz w:val="20"/>
                <w:szCs w:val="20"/>
                <w:color w:val="auto"/>
              </w:rPr>
            </w:pPr>
            <w:r>
              <w:rPr>
                <w:rFonts w:ascii="Arial" w:cs="Arial" w:eastAsia="Arial" w:hAnsi="Arial"/>
                <w:sz w:val="18"/>
                <w:szCs w:val="18"/>
                <w:color w:val="auto"/>
              </w:rPr>
              <w:t>$(30,435)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6"/>
              <w:spacing w:after="0"/>
              <w:rPr>
                <w:sz w:val="20"/>
                <w:szCs w:val="20"/>
                <w:color w:val="auto"/>
              </w:rPr>
            </w:pPr>
            <w:r>
              <w:rPr>
                <w:rFonts w:ascii="Arial" w:cs="Arial" w:eastAsia="Arial" w:hAnsi="Arial"/>
                <w:sz w:val="18"/>
                <w:szCs w:val="18"/>
                <w:color w:val="auto"/>
                <w:w w:val="98"/>
              </w:rPr>
              <w:t>(1,311)</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(5,129)</w:t>
            </w:r>
          </w:p>
        </w:tc>
      </w:tr>
      <w:tr>
        <w:trPr>
          <w:trHeight w:val="54"/>
        </w:trPr>
        <w:tc>
          <w:tcPr>
            <w:tcW w:w="46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60" w:type="dxa"/>
            <w:vAlign w:val="bottom"/>
            <w:gridSpan w:val="2"/>
          </w:tcPr>
          <w:p>
            <w:pPr>
              <w:spacing w:after="0"/>
              <w:rPr>
                <w:sz w:val="4"/>
                <w:szCs w:val="4"/>
                <w:color w:val="auto"/>
              </w:rPr>
            </w:pPr>
          </w:p>
        </w:tc>
        <w:tc>
          <w:tcPr>
            <w:tcW w:w="820" w:type="dxa"/>
            <w:vAlign w:val="bottom"/>
            <w:gridSpan w:val="2"/>
          </w:tcPr>
          <w:p>
            <w:pPr>
              <w:spacing w:after="0"/>
              <w:rPr>
                <w:sz w:val="4"/>
                <w:szCs w:val="4"/>
                <w:color w:val="auto"/>
              </w:rPr>
            </w:pPr>
          </w:p>
        </w:tc>
      </w:tr>
      <w:tr>
        <w:trPr>
          <w:trHeight w:val="27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8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$ 55,201</w:t>
            </w:r>
          </w:p>
        </w:tc>
        <w:tc>
          <w:tcPr>
            <w:tcW w:w="106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$(22,358)</w:t>
            </w:r>
          </w:p>
        </w:tc>
        <w:tc>
          <w:tcPr>
            <w:tcW w:w="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0"/>
              </w:rPr>
              <w:t>$(21,969)</w:t>
            </w:r>
          </w:p>
        </w:tc>
      </w:tr>
      <w:tr>
        <w:trPr>
          <w:trHeight w:val="54"/>
        </w:trPr>
        <w:tc>
          <w:tcPr>
            <w:tcW w:w="468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-814070</wp:posOffset>
            </wp:positionV>
            <wp:extent cx="17145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-814070</wp:posOffset>
            </wp:positionV>
            <wp:extent cx="17145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Cash from operating activities consists primarily of net income adjusted for certain non-cash items, including depreciation and amortization, change in fair value of warrant liability, impairment loss, stock-based compensation, provision for doubtful accounts, deferred taxes and the effect of changes in working capital.</w:t>
      </w:r>
    </w:p>
    <w:p>
      <w:pPr>
        <w:spacing w:after="0" w:line="5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Net cash provided by operating activities for the year ended December 31, 2021 was $23.1 million, which resulted from net income of $152.2 million, together with a net cash outflows of $3.4 million from changes in operating assets and liabilities, and non-cash items of $125.8 million, consisting of depreciation and amortization of $4.4 million, fair value of warrant liability of $166.5 million, impairment loss of $2.4 million, stock-based compensation expense of $29.3 million, changes in deferred tax assets of $0.8 million and provision for doubtful accounts of $5.5 million. The net cash outflows from changes in operating assets and liabilities were primarily due to an increase in accounts receivable of $13.6 million, a decrease in accounts payable and accrued expenses of $0.5 million, partially offset by a decrease in prepaid expenses and other assets of $7.9 million, and an increase in deferred revenue of $2.8 million. The changes in operating assets and liabilities are mostly due to fluctuations in timing of cash receipts and payments.</w:t>
      </w:r>
    </w:p>
    <w:p>
      <w:pPr>
        <w:spacing w:after="0" w:line="7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Net cash from operating activities for the year ended December 31, 2020 was $38.6 million, which resulted from net income of $38.8 million, together with net cash outflows of $5.5 million from changes in operating assets and liabilities, and non-cash items of $5.2 million, consisting of depreciation and amortization of $4.0 million and provision for doubtful accounts of $1.3 million. The net cash outflows from changes in operating assets and liabilities were primarily due to an increase in accounts receivables of $6.8 million, a decrease in accounts payable and accrued expenses of $1.0 million and an increase in prepaid expenses and other current assets of $3.0 million. These changes were partially offset by an increase in deferred rent of $3.7 million, an increase in deferred revenue of $0.9 million and a decrease in other assets of $0.7 million. The changes in operating assets and liabilities are mostly due to fluctuations in timing of cash receipts and payments.</w:t>
      </w:r>
    </w:p>
    <w:p>
      <w:pPr>
        <w:spacing w:after="0" w:line="73"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Net cash from operating activities for the year ended December 31, 2019 was $6.3 million, which resulted from net loss of $0.4 million, together with a net cash inflow of $1.3 million from changes in operating assets and liabilities, and non-cash charges of $5.3 million, consisting of depreciation and amortization expense of $5.2 million and provision for doubtful of accounts of $0.2 million. The net cash inflows from changes in operating assets and liabilities were primarily due to an increase in accounts payable and accrued expenses of $7.4 million, an increase in deferred rent of $0.5 million, together with an increase in deferred revenue of $0.2 million. These changes were partially offset by an increase in accounts receivable of $2.8 million and an increase in prepaid expense and other assets of $4.0 million. The changes in operating assets and liabilities are mostly due to fluctuations in timing of cash receipts and payments.</w:t>
      </w:r>
    </w:p>
    <w:p>
      <w:pPr>
        <w:sectPr>
          <w:pgSz w:w="11900" w:h="16838" w:orient="portrait"/>
          <w:cols w:equalWidth="0" w:num="1">
            <w:col w:w="9019"/>
          </w:cols>
          <w:pgMar w:left="1440" w:top="265" w:right="1440"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6" w:name="page67"/>
    <w:bookmarkEnd w:id="6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Net cash used in investing activities for the year ended December 31, 2021 was $30.4 million, which resulted from $16.0 million cash paid for acquisitions, $7.9 million cash paid for purchases of property and equipment, including certain capitalized software development cost, and $6.5 million cash paid for other investments.</w:t>
      </w:r>
    </w:p>
    <w:p>
      <w:pPr>
        <w:spacing w:after="0" w:line="4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Net cash used in investing activities for the year ended December 31, 2020 was $1.3 million for purchases of property and equipment.</w:t>
      </w:r>
    </w:p>
    <w:p>
      <w:pPr>
        <w:spacing w:after="0" w:line="62"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Net cash used in investing activities for the year ended December 31, 2019 was $5.1 million, which resulted from purchases of assets related to Weedmaps Museum of Weed as well as other property and equipment and capitalized software development costs related to development of our POS solution.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Net Cash provided by financing activities for the year ended December 31, 2021 was $55.2 million, which resulted from net proceeds from the Business Combination of $80.0 million, offset by $19.0 million distribution payments to members, $5.6 million paid for the repurchase of Class B Units and $0.2 million repayment of notes payable to members.</w:t>
      </w:r>
    </w:p>
    <w:p>
      <w:pPr>
        <w:spacing w:after="0" w:line="79"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Net cash used in financing activities for the year ended December 31, 2020 was $22.4 million, which resulted from $22.0 million distributions to members and $0.4 million paid for the repurchase of Class B Units.</w:t>
      </w:r>
    </w:p>
    <w:p>
      <w:pPr>
        <w:spacing w:after="0" w:line="38"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Net cash used in financing activities for the year ended December 31, 2019 was $22.0 million, which was attributable to $15.4 million in distribution payments to members, $5.0 million repayment of the secured line of credit, and $1.6 million for the repurchase of Class B units.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have non-cancellable contractual agreements primarily related to leases. As of December 31, 2021, future payments on our operating leases were $64.5 million. See Note 3 to our consolidated financial statements included in this prospectus.</w:t>
      </w:r>
    </w:p>
    <w:p>
      <w:pPr>
        <w:spacing w:after="0" w:line="76"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As of December 31, 2021, our tax receivable agreement liability was $128.6 million. We expect that the payments we will be required to make under the tax receivable agreement will be substantial. Assuming no material changes in relevant tax law, that there are no future redemptions or exchanges of Class A Units and that we earn sufficient taxable income to realize all tax benefits that are subject to the tax receivable agreement, the tax savings associated with acquisitions of common units in the Business Combination would aggregate to approximately $151.3 million over 15 years from Closing Date. Under this scenario, we would be required to pay to the Class A Unit holders approximately 85% of such amount, or $128.6 million, over the 15-year period from the Closing Date. The actual amounts we will be required to pay may materially differ from these hypothetical amounts, because potential future tax savings that we will be deemed to realize, and the tax receivable agreement payments made by us, will be calculated based in part on the market value of the Class A Common Stock at the time of each redemption or exchange under the Exchange Agreement and the prevailing applicable tax rates applicable to us over the life of the tax receivable agreement and will depend on us generating sufficient taxable income to realize the tax benefits that are subject to the tax receivable agreement. Payments under the tax receivable agreement are not conditioned on the Class A Unit holders’ continued ownership of us. See Note 14 to our consolidated financial statements included in this prospectus.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Our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53"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We believe that the assumptions and estimates associated with revenue recognition, income taxes, stock-based compensation, capitalized software development costs, goodwill and intangible assets and fair value measurements to have the greatest potential impact on our consolidated financial statements. Therefore, we consider these to be our critical accounting policies and estimates. For further information on all of our significant accounting policies, see Note 2 to our consolidated financial statements included in this prospectus.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7" w:name="page68"/>
    <w:bookmarkEnd w:id="6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Our revenues are derived primarily from monthly subscriptions and additional offerings for access to the Weedmaps platform and SaaS solutions. We recognize revenue when the fundamental criteria for revenue recognition are met. We recognize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we satisfy these performance obligations in an amount that reflects the consideration we expect to be entitled to in exchange for those services. The determination of the performance obligations and recognition of such items as over time or point-in-time requires us to make significant judgement and estimates.</w:t>
      </w:r>
    </w:p>
    <w:p>
      <w:pPr>
        <w:spacing w:after="0" w:line="70"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Substantially all of our revenue is generated by providing standard listing subscription services and other paid listing subscriptions services, including featured listings, promoted deals, nearby listings and other display advertising to our customers. These arrangements are recognized over-time, generally during a month-to-month subscription period as the products are provided. Prior to January 1, 2021, we charged a fee for access to our orders functionality and those fees were recognized at a point in time, typically when an order for delivery or pickup was submitted. Starting on January 1, 2021, we eliminated the technology services fees related to the orders functionality.</w:t>
      </w:r>
    </w:p>
    <w:p>
      <w:pPr>
        <w:spacing w:after="0" w:line="2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WM Technology, Inc. is subject to U.S. federal income taxes, in addition to state and local income taxes with respect to its allocable share of any taxable income of WMH LLC following the Business Combination. Any taxable income or loss generated by WMH LLC is passed through to and included in the taxable income or loss of its members, including WM Technology, Inc., on a pro rata basis. We are also subject to taxes in foreign jurisdictions. Tax laws and regulations are complex and periodically changing and the determination of our provision for income taxes, including our taxable income, deferred tax assets and tax receivable agreement liability, requires us to make significant judgment, assumptions and estimates.</w:t>
      </w:r>
    </w:p>
    <w:p>
      <w:pPr>
        <w:spacing w:after="0" w:line="69"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In connection with the Business Combination, the Company entered into a Tax Receivable Agreement (“TRA”) with continuing members that provides for a payment to the continuing members of 85% of the amount of tax benefits, if any, that WM Technology, Inc. realizes, or is deemed to realize, as a result of redemptions or exchanges of WMH Units. In connection with such potential future tax benefits resulting from the Business Combination, the Company has established a deferred tax asset for the additional tax basis and a corresponding TRA liability of 85% of the expected benefit. The remaining 15% is recorded within paid-in capital. To date, no payments have been made with respect to the TRA. Our calculation of the TRA asset and liability requires estimates of its future qualified taxable income over the term of the TRA as a basis to determine if the related tax benefits are expected to be realized. As of December 31, 2021, total net deferred tax assets and TRA liability were $152.1 million and $128.6 million, respectively. See Note 14 to our consolidated financial statements included in this prospectus.</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We measure fair value of employee stock-based compensation awards on the date of grant and allocate the related expense over the requisite service period. The fair value of restricted stock units (“RSU”) and performance-based restricted stock units (“PSU”) is equal to the market price of our Class A common stock on the date of grant. The fair value of the Class P Units is measured using the Black-Scholes-Merton valuation model. When awards include a performance condition that impacts the vesting of the award, we record compensation cost when it becomes probable that the performance condition will be met. The level of achievement of such goals in the performance-based restricted stock awards may cause the actual number of units that ultimately vest to range from 0% to 200% of the original units granted. Forfeitures of stock-based awards are recognized as they occur. For the year ended December 31, 2021, we recognized stock-based compensation expense of $29.3 million. See Note 12 to our consolidated financial statements included in this prospectus.</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Capitalized Software Development Costs</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capitalize certain costs related to the development and enhancement of the Weedmaps platform and SaaS solutions. In accordance with authoritative guidance, we began to capitalize these costs when preliminary development efforts were successfully completed, management has authorized and committed project funding, and it was probable that the project would be completed and the software would be used as intended. Such costs are amortized when placed in service, on a straight-line basis over the estimated useful life of the related asset, generally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8" w:name="page69"/>
    <w:bookmarkEnd w:id="6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estimated to be three years. Costs incurred prior to meeting these criteria together with costs incurred for training and maintenance are expensed as incurred and recorded in product development expenses on our consolidated statements of operations. Costs incurred for enhancements that were expected to result in additional features or functionality are capitalized and expensed over the estimated useful life of the enhancements, generally three years. The accounting for website and internal-use software costs requires us to make significant judgement, assumptions and estimates related to the timing and amount of recognized capitalized software development costs. For the year ended December 31, 2021, we capitalized $7.4 million of costs related to the development of software applications.</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Assets and liabilities acquired from acquisitions are recorded at their estimated fair values. The excess of the purchase price over the estimated fair values of the net assets acquired, including identifiable intangible assets, is recorded as goodwill. The accounting for goodwill and intangible assets requires us to make significant judgement, estimates and assumptions. Significant estimates and assumptions in valuing acquired intangible assets and liabilities include projected cash flows attributable to the assets or liabilities, asset useful lives and discount rates.</w:t>
      </w:r>
    </w:p>
    <w:p>
      <w:pPr>
        <w:spacing w:after="0" w:line="53"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Goodwill is not amortized and is subject to annual impairment testing, or between annual tests if an event or change in circumstance occurs that would more likely than not reduce the fair value of a reporting unit below its carrying value. Intangible assets deemed to have finite lives are amortized on a straight-line basis over their estimated useful lives, where the useful life is the period over which the asset is expected to contribute directly, or indirectly, to our future cash flows. Intangible assets are reviewed for impairment on an interim basis when certain events or circumstances exist. For amortizable intangible assets, impairment exists when the carrying amount of the intangible asset exceeds its fair value. At least annually, the remaining useful life is evaluated. See Note 2 to our consolidated financial statements included in this prospectus.</w:t>
      </w:r>
    </w:p>
    <w:p>
      <w:pPr>
        <w:spacing w:after="0" w:line="2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 xml:space="preserve">In connection with the Business Combination, we assumed 12,499,993 Public Warrants and 7,000,000 Private Placement Warrants. All of the warrants remained outstanding as of December 31, 2021. The warrants are measured at fair value under ASC 820 -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The fair value of the Public Warrants is classified as Level 1 financial instruments and is based on the publicly listed trading price of our Public Warrants. The fair value of the Private Warrants is determined with Level 3 inputs using the Black-Scholes model. The fair value of the Private Placement Warrants may change significantly as additional data is obtained. In evaluating this information, considerable judgment is required to interpret the data used to develop the assumptions and estimates. The estimates of fair value may not be indicative of the amounts that could be realized in a current market exchange. Accordingly, the use of different market assumptions and/or different valuation techniques may have a material effect on the estimated fair value, and such changes could materially impact our results of operations in future periods. As of December 31, 2021, warranty liability was $27.5 million. See Note 5 to our consolidated financial statements included this prospectus.</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Accounting Pronouncements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consolidated financial statements included in this prospectus.</w:t>
      </w:r>
    </w:p>
    <w:p>
      <w:pPr>
        <w:spacing w:after="0" w:line="30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In connection with Silver Spike’s amendment to its annual report on Form 10-K, management re-evaluated, with the participation of Silver Spike’s then-current chief executive officer and chief financial officer (Silver Spike’s “Certifying Officers”), the effectiveness of Silver Spike’s disclosure controls and procedures as of December 31, 2020, pursuant to Rule 13a-15(b) under the Exchange Act. Based upon that evaluation, Silver Spike’s Certifying Officers concluded that, solely due to the material weakness in Silver Spike’s internal control over financial reporting that led to Silver Spike’s restatement of its financial statements to reclassify its Public Warrants and warrants originally issued in a private placement (the “Private Placement Warrants” and together with the Public Warrants,</w:t>
      </w:r>
    </w:p>
    <w:p>
      <w:pPr>
        <w:sectPr>
          <w:pgSz w:w="11900" w:h="16838" w:orient="portrait"/>
          <w:cols w:equalWidth="0" w:num="1">
            <w:col w:w="9019"/>
          </w:cols>
          <w:pgMar w:left="1440" w:top="265" w:right="1440"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9" w:name="page70"/>
    <w:bookmarkEnd w:id="6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the “Warrants”) as described in the Explanatory Note to Silver Spike’s amendment to its annual report on Form 10-K, Silver Spike’s disclosure controls and procedures were not effective as December 31, 2020. Based on the evaluation, and in light of the material weakness in internal controls described above, our Chief Executive Officer and Chief Financial Officer have concluded that as of December 31, 2021, our disclosure controls and procedures were not effective.</w:t>
      </w:r>
    </w:p>
    <w:p>
      <w:pPr>
        <w:spacing w:after="0" w:line="80"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32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 In light of the restatement of financial statements as described in the Explanatory Note to Silver Spike’s amendment to its annual report on Form 10-K, we plan to enhance our processes to identify and appropriately apply applicable accounting requirements to better evaluate and understand the nuances of the complex accounting standards that apply to our financial statements. Our plans at this time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completed the Business Combination on June 16, 2021. Prior to the Business Combination, we were a special purpose acquisition company formed for the purpose of effecting a merger, capital stock exchange, asset acquisition, stock purchase, reorganization or other similar business combination with one or more operating businesses. As a result, previously existing internal controls are no longer applicable or comprehensive enough as of the assessment date as our operations prior to the Business Combination were insignificant compared to those of the consolidated entity post-Business Combination. The design of internal controls over financial reporting for the Company post-Business Combination has required and will continue to require significant time and resources from management and other personnel. As a result, management was unable, without incurring unreasonable effort or expense to conduct an assessment of our internal control over financial reporting as of December 31, 2021. Accordingly, we are excluding management's report on internal control over financial reporting pursuant to Section 215.02 of the SEC Division of Corporation Finance's Regulation S-K Compliance &amp; Disclosure Interpretations.</w:t>
      </w:r>
    </w:p>
    <w:p>
      <w:pPr>
        <w:spacing w:after="0" w:line="323" w:lineRule="exact"/>
        <w:rPr>
          <w:sz w:val="20"/>
          <w:szCs w:val="20"/>
          <w:color w:val="auto"/>
        </w:rPr>
      </w:pPr>
    </w:p>
    <w:p>
      <w:pPr>
        <w:ind w:left="300" w:right="699"/>
        <w:spacing w:after="0" w:line="282" w:lineRule="auto"/>
        <w:rPr>
          <w:sz w:val="20"/>
          <w:szCs w:val="20"/>
          <w:color w:val="auto"/>
        </w:rPr>
      </w:pPr>
      <w:r>
        <w:rPr>
          <w:rFonts w:ascii="Arial" w:cs="Arial" w:eastAsia="Arial" w:hAnsi="Arial"/>
          <w:sz w:val="18"/>
          <w:szCs w:val="18"/>
          <w:b w:val="1"/>
          <w:bCs w:val="1"/>
          <w:color w:val="auto"/>
        </w:rPr>
        <w:t>Limitations on Effectiveness of Disclosure Controls and Procedures and Internal Controls over Financial Reporting</w:t>
      </w:r>
    </w:p>
    <w:p>
      <w:pPr>
        <w:spacing w:after="0" w:line="5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0" w:name="page71"/>
    <w:bookmarkEnd w:id="7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121"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WM Technology, Inc. is one of the oldest and largest marketplace and technology solutions providers exclusively servicing the cannabis industry, primarily consumers, retailers and brands in the United States state-legal and Canadian cannabis markets. Our business consists of our commerce-driven marketplace, Weedmaps, and our monthly subscription software offering, WM Business. Our Weedmaps marketplace provides information on the cannabis plant and the industry and advocates for legalization. The Weedmaps marketplace provides consumers with information regarding cannabis retailers and brands, as well as the strain, pricing, and other information regarding locally available cannabis products, through our website and mobile apps, permitting product discovery, access to deals and discounts, and reservation of products for pickup by consumers or delivery to consumers by participating retailers. As of December 31, 2021, we had over 15 million monthly active users on our marketplace. We believe the size of our user base and the frequency of consumption of cannabis of that user base is highly valuable to our clients and results in clients paying for our services. WM Business, our subscription package, is a comprehensive set of eCommerce and compliance software solutions catered towards cannabis retailers, delivery services and brands where clients receive access to a standard listing page and our suite of software solutions, including WM Orders, WM Dispatch, WM Store, WM Dashboard, our integrations and API platform, as well as access to our WM Retail and WM Exchange products, where available. We charge a monthly fee to clients for access to our WM Business subscription package and then offer other add-on products for additional fees, including our featured listings and our Sprout (customer relationship management) and Cannveya (delivery and logistics software) solutions. We sell our WM Business offering in the United States, currently offer some of our WM Business solutions in Canada and have a limited number of non-monetized listings in several other countries, including Austria, Germany, the Netherlands, Spain and Switzerland. We operate in the United States, Canada, and other foreign jurisdictions where medical and/or adult cannabis use is legal under state or applicable national law. We are headquartered in Irvine, California.</w:t>
      </w:r>
    </w:p>
    <w:p>
      <w:pPr>
        <w:spacing w:after="0" w:line="3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WM Technology’s Product and Solution Ecosystem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180340</wp:posOffset>
            </wp:positionV>
            <wp:extent cx="4688840" cy="24599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688840"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were founded in 2008 and operate a leading online marketplace with a comprehensive set of eCommerce and compliance software solutions sold to retailers and brands in the U.S. state-legal and Canadian cannabis markets. The Company’s mission is to power a transparent and inclusive global cannabis economy. We address the challenges facing both consumers seeking to understand cannabis products and businesses who serve cannabis users in a legally compliant fashion with our Weedmaps marketplace and WM Business software solutions. Over the past 13 years, we have grown the Weedmaps marketplace to become a premier destination for cannabis consumers to discover and browse information regarding cannabis and cannabis products, permitting product discovery and order-ahead for pickup or delivery by participating retailers. WM Business is a set of eCommerce-enablement tools designed to help our retailer and brand clients get the best out of their Weedmaps experience, while creating labor efficiency and managing their compliance needs.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1" w:name="page72"/>
    <w:bookmarkEnd w:id="7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7"/>
          <w:szCs w:val="17"/>
          <w:color w:val="auto"/>
        </w:rPr>
        <w:t>The state-legal cannabis industry in the United States has grown consistently in recent years and is expected to double between 2020 and 2025 (according to Arcview Market Research/BDS Analytics</w:t>
      </w:r>
      <w:r>
        <w:rPr>
          <w:rFonts w:ascii="Arial" w:cs="Arial" w:eastAsia="Arial" w:hAnsi="Arial"/>
          <w:sz w:val="28"/>
          <w:szCs w:val="28"/>
          <w:color w:val="auto"/>
          <w:vertAlign w:val="superscript"/>
        </w:rPr>
        <w:t>12</w:t>
      </w:r>
      <w:r>
        <w:rPr>
          <w:rFonts w:ascii="Arial" w:cs="Arial" w:eastAsia="Arial" w:hAnsi="Arial"/>
          <w:sz w:val="17"/>
          <w:szCs w:val="17"/>
          <w:color w:val="auto"/>
        </w:rPr>
        <w:t>), with 91% of U.S. adults now in support having legal access to medical and/or adult-use cannabis. Despite these expectations of growth, the regulated cannabis market in the United States is still nascent and fragmented, with significant challenges facing both consumers seeking to understand cannabis and the cannabis industry and businesses seeking to effectively market to cannabis consumers as well as compliantly manage their operations. Cannabis users within the United States represent less than 13% of the adult population as of December 31, 2020, with those consuming at least one time a month representing an even smaller percentage, according to the National Survey on Drug Use and Health estimates. As of December 31, 2021, there were approximately 11,700 retail licenses across U.S. and Canadian markets with medical and/or adult-use regulations in place, which is an effective retail density of approximately one retail license per 22,000 residents across these markets in the aggregate, based on data available from individual governmental cannabis license databases, U.S. Census Bureau estimates and Statistics Canada for both licenses and population.</w:t>
      </w:r>
    </w:p>
    <w:p>
      <w:pPr>
        <w:spacing w:after="0" w:line="82"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In addition to these nascent consumer and business dynamics, cannabis itself is a highly complex, highly regulated and non-shelf stable consumer good spanning hundreds of strains and a growing set of form factors available for consumption across flower, pre-rolls, vapes, edibles, tinctures, and concentrates. Despite these complexities, consumers seeking information regarding cannabis still expect the same ease of product discovery and price comparison across multiple channels, and transparency of information from cannabis businesses that they expect from other retailers or brands. These consumer expectations, coupled with the lack of normalized product information in the industry in addition to the unique attributes of cannabis as a nascent and highly regulated consumer product, create significant challenges for retailers and brands who serve cannabis users. Retailers and brands must meet these consumer expectations and provide omni-channel engagement opportunities with the same level of (i) service, (ii) richness of product information, (iii) ability to compare prices, and (iv) ease of product and brand discovery that consumers would receive when researching other consumer product categories. Further, brands are limited in their ability to market and sell directly and need to find ways to communicate to consumers. At the same time, these businesses must comply with a rapidly evolving legal and regulatory landscape that differs by state and across cities and counties within each state, creating challenges in the ability to scale in a capital-efficient way.</w:t>
      </w:r>
    </w:p>
    <w:p>
      <w:pPr>
        <w:spacing w:after="0" w:line="63" w:lineRule="exact"/>
        <w:rPr>
          <w:sz w:val="20"/>
          <w:szCs w:val="20"/>
          <w:color w:val="auto"/>
        </w:rPr>
      </w:pPr>
    </w:p>
    <w:p>
      <w:pPr>
        <w:jc w:val="both"/>
        <w:ind w:left="300" w:right="299" w:firstLine="360"/>
        <w:spacing w:after="0" w:line="282" w:lineRule="auto"/>
        <w:rPr>
          <w:sz w:val="20"/>
          <w:szCs w:val="20"/>
          <w:color w:val="auto"/>
        </w:rPr>
      </w:pPr>
      <w:r>
        <w:rPr>
          <w:rFonts w:ascii="Arial" w:cs="Arial" w:eastAsia="Arial" w:hAnsi="Arial"/>
          <w:sz w:val="16"/>
          <w:szCs w:val="16"/>
          <w:color w:val="auto"/>
        </w:rPr>
        <w:t>Although we began as a marketplace, over the past few years, we have developed and launched several SaaS solutions for our retailer and brand clients. These solutions now comprise an integrated platform for retailers and brands, which we call “WM Business”. WM Business is a set of e-commerce enablement tools designed to help our retailer and brand clients get the best out of their Weedmaps experience, while creating labor efficiency and managing their compliance needs, which can include, depending on each state’s regulations, inventory management, separating sales to medical versus recreational users, product dollar limits in delivery vehicles and GPS tracking of delivery fleet. We offer this functionality through a packaged software solution that includes (based on availability within any given market and state-level regulations) (i) a listing page with product menu on weedmaps.com, our iOS Weedmaps mobile application and our Android Weedmaps mobile application, which allows clients to disclose their license information, hours of operation, contact information, discount policies, and other information that may be required under applicable state law, (ii) the ability to receive reservations of products for pickup by consumers or delivery to consumers (either on weedmaps.com, on a white labeled WM Store site or third-party sites through our orders and menu embed product), thereby allowing inventory forecasting and helping retailers ensure sufficient staff are present to confirm product availability (and complete orders and process payments – both of which only occur outside the Weedmaps marketplace), (iii) logistics software such as driver apps and fleet-tracking tools to permit legal compliance with state delivery regulations, (iv) customer relationship management software, (v) access to our application program interface (“API”), and integrations platform for real-time connectivity between WM Business and to a point-of-sale system (“POS”) to streamline workflows, and promoting compliance through accuracy</w:t>
      </w:r>
    </w:p>
    <w:p>
      <w:pPr>
        <w:spacing w:after="0" w:line="11" w:lineRule="exact"/>
        <w:rPr>
          <w:sz w:val="20"/>
          <w:szCs w:val="20"/>
          <w:color w:val="auto"/>
        </w:rPr>
      </w:pPr>
    </w:p>
    <w:p>
      <w:pPr>
        <w:jc w:val="both"/>
        <w:ind w:left="300" w:right="299" w:hanging="8"/>
        <w:spacing w:after="0" w:line="253" w:lineRule="auto"/>
        <w:tabs>
          <w:tab w:leader="none" w:pos="617"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analytics dashboards, (vii) a WM-owned point-of-sale system (where available) and (viii) access to our online wholesale exchange marketplace to browse brand catalogs and efficiently identify brands to obtain inventory from (and review license information and certificates of analysis, among other compliance features). We also offer a growing set of offerings for brands to reach consumers and retailers as well as manage their brand catalog information.</w:t>
      </w:r>
    </w:p>
    <w:p>
      <w:pPr>
        <w:spacing w:after="0" w:line="83"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Our WM Business solution is sold as a monthly subscription package. We also offer several upsell and add-on products that allow businesses to have more prominent placement on the Weedmaps marketplace either through featured listings, display ads or promoted deal offerings. Additionally, we have CRM, logistics and fulfillment</w:t>
      </w:r>
    </w:p>
    <w:p>
      <w:pPr>
        <w:ind w:left="460" w:hanging="168"/>
        <w:spacing w:after="0" w:line="233" w:lineRule="auto"/>
        <w:tabs>
          <w:tab w:leader="none" w:pos="460" w:val="left"/>
        </w:tabs>
        <w:numPr>
          <w:ilvl w:val="0"/>
          <w:numId w:val="29"/>
        </w:numPr>
        <w:rPr>
          <w:rFonts w:ascii="Arial" w:cs="Arial" w:eastAsia="Arial" w:hAnsi="Arial"/>
          <w:sz w:val="22"/>
          <w:szCs w:val="22"/>
          <w:color w:val="auto"/>
          <w:vertAlign w:val="superscript"/>
        </w:rPr>
      </w:pPr>
      <w:r>
        <w:rPr>
          <w:rFonts w:ascii="Arial" w:cs="Arial" w:eastAsia="Arial" w:hAnsi="Arial"/>
          <w:sz w:val="14"/>
          <w:szCs w:val="14"/>
          <w:color w:val="auto"/>
        </w:rPr>
        <w:t>Arcview Market Research/BDS Analytics - The State of Legal Cannabis Markets, 8th Edition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2" w:name="page73"/>
    <w:bookmarkEnd w:id="7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software and driver app solutions available as add-on solutions. We sell our WM Business offerings in the United States, currently sell a subset of them in Canada, and we have a limited number of non-monetized listings in several other countries including Austria, Germany, the Netherlands, Spain, and Switzerland. As of December 31, 2021, we actively operated in over 20 U.S. states and territories that have adult-use and/or medical-use regulations in place. We define actively operated markets as those U.S. states or territories with greater than $1,000 monthly recurring revenue.</w:t>
      </w:r>
    </w:p>
    <w:p>
      <w:pPr>
        <w:spacing w:after="0" w:line="84"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As we continue to expand the presence and increase the number of consumers on the Weedmaps marketplace and broaden our SaaS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solutions, we plan to continue making investments in raising brand awareness, increasing penetration within existing markets and expanding to new markets, as well as continuing to develop and monetize new software solutions to extend the functionality of our platform, deepening the consumer experience with our platform, and providing a high level of support to our business clients.</w:t>
      </w:r>
    </w:p>
    <w:p>
      <w:pPr>
        <w:spacing w:after="0" w:line="7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While the cannabis industry is still in the early innings of what could be decades of growth, we have established a leading position and a recognized brand given our 13-year operating history. Over the coming years, we plan on expanding our solutions and service offerings.</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Challenges in Our End-Markets</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Despite cannabis being a large and growing sector in the U.S., we believe that cannabis is unlike many other consumer goods and retail categories for a number of reasons:</w:t>
      </w:r>
    </w:p>
    <w:p>
      <w:pPr>
        <w:spacing w:after="0" w:line="62" w:lineRule="exact"/>
        <w:rPr>
          <w:sz w:val="20"/>
          <w:szCs w:val="20"/>
          <w:color w:val="auto"/>
        </w:rPr>
      </w:pPr>
    </w:p>
    <w:p>
      <w:pPr>
        <w:ind w:left="1000" w:hanging="34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Cannabis as a regulated industry is still in a nascent stage of development.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Cannabis users are less than 13% of the U.S. adult population today without a “typical” user profile.</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Regulations governing cannabis are complex and vary state-by-state and by city and county within states.</w:t>
      </w:r>
    </w:p>
    <w:p>
      <w:pPr>
        <w:spacing w:after="0" w:line="140"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Cannabis has wide variance in characteristics that make it complex for consumers to make an informed purchase decision.</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Cannabis is a perishable good with a lack of product homogeneity.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Brands are only in the early innings of establishing a consumer presence.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Competition with the illicit market is still an issue, particularly in states like California.</w:t>
      </w:r>
    </w:p>
    <w:p>
      <w:pPr>
        <w:spacing w:after="0" w:line="3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Our solutions are designed to address these challenges facing cannabis consumers and businesses. The Weedmaps marketplace allows cannabis users to search for and browse cannabis products from retailers and brands, and ultimately reserve products from certain local retailers, in a manner similar to other technology platforms with breadth and depth of product, brand, and retailer selection (although confirmation of orders and processing of payments only occur outside the Weedmaps marketplace through third-party service providers directly by our clients). With the development of our WM Business SaaS solution, we offer an end-to-end platform for licensed cannabis retailers to comply with state law. We sell a monthly subscription offering as well as upsell and add-on offerings to licensed clients, which include both dispensaries, delivery services and brands. Our current solutions include:</w:t>
      </w:r>
    </w:p>
    <w:p>
      <w:pPr>
        <w:spacing w:after="0" w:line="88" w:lineRule="exact"/>
        <w:rPr>
          <w:sz w:val="20"/>
          <w:szCs w:val="20"/>
          <w:color w:val="auto"/>
        </w:rPr>
      </w:pPr>
    </w:p>
    <w:p>
      <w:pPr>
        <w:ind w:left="1000" w:right="319" w:hanging="348"/>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WM Business subscription offering. </w:t>
      </w:r>
      <w:r>
        <w:rPr>
          <w:rFonts w:ascii="Arial" w:cs="Arial" w:eastAsia="Arial" w:hAnsi="Arial"/>
          <w:sz w:val="18"/>
          <w:szCs w:val="18"/>
          <w:color w:val="auto"/>
        </w:rPr>
        <w:t>Our WM Business monthly subscription package consists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solutions, the availability of which depends on the client’s market:</w:t>
      </w:r>
    </w:p>
    <w:p>
      <w:pPr>
        <w:spacing w:after="0" w:line="62" w:lineRule="exact"/>
        <w:rPr>
          <w:rFonts w:ascii="Arial" w:cs="Arial" w:eastAsia="Arial" w:hAnsi="Arial"/>
          <w:sz w:val="18"/>
          <w:szCs w:val="18"/>
          <w:color w:val="auto"/>
        </w:rPr>
      </w:pPr>
    </w:p>
    <w:p>
      <w:pPr>
        <w:jc w:val="both"/>
        <w:ind w:left="1360" w:right="319" w:hanging="348"/>
        <w:spacing w:after="0" w:line="238" w:lineRule="auto"/>
        <w:tabs>
          <w:tab w:leader="none" w:pos="1360" w:val="left"/>
        </w:tabs>
        <w:numPr>
          <w:ilvl w:val="1"/>
          <w:numId w:val="31"/>
        </w:numPr>
        <w:rPr>
          <w:rFonts w:ascii="Arial" w:cs="Arial" w:eastAsia="Arial" w:hAnsi="Arial"/>
          <w:sz w:val="22"/>
          <w:szCs w:val="22"/>
          <w:color w:val="auto"/>
          <w:vertAlign w:val="superscript"/>
        </w:rPr>
      </w:pPr>
      <w:r>
        <w:rPr>
          <w:rFonts w:ascii="Arial" w:cs="Arial" w:eastAsia="Arial" w:hAnsi="Arial"/>
          <w:sz w:val="18"/>
          <w:szCs w:val="18"/>
          <w:i w:val="1"/>
          <w:iCs w:val="1"/>
          <w:color w:val="auto"/>
        </w:rPr>
        <w:t>WM Pages</w:t>
      </w:r>
      <w:r>
        <w:rPr>
          <w:rFonts w:ascii="Arial" w:cs="Arial" w:eastAsia="Arial" w:hAnsi="Arial"/>
          <w:sz w:val="18"/>
          <w:szCs w:val="18"/>
          <w:color w:val="auto"/>
        </w:rPr>
        <w:t>. Listing page with product menu, which allows clients to disclose their license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hours of operation, contact information, discount policies, and other information that may be required under applicable state law.</w:t>
      </w:r>
    </w:p>
    <w:p>
      <w:pPr>
        <w:spacing w:after="0" w:line="94" w:lineRule="exact"/>
        <w:rPr>
          <w:rFonts w:ascii="Arial" w:cs="Arial" w:eastAsia="Arial" w:hAnsi="Arial"/>
          <w:sz w:val="22"/>
          <w:szCs w:val="22"/>
          <w:color w:val="auto"/>
          <w:vertAlign w:val="superscript"/>
        </w:rPr>
      </w:pPr>
    </w:p>
    <w:p>
      <w:pPr>
        <w:jc w:val="both"/>
        <w:ind w:left="1360" w:right="319" w:hanging="348"/>
        <w:spacing w:after="0" w:line="241" w:lineRule="auto"/>
        <w:tabs>
          <w:tab w:leader="none" w:pos="1360" w:val="left"/>
        </w:tabs>
        <w:numPr>
          <w:ilvl w:val="1"/>
          <w:numId w:val="31"/>
        </w:numPr>
        <w:rPr>
          <w:rFonts w:ascii="Arial" w:cs="Arial" w:eastAsia="Arial" w:hAnsi="Arial"/>
          <w:sz w:val="22"/>
          <w:szCs w:val="22"/>
          <w:color w:val="auto"/>
          <w:vertAlign w:val="superscript"/>
        </w:rPr>
      </w:pPr>
      <w:r>
        <w:rPr>
          <w:rFonts w:ascii="Arial" w:cs="Arial" w:eastAsia="Arial" w:hAnsi="Arial"/>
          <w:sz w:val="18"/>
          <w:szCs w:val="18"/>
          <w:i w:val="1"/>
          <w:iCs w:val="1"/>
          <w:color w:val="auto"/>
        </w:rPr>
        <w:t xml:space="preserve">WM Orders. </w:t>
      </w:r>
      <w:r>
        <w:rPr>
          <w:rFonts w:ascii="Arial" w:cs="Arial" w:eastAsia="Arial" w:hAnsi="Arial"/>
          <w:sz w:val="18"/>
          <w:szCs w:val="18"/>
          <w:color w:val="auto"/>
        </w:rPr>
        <w:t>Transmission of requests for reservation of products for pick-up by consumers or</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to consumers, allowing retailers to confirm product availability (and to complete orders and process payments - both of which only occur outside the Weedmaps marketplace). Weedmaps serves only as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3" w:name="page74"/>
    <w:bookmarkEnd w:id="7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380" w:right="299"/>
        <w:spacing w:after="0" w:line="259" w:lineRule="auto"/>
        <w:rPr>
          <w:sz w:val="20"/>
          <w:szCs w:val="20"/>
          <w:color w:val="auto"/>
        </w:rPr>
      </w:pPr>
      <w:r>
        <w:rPr>
          <w:rFonts w:ascii="Arial" w:cs="Arial" w:eastAsia="Arial" w:hAnsi="Arial"/>
          <w:sz w:val="18"/>
          <w:szCs w:val="18"/>
          <w:color w:val="auto"/>
        </w:rPr>
        <w:t>a portal, passing a consumer’s inquiry to the dispensary.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79" w:lineRule="exact"/>
        <w:rPr>
          <w:sz w:val="20"/>
          <w:szCs w:val="20"/>
          <w:color w:val="auto"/>
        </w:rPr>
      </w:pPr>
    </w:p>
    <w:p>
      <w:pPr>
        <w:jc w:val="both"/>
        <w:ind w:left="1360" w:right="319" w:hanging="348"/>
        <w:spacing w:after="0" w:line="241" w:lineRule="auto"/>
        <w:tabs>
          <w:tab w:leader="none" w:pos="1360" w:val="left"/>
        </w:tabs>
        <w:numPr>
          <w:ilvl w:val="1"/>
          <w:numId w:val="32"/>
        </w:numPr>
        <w:rPr>
          <w:rFonts w:ascii="Arial" w:cs="Arial" w:eastAsia="Arial" w:hAnsi="Arial"/>
          <w:sz w:val="22"/>
          <w:szCs w:val="22"/>
          <w:color w:val="auto"/>
          <w:vertAlign w:val="superscript"/>
        </w:rPr>
      </w:pPr>
      <w:r>
        <w:rPr>
          <w:rFonts w:ascii="Arial" w:cs="Arial" w:eastAsia="Arial" w:hAnsi="Arial"/>
          <w:sz w:val="18"/>
          <w:szCs w:val="18"/>
          <w:i w:val="1"/>
          <w:iCs w:val="1"/>
          <w:color w:val="auto"/>
        </w:rPr>
        <w:t xml:space="preserve">WM Dispatch. </w:t>
      </w:r>
      <w:r>
        <w:rPr>
          <w:rFonts w:ascii="Arial" w:cs="Arial" w:eastAsia="Arial" w:hAnsi="Arial"/>
          <w:sz w:val="18"/>
          <w:szCs w:val="18"/>
          <w:color w:val="auto"/>
        </w:rPr>
        <w:t>Together with Cannveya (described below), WM Dispatch provides logistics and</w:t>
      </w:r>
      <w:r>
        <w:rPr>
          <w:rFonts w:ascii="Arial" w:cs="Arial" w:eastAsia="Arial" w:hAnsi="Arial"/>
          <w:sz w:val="18"/>
          <w:szCs w:val="18"/>
          <w:i w:val="1"/>
          <w:iCs w:val="1"/>
          <w:color w:val="auto"/>
        </w:rPr>
        <w:t xml:space="preserve"> </w:t>
      </w:r>
      <w:r>
        <w:rPr>
          <w:rFonts w:ascii="Arial" w:cs="Arial" w:eastAsia="Arial" w:hAnsi="Arial"/>
          <w:sz w:val="18"/>
          <w:szCs w:val="18"/>
          <w:color w:val="auto"/>
        </w:rPr>
        <w:t>fulfillment software and driver apps, which provide tools that can be used for legally compliant delivery and tracking of product reserved online through WM Orders and real-time routing and tracking of the state-licensed delivery fleet.</w:t>
      </w:r>
    </w:p>
    <w:p>
      <w:pPr>
        <w:spacing w:after="0" w:line="94" w:lineRule="exact"/>
        <w:rPr>
          <w:rFonts w:ascii="Arial" w:cs="Arial" w:eastAsia="Arial" w:hAnsi="Arial"/>
          <w:sz w:val="22"/>
          <w:szCs w:val="22"/>
          <w:color w:val="auto"/>
          <w:vertAlign w:val="superscript"/>
        </w:rPr>
      </w:pPr>
    </w:p>
    <w:p>
      <w:pPr>
        <w:ind w:left="1360" w:right="319" w:hanging="348"/>
        <w:spacing w:after="0" w:line="232" w:lineRule="auto"/>
        <w:tabs>
          <w:tab w:leader="none" w:pos="1360" w:val="left"/>
        </w:tabs>
        <w:numPr>
          <w:ilvl w:val="1"/>
          <w:numId w:val="32"/>
        </w:numPr>
        <w:rPr>
          <w:rFonts w:ascii="Arial" w:cs="Arial" w:eastAsia="Arial" w:hAnsi="Arial"/>
          <w:sz w:val="22"/>
          <w:szCs w:val="22"/>
          <w:color w:val="auto"/>
          <w:vertAlign w:val="superscript"/>
        </w:rPr>
      </w:pPr>
      <w:r>
        <w:rPr>
          <w:rFonts w:ascii="Arial" w:cs="Arial" w:eastAsia="Arial" w:hAnsi="Arial"/>
          <w:sz w:val="18"/>
          <w:szCs w:val="18"/>
          <w:i w:val="1"/>
          <w:iCs w:val="1"/>
          <w:color w:val="auto"/>
        </w:rPr>
        <w:t xml:space="preserve">WM Dashboard. </w:t>
      </w:r>
      <w:r>
        <w:rPr>
          <w:rFonts w:ascii="Arial" w:cs="Arial" w:eastAsia="Arial" w:hAnsi="Arial"/>
          <w:sz w:val="18"/>
          <w:szCs w:val="18"/>
          <w:color w:val="auto"/>
        </w:rPr>
        <w:t>Insights dashboard, which provides data and analytics on user engagement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traffic trends to a client’s listing page.</w:t>
      </w:r>
    </w:p>
    <w:p>
      <w:pPr>
        <w:spacing w:after="0" w:line="95" w:lineRule="exact"/>
        <w:rPr>
          <w:rFonts w:ascii="Arial" w:cs="Arial" w:eastAsia="Arial" w:hAnsi="Arial"/>
          <w:sz w:val="22"/>
          <w:szCs w:val="22"/>
          <w:color w:val="auto"/>
          <w:vertAlign w:val="superscript"/>
        </w:rPr>
      </w:pPr>
    </w:p>
    <w:p>
      <w:pPr>
        <w:jc w:val="both"/>
        <w:ind w:left="1360" w:right="319" w:hanging="348"/>
        <w:spacing w:after="0" w:line="245" w:lineRule="auto"/>
        <w:tabs>
          <w:tab w:leader="none" w:pos="1360" w:val="left"/>
        </w:tabs>
        <w:numPr>
          <w:ilvl w:val="1"/>
          <w:numId w:val="32"/>
        </w:numPr>
        <w:rPr>
          <w:rFonts w:ascii="Arial" w:cs="Arial" w:eastAsia="Arial" w:hAnsi="Arial"/>
          <w:sz w:val="22"/>
          <w:szCs w:val="22"/>
          <w:color w:val="auto"/>
          <w:vertAlign w:val="superscript"/>
        </w:rPr>
      </w:pPr>
      <w:r>
        <w:rPr>
          <w:rFonts w:ascii="Arial" w:cs="Arial" w:eastAsia="Arial" w:hAnsi="Arial"/>
          <w:sz w:val="18"/>
          <w:szCs w:val="18"/>
          <w:i w:val="1"/>
          <w:iCs w:val="1"/>
          <w:color w:val="auto"/>
        </w:rPr>
        <w:t xml:space="preserve">WM Store. </w:t>
      </w:r>
      <w:r>
        <w:rPr>
          <w:rFonts w:ascii="Arial" w:cs="Arial" w:eastAsia="Arial" w:hAnsi="Arial"/>
          <w:sz w:val="18"/>
          <w:szCs w:val="18"/>
          <w:color w:val="auto"/>
        </w:rPr>
        <w:t>Orders and menu embed, which allows retailers and brands to import their Weedmaps</w:t>
      </w:r>
      <w:r>
        <w:rPr>
          <w:rFonts w:ascii="Arial" w:cs="Arial" w:eastAsia="Arial" w:hAnsi="Arial"/>
          <w:sz w:val="18"/>
          <w:szCs w:val="18"/>
          <w:i w:val="1"/>
          <w:iCs w:val="1"/>
          <w:color w:val="auto"/>
        </w:rPr>
        <w:t xml:space="preserve"> </w:t>
      </w:r>
      <w:r>
        <w:rPr>
          <w:rFonts w:ascii="Arial" w:cs="Arial" w:eastAsia="Arial" w:hAnsi="Arial"/>
          <w:sz w:val="18"/>
          <w:szCs w:val="18"/>
          <w:color w:val="auto"/>
        </w:rPr>
        <w:t>listing menu or product reservation functionality to their own white-labeled WM Store site or separately owned third party sites in a labor-efficient way to manage their online presence, inventory, and compliance workflows both on weedmaps.com and their separately branded sites. While WM Store permits consumers to reserve products, confirmation of product availability, final order entry, order fulfillment and processing of payments all take place outside of the Weedmaps marketplace.</w:t>
      </w:r>
    </w:p>
    <w:p>
      <w:pPr>
        <w:spacing w:after="0" w:line="93" w:lineRule="exact"/>
        <w:rPr>
          <w:rFonts w:ascii="Arial" w:cs="Arial" w:eastAsia="Arial" w:hAnsi="Arial"/>
          <w:sz w:val="22"/>
          <w:szCs w:val="22"/>
          <w:color w:val="auto"/>
          <w:vertAlign w:val="superscript"/>
        </w:rPr>
      </w:pPr>
    </w:p>
    <w:p>
      <w:pPr>
        <w:jc w:val="both"/>
        <w:ind w:left="1360" w:right="319" w:hanging="348"/>
        <w:spacing w:after="0" w:line="241" w:lineRule="auto"/>
        <w:tabs>
          <w:tab w:leader="none" w:pos="1360" w:val="left"/>
        </w:tabs>
        <w:numPr>
          <w:ilvl w:val="1"/>
          <w:numId w:val="32"/>
        </w:numPr>
        <w:rPr>
          <w:rFonts w:ascii="Arial" w:cs="Arial" w:eastAsia="Arial" w:hAnsi="Arial"/>
          <w:sz w:val="22"/>
          <w:szCs w:val="22"/>
          <w:color w:val="auto"/>
          <w:vertAlign w:val="superscript"/>
        </w:rPr>
      </w:pPr>
      <w:r>
        <w:rPr>
          <w:rFonts w:ascii="Arial" w:cs="Arial" w:eastAsia="Arial" w:hAnsi="Arial"/>
          <w:sz w:val="18"/>
          <w:szCs w:val="18"/>
          <w:i w:val="1"/>
          <w:iCs w:val="1"/>
          <w:color w:val="auto"/>
        </w:rPr>
        <w:t xml:space="preserve">Integrations and APIs. </w:t>
      </w:r>
      <w:r>
        <w:rPr>
          <w:rFonts w:ascii="Arial" w:cs="Arial" w:eastAsia="Arial" w:hAnsi="Arial"/>
          <w:sz w:val="18"/>
          <w:szCs w:val="18"/>
          <w:color w:val="auto"/>
        </w:rPr>
        <w:t>A platform of integrations and API tools or bespoke solutioning to integrate a</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into the WM Technology ecosystem. This creates business efficiencies and improves the accuracy and timeliness of information across Weedmaps, creating a more positive experience for consumers and businesses.</w:t>
      </w:r>
    </w:p>
    <w:p>
      <w:pPr>
        <w:spacing w:after="0" w:line="94" w:lineRule="exact"/>
        <w:rPr>
          <w:rFonts w:ascii="Arial" w:cs="Arial" w:eastAsia="Arial" w:hAnsi="Arial"/>
          <w:sz w:val="22"/>
          <w:szCs w:val="22"/>
          <w:color w:val="auto"/>
          <w:vertAlign w:val="superscript"/>
        </w:rPr>
      </w:pPr>
    </w:p>
    <w:p>
      <w:pPr>
        <w:jc w:val="both"/>
        <w:ind w:left="1360" w:right="319" w:hanging="348"/>
        <w:spacing w:after="0" w:line="262" w:lineRule="auto"/>
        <w:tabs>
          <w:tab w:leader="none" w:pos="1360" w:val="left"/>
        </w:tabs>
        <w:numPr>
          <w:ilvl w:val="1"/>
          <w:numId w:val="32"/>
        </w:numPr>
        <w:rPr>
          <w:rFonts w:ascii="Arial" w:cs="Arial" w:eastAsia="Arial" w:hAnsi="Arial"/>
          <w:sz w:val="21"/>
          <w:szCs w:val="21"/>
          <w:color w:val="auto"/>
          <w:vertAlign w:val="superscript"/>
        </w:rPr>
      </w:pPr>
      <w:r>
        <w:rPr>
          <w:rFonts w:ascii="Arial" w:cs="Arial" w:eastAsia="Arial" w:hAnsi="Arial"/>
          <w:sz w:val="17"/>
          <w:szCs w:val="17"/>
          <w:color w:val="auto"/>
        </w:rPr>
        <w:t>In a limited number of U.S. markets, we offer WM Retail, our retail POS system, which provides inventory management and track-and-trace compliance reporting functionality along with built-in integrations with the listing page product menu and digital product reservation functionality to stream-line workflows, and WM Exchange, our wholesale online exchange, which allows retailers to browse brand catalogs and identify brands to obtain inventory from and brands to manage their customer relationships and wholesale operations.. We no longer plan to expand the availability of these products into additional states, but instead plan to focus POS-related and B2B-related efforts on our API integrations with third-party POS providers, which we believe make the Weedmaps marketplace more attractive for retailers who use a third party POS.</w:t>
      </w:r>
    </w:p>
    <w:p>
      <w:pPr>
        <w:spacing w:after="0" w:line="81" w:lineRule="exact"/>
        <w:rPr>
          <w:rFonts w:ascii="Arial" w:cs="Arial" w:eastAsia="Arial" w:hAnsi="Arial"/>
          <w:sz w:val="21"/>
          <w:szCs w:val="21"/>
          <w:color w:val="auto"/>
          <w:vertAlign w:val="superscript"/>
        </w:rPr>
      </w:pPr>
    </w:p>
    <w:p>
      <w:pPr>
        <w:ind w:left="1000" w:right="319" w:hanging="348"/>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Additional offerings for subscription clients. </w:t>
      </w:r>
      <w:r>
        <w:rPr>
          <w:rFonts w:ascii="Arial" w:cs="Arial" w:eastAsia="Arial" w:hAnsi="Arial"/>
          <w:sz w:val="18"/>
          <w:szCs w:val="18"/>
          <w:color w:val="auto"/>
        </w:rPr>
        <w:t>We offer several add-on and upsell solutions only to paying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subscription clients, including:</w:t>
      </w:r>
    </w:p>
    <w:p>
      <w:pPr>
        <w:sectPr>
          <w:pgSz w:w="11900" w:h="16838" w:orient="portrait"/>
          <w:cols w:equalWidth="0" w:num="1">
            <w:col w:w="9019"/>
          </w:cols>
          <w:pgMar w:left="1440" w:top="265" w:right="1440" w:bottom="1440" w:gutter="0" w:footer="0" w:header="0"/>
        </w:sectPr>
      </w:pPr>
    </w:p>
    <w:p>
      <w:pPr>
        <w:spacing w:after="0" w:line="67"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21"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Featured listings on our weedmaps.com marketplace; and</w:t>
      </w:r>
    </w:p>
    <w:p>
      <w:pPr>
        <w:spacing w:after="0" w:line="117" w:lineRule="exact"/>
        <w:rPr>
          <w:sz w:val="20"/>
          <w:szCs w:val="20"/>
          <w:color w:val="auto"/>
        </w:rPr>
      </w:pPr>
    </w:p>
    <w:p>
      <w:pPr>
        <w:ind w:right="319"/>
        <w:spacing w:after="0" w:line="277" w:lineRule="auto"/>
        <w:rPr>
          <w:sz w:val="20"/>
          <w:szCs w:val="20"/>
          <w:color w:val="auto"/>
        </w:rPr>
      </w:pPr>
      <w:r>
        <w:rPr>
          <w:rFonts w:ascii="Arial" w:cs="Arial" w:eastAsia="Arial" w:hAnsi="Arial"/>
          <w:sz w:val="18"/>
          <w:szCs w:val="18"/>
          <w:color w:val="auto"/>
        </w:rPr>
        <w:t>Promoted deals, which allows retailers to showcase discounts (as is required by applicable law in some jurisdictions) and promotions on products to assist price-conscious consumers.</w:t>
      </w:r>
    </w:p>
    <w:p>
      <w:pPr>
        <w:spacing w:after="0" w:line="62" w:lineRule="exact"/>
        <w:rPr>
          <w:sz w:val="20"/>
          <w:szCs w:val="20"/>
          <w:color w:val="auto"/>
        </w:rPr>
      </w:pPr>
    </w:p>
    <w:p>
      <w:pPr>
        <w:sectPr>
          <w:pgSz w:w="11900" w:h="16838" w:orient="portrait"/>
          <w:cols w:equalWidth="0" w:num="2">
            <w:col w:w="1080" w:space="280"/>
            <w:col w:w="7659"/>
          </w:cols>
          <w:pgMar w:left="1440" w:top="265" w:right="1440" w:bottom="1440" w:gutter="0" w:footer="0" w:header="0"/>
          <w:type w:val="continuous"/>
        </w:sectPr>
      </w:pPr>
    </w:p>
    <w:p>
      <w:pPr>
        <w:ind w:left="1000" w:hanging="348"/>
        <w:spacing w:after="0"/>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Additional a la carte products.</w:t>
      </w:r>
    </w:p>
    <w:p>
      <w:pPr>
        <w:sectPr>
          <w:pgSz w:w="11900" w:h="16838" w:orient="portrait"/>
          <w:cols w:equalWidth="0" w:num="1">
            <w:col w:w="9019"/>
          </w:cols>
          <w:pgMar w:left="1440" w:top="265" w:right="1440" w:bottom="1440" w:gutter="0" w:footer="0" w:header="0"/>
          <w:type w:val="continuous"/>
        </w:sectPr>
      </w:pPr>
    </w:p>
    <w:p>
      <w:pPr>
        <w:spacing w:after="0" w:line="145"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both"/>
        <w:ind w:right="319"/>
        <w:spacing w:after="0" w:line="255" w:lineRule="auto"/>
        <w:rPr>
          <w:sz w:val="20"/>
          <w:szCs w:val="20"/>
          <w:color w:val="auto"/>
        </w:rPr>
      </w:pPr>
      <w:r>
        <w:rPr>
          <w:rFonts w:ascii="Arial" w:cs="Arial" w:eastAsia="Arial" w:hAnsi="Arial"/>
          <w:sz w:val="18"/>
          <w:szCs w:val="18"/>
          <w:i w:val="1"/>
          <w:iCs w:val="1"/>
          <w:color w:val="auto"/>
        </w:rPr>
        <w:t xml:space="preserve">Advertising solutions. </w:t>
      </w:r>
      <w:r>
        <w:rPr>
          <w:rFonts w:ascii="Arial" w:cs="Arial" w:eastAsia="Arial" w:hAnsi="Arial"/>
          <w:sz w:val="18"/>
          <w:szCs w:val="18"/>
          <w:color w:val="auto"/>
        </w:rPr>
        <w:t>We also provide several a la carte advertising solutions including banner ads</w:t>
      </w:r>
      <w:r>
        <w:rPr>
          <w:rFonts w:ascii="Arial" w:cs="Arial" w:eastAsia="Arial" w:hAnsi="Arial"/>
          <w:sz w:val="18"/>
          <w:szCs w:val="18"/>
          <w:i w:val="1"/>
          <w:iCs w:val="1"/>
          <w:color w:val="auto"/>
        </w:rPr>
        <w:t xml:space="preserve"> </w:t>
      </w:r>
      <w:r>
        <w:rPr>
          <w:rFonts w:ascii="Arial" w:cs="Arial" w:eastAsia="Arial" w:hAnsi="Arial"/>
          <w:sz w:val="18"/>
          <w:szCs w:val="18"/>
          <w:color w:val="auto"/>
        </w:rPr>
        <w:t>and promotion tile cards on our Weedmaps marketplace, as well as banner ads that can be tied to keyword searches. These products provide clients with targeted ad solutions in highly visible slots across our digital surfaces. Additionally, in the fourth quarter of 2021, we began testing a multi-channel media offering product to our clients and the development of this product will continue into 2022.</w:t>
      </w:r>
    </w:p>
    <w:p>
      <w:pPr>
        <w:spacing w:after="0" w:line="84" w:lineRule="exact"/>
        <w:rPr>
          <w:sz w:val="20"/>
          <w:szCs w:val="20"/>
          <w:color w:val="auto"/>
        </w:rPr>
      </w:pPr>
    </w:p>
    <w:p>
      <w:pPr>
        <w:jc w:val="both"/>
        <w:ind w:right="319"/>
        <w:spacing w:after="0" w:line="311" w:lineRule="auto"/>
        <w:rPr>
          <w:sz w:val="20"/>
          <w:szCs w:val="20"/>
          <w:color w:val="auto"/>
        </w:rPr>
      </w:pPr>
      <w:r>
        <w:rPr>
          <w:rFonts w:ascii="Arial" w:cs="Arial" w:eastAsia="Arial" w:hAnsi="Arial"/>
          <w:sz w:val="16"/>
          <w:szCs w:val="16"/>
          <w:i w:val="1"/>
          <w:iCs w:val="1"/>
          <w:color w:val="auto"/>
        </w:rPr>
        <w:t xml:space="preserve">Sprout. </w:t>
      </w:r>
      <w:r>
        <w:rPr>
          <w:rFonts w:ascii="Arial" w:cs="Arial" w:eastAsia="Arial" w:hAnsi="Arial"/>
          <w:sz w:val="16"/>
          <w:szCs w:val="16"/>
          <w:color w:val="auto"/>
        </w:rPr>
        <w:t>In September 2021, we acquired certain assets of the Sprout business (“Sprout”). Sprout is a</w:t>
      </w:r>
      <w:r>
        <w:rPr>
          <w:rFonts w:ascii="Arial" w:cs="Arial" w:eastAsia="Arial" w:hAnsi="Arial"/>
          <w:sz w:val="16"/>
          <w:szCs w:val="16"/>
          <w:i w:val="1"/>
          <w:iCs w:val="1"/>
          <w:color w:val="auto"/>
        </w:rPr>
        <w:t xml:space="preserve"> </w:t>
      </w:r>
      <w:r>
        <w:rPr>
          <w:rFonts w:ascii="Arial" w:cs="Arial" w:eastAsia="Arial" w:hAnsi="Arial"/>
          <w:sz w:val="16"/>
          <w:szCs w:val="16"/>
          <w:color w:val="auto"/>
        </w:rPr>
        <w:t>cloud-based customer relationship management (“CRM”) and marketing platform with the ability to run text messaging, email, and loyalty campaigns to retarget and reengage cannabis consumers.</w:t>
      </w:r>
    </w:p>
    <w:p>
      <w:pPr>
        <w:spacing w:after="0" w:line="41" w:lineRule="exact"/>
        <w:rPr>
          <w:sz w:val="20"/>
          <w:szCs w:val="20"/>
          <w:color w:val="auto"/>
        </w:rPr>
      </w:pPr>
    </w:p>
    <w:p>
      <w:pPr>
        <w:sectPr>
          <w:pgSz w:w="11900" w:h="16838" w:orient="portrait"/>
          <w:cols w:equalWidth="0" w:num="2">
            <w:col w:w="1080" w:space="280"/>
            <w:col w:w="7659"/>
          </w:cols>
          <w:pgMar w:left="1440" w:top="265" w:right="1440" w:bottom="1440" w:gutter="0" w:footer="0" w:header="0"/>
          <w:type w:val="continuous"/>
        </w:sectPr>
      </w:pPr>
    </w:p>
    <w:p>
      <w:pPr>
        <w:jc w:val="both"/>
        <w:ind w:left="1360" w:right="319" w:hanging="348"/>
        <w:spacing w:after="0" w:line="243" w:lineRule="auto"/>
        <w:tabs>
          <w:tab w:leader="none" w:pos="1360" w:val="left"/>
        </w:tabs>
        <w:numPr>
          <w:ilvl w:val="0"/>
          <w:numId w:val="34"/>
        </w:numPr>
        <w:rPr>
          <w:rFonts w:ascii="Arial" w:cs="Arial" w:eastAsia="Arial" w:hAnsi="Arial"/>
          <w:sz w:val="22"/>
          <w:szCs w:val="22"/>
          <w:color w:val="auto"/>
          <w:vertAlign w:val="superscript"/>
        </w:rPr>
      </w:pPr>
      <w:r>
        <w:rPr>
          <w:rFonts w:ascii="Arial" w:cs="Arial" w:eastAsia="Arial" w:hAnsi="Arial"/>
          <w:sz w:val="18"/>
          <w:szCs w:val="18"/>
          <w:i w:val="1"/>
          <w:iCs w:val="1"/>
          <w:color w:val="auto"/>
        </w:rPr>
        <w:t xml:space="preserve">Cannveya. </w:t>
      </w:r>
      <w:r>
        <w:rPr>
          <w:rFonts w:ascii="Arial" w:cs="Arial" w:eastAsia="Arial" w:hAnsi="Arial"/>
          <w:sz w:val="18"/>
          <w:szCs w:val="18"/>
          <w:color w:val="auto"/>
        </w:rPr>
        <w:t>In September 2021, we acquired Transport Logistics Holding Company, LLC, which is the</w:t>
      </w:r>
      <w:r>
        <w:rPr>
          <w:rFonts w:ascii="Arial" w:cs="Arial" w:eastAsia="Arial" w:hAnsi="Arial"/>
          <w:sz w:val="18"/>
          <w:szCs w:val="18"/>
          <w:i w:val="1"/>
          <w:iCs w:val="1"/>
          <w:color w:val="auto"/>
        </w:rPr>
        <w:t xml:space="preserve"> </w:t>
      </w:r>
      <w:r>
        <w:rPr>
          <w:rFonts w:ascii="Arial" w:cs="Arial" w:eastAsia="Arial" w:hAnsi="Arial"/>
          <w:sz w:val="18"/>
          <w:szCs w:val="18"/>
          <w:color w:val="auto"/>
        </w:rPr>
        <w:t>parent company to Cannveya. Together with WM Dispatch, these services provide logistics and fulfillment software and driver apps, which provide tools that can be used for legally compliant delivery and tracking of product reserved online through WM Orders and real-time routing and tracking of the state-licensed delivery fleet.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4" w:name="page75"/>
    <w:bookmarkEnd w:id="7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Since our founding in 2008, we have grown to become a leading provider of technology solutions to the cannabis industry by leveraging our competitive strengths, including:</w:t>
      </w:r>
    </w:p>
    <w:p>
      <w:pPr>
        <w:spacing w:after="0" w:line="62"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b w:val="1"/>
          <w:bCs w:val="1"/>
          <w:i w:val="1"/>
          <w:iCs w:val="1"/>
          <w:color w:val="auto"/>
        </w:rPr>
        <w:t xml:space="preserve">Long History as a Technology Leader Serving the Cannabis Industry. </w:t>
      </w:r>
      <w:r>
        <w:rPr>
          <w:rFonts w:ascii="Arial" w:cs="Arial" w:eastAsia="Arial" w:hAnsi="Arial"/>
          <w:sz w:val="17"/>
          <w:szCs w:val="17"/>
          <w:color w:val="auto"/>
        </w:rPr>
        <w:t>Founded in 2008, we have a long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history and established relationships with cannabis businesses and consumers across the United States. This has given us several competitive strengths, such as scale, attractive operating margins, and local insights into emerging consumer and business trends across many markets. Our policy and government relations expertise allows us to anticipate and react quickly to changes in cannabis regulations and informs all aspects of our business, including our product ideation, development and go-to-market strategies.</w:t>
      </w:r>
    </w:p>
    <w:p>
      <w:pPr>
        <w:spacing w:after="0" w:line="70"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b w:val="1"/>
          <w:bCs w:val="1"/>
          <w:i w:val="1"/>
          <w:iCs w:val="1"/>
          <w:color w:val="auto"/>
        </w:rPr>
        <w:t xml:space="preserve">Largest Two-Sided Platform for Cannabis Businesses and Consumers. </w:t>
      </w:r>
      <w:r>
        <w:rPr>
          <w:rFonts w:ascii="Arial" w:cs="Arial" w:eastAsia="Arial" w:hAnsi="Arial"/>
          <w:sz w:val="16"/>
          <w:szCs w:val="16"/>
          <w:color w:val="auto"/>
        </w:rPr>
        <w:t>We estimate that approximately 55%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all licensed cannabis retailers across the U.S. markets are our paying clients on the platform as of December 31, 2021. As we continue to increase the number of users on our platform, we generate more engagements and more easily persuade our business clients to consolidate their service providers by switching to our value-priced WM Business bundled solution. As we continue to increase the number of businesses on our marketplace, we become a more compelling platform for users. As more businesses and users join the platform, we gain a richer trove of industry data to perform market research and assist in product development and improvement. The result is a self-reinforcing, mutually beneficial, two-sided network effect, which we believe is difficult to replicate.</w:t>
      </w:r>
    </w:p>
    <w:p>
      <w:pPr>
        <w:spacing w:after="0" w:line="57"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b w:val="1"/>
          <w:bCs w:val="1"/>
          <w:i w:val="1"/>
          <w:iCs w:val="1"/>
          <w:color w:val="auto"/>
        </w:rPr>
        <w:t xml:space="preserve">The Only Fully-Integrated Business-in-a-Box SaaS Solution Specific to the Cannabis Industry. </w:t>
      </w:r>
      <w:r>
        <w:rPr>
          <w:rFonts w:ascii="Arial" w:cs="Arial" w:eastAsia="Arial" w:hAnsi="Arial"/>
          <w:sz w:val="16"/>
          <w:szCs w:val="16"/>
          <w:color w:val="auto"/>
        </w:rPr>
        <w:t>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WM Business is the industry’s only comprehensive business-in-a-box solution and incorporates embedded compliance functionality so that our clients comply with state law through integrated software solutions ranging from live menus, logistics and fulfillment, CRM, POS integrations, inventory management, and data and analytics. We believe we are the only platform servicing cannabis that combines both marketplace and software - most other technology providers offer single-point software solutions without the marketplace or marketplace without software. We believe we offer the only comprehensive software platform that allows cannabis retailers to reach their target audience, quickly and cost effectively, addressing a wide range of needs. Our platform also features self-service administrative functionality that enables clients to manage their listings page, including adding images, adjusting their menus, editing product information and responding to reviews as well as analyzing traffic trends.</w:t>
      </w:r>
    </w:p>
    <w:p>
      <w:pPr>
        <w:spacing w:after="0" w:line="60"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b w:val="1"/>
          <w:bCs w:val="1"/>
          <w:i w:val="1"/>
          <w:iCs w:val="1"/>
          <w:color w:val="auto"/>
        </w:rPr>
        <w:t xml:space="preserve">Unique and Growing Data Asset. </w:t>
      </w:r>
      <w:r>
        <w:rPr>
          <w:rFonts w:ascii="Arial" w:cs="Arial" w:eastAsia="Arial" w:hAnsi="Arial"/>
          <w:sz w:val="18"/>
          <w:szCs w:val="18"/>
          <w:color w:val="auto"/>
        </w:rPr>
        <w:t>Given our established presence, scale, and the breadth of product offerings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provide us with a high volume of retail-level information and user insights, we have a growing and unique first-party data asset. Currently, the cannabis industry has few reliable sources of fulsome datasets. Our data gives us insights on local market trends and the shape of the consumer journey from exploration and discovery to point of direct interaction with retailers across multiple retailers, brands and products. As our network of clients and consumers continues to grow, our data set will become deeper and richer, increasing its value and our potential monetization opportunities.</w:t>
      </w:r>
    </w:p>
    <w:p>
      <w:pPr>
        <w:spacing w:after="0" w:line="8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b w:val="1"/>
          <w:bCs w:val="1"/>
          <w:i w:val="1"/>
          <w:iCs w:val="1"/>
          <w:color w:val="auto"/>
        </w:rPr>
        <w:t xml:space="preserve">Ability to Innovate Rapidly and Launch New Products Efficiently at Scale. </w:t>
      </w:r>
      <w:r>
        <w:rPr>
          <w:rFonts w:ascii="Arial" w:cs="Arial" w:eastAsia="Arial" w:hAnsi="Arial"/>
          <w:sz w:val="16"/>
          <w:szCs w:val="16"/>
          <w:color w:val="auto"/>
        </w:rPr>
        <w:t>We have an agile product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innovation and deployment process. Our sales team frequently engages with our paid clients about the products they use, as well as their business objectives and performance. We constantly strive to generate product ideas through this deep engagement with our clients, as well as empirical research. During the initial development phases, we test a proposed offering with relevant areas of our business such as sales, government relations and compliance, legal, marketing, and technology, and use the resulting cross-functional input to develop a clear business rationale and explicit articulation of the goals, client problems that need to be solved, compliance features that need to be incorporated, and potential product-market fit prior to the investment of developer time and company resources. We leverage reusable microservices architecture and modular technology that can be redeployed across multiple new offerings for quicker development cycles. This streamlined approach yields smaller initiatives requiring less investment, enabling us to deliver cost-effective product innovation at a rapid pace.</w:t>
      </w:r>
    </w:p>
    <w:p>
      <w:pPr>
        <w:spacing w:after="0" w:line="64"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b w:val="1"/>
          <w:bCs w:val="1"/>
          <w:i w:val="1"/>
          <w:iCs w:val="1"/>
          <w:color w:val="auto"/>
        </w:rPr>
        <w:t xml:space="preserve">Capital-Efficient Business Model with Strong Cashflow Generation. </w:t>
      </w:r>
      <w:r>
        <w:rPr>
          <w:rFonts w:ascii="Arial" w:cs="Arial" w:eastAsia="Arial" w:hAnsi="Arial"/>
          <w:sz w:val="18"/>
          <w:szCs w:val="18"/>
          <w:color w:val="auto"/>
        </w:rPr>
        <w:t>We operate a cloud-based platform,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unlike other cannabis-related businesses, we require minimal physical footprint and are not directly exposed to fluctuations in product input costs. We do not require real estate or other significant capital outlays to enter new markets. Our offerings can be efficiently customized to new markets to facilitate expansion, which provides significant flexibility to scale and enter new markets with minimal investment. The capital-efficiency of our business model is evidenced by our robust margin profile and high level of EBITDA converting to free cash flow while achieving our growth.</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5" w:name="page76"/>
    <w:bookmarkEnd w:id="7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b w:val="1"/>
          <w:bCs w:val="1"/>
          <w:i w:val="1"/>
          <w:iCs w:val="1"/>
          <w:color w:val="auto"/>
        </w:rPr>
        <w:t xml:space="preserve">Operationally-Focused Management Team with Deep Experience. </w:t>
      </w:r>
      <w:r>
        <w:rPr>
          <w:rFonts w:ascii="Arial" w:cs="Arial" w:eastAsia="Arial" w:hAnsi="Arial"/>
          <w:sz w:val="17"/>
          <w:szCs w:val="17"/>
          <w:color w:val="auto"/>
        </w:rPr>
        <w:t>Our executive leadership team has over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100 years of cumulative professional experience spanning the technology, consumer, retail, legal and financial services industries, with a track record of operational execution and driving growth. Our Chief Executive Officer, Christopher Beals, established our government relations, legal and compliance functions, built-out the senior leadership team, and developed (and led the execution of) our “business-in-a-box” strategy. We believe our deep knowledge of our end-markets and broad-based operational expertise spanning several industry sectors provides a key competitive advantage in executing against our growth strategy.</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As a leading marketplace and software platform, our goal is to not only grow our market share but to grow the entire market by influencing policy promoting wider access to licensed cannabis, educating consumers on how to shop for cannabis and providing licensed operators with the tools they need to access users and grow their businesses. However, given our share of cannabis consumers and businesses, we believe we are well-positioned to capitalize on underlying growth across our end-markets by executing against our strategy as follows:</w:t>
      </w:r>
    </w:p>
    <w:p>
      <w:pPr>
        <w:spacing w:after="0" w:line="53" w:lineRule="exact"/>
        <w:rPr>
          <w:sz w:val="20"/>
          <w:szCs w:val="20"/>
          <w:color w:val="auto"/>
        </w:rPr>
      </w:pPr>
    </w:p>
    <w:p>
      <w:pPr>
        <w:jc w:val="both"/>
        <w:ind w:left="1000" w:right="299" w:hanging="348"/>
        <w:spacing w:after="0" w:line="272" w:lineRule="auto"/>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Grow Our Two-Sided Marketplace. </w:t>
      </w:r>
      <w:r>
        <w:rPr>
          <w:rFonts w:ascii="Arial" w:cs="Arial" w:eastAsia="Arial" w:hAnsi="Arial"/>
          <w:sz w:val="17"/>
          <w:szCs w:val="17"/>
          <w:color w:val="auto"/>
        </w:rPr>
        <w:t>Our goal is to be the center of commerce for consumers seeking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cannabis. To support this goal, we intend to continue growing the number of consumers on our platform through original content that educates, entertains, facilitates discovery of new products, increases awareness of our platform and encourages repeat usage. As we grow our users and user engagements, we will continue to engage with our clients to demonstrate the value we believe they receive on our platform and can convince more businesses to increase adoption of our WM Business services through our WM Business subscription offering and additional offerings.</w:t>
      </w:r>
    </w:p>
    <w:p>
      <w:pPr>
        <w:spacing w:after="0" w:line="69" w:lineRule="exact"/>
        <w:rPr>
          <w:rFonts w:ascii="Arial" w:cs="Arial" w:eastAsia="Arial" w:hAnsi="Arial"/>
          <w:sz w:val="17"/>
          <w:szCs w:val="17"/>
          <w:color w:val="auto"/>
        </w:rPr>
      </w:pPr>
    </w:p>
    <w:p>
      <w:pPr>
        <w:jc w:val="both"/>
        <w:ind w:left="1000" w:right="319" w:hanging="348"/>
        <w:spacing w:after="0" w:line="291" w:lineRule="auto"/>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Our Existing Markets and Enter New Markets. </w:t>
      </w:r>
      <w:r>
        <w:rPr>
          <w:rFonts w:ascii="Arial" w:cs="Arial" w:eastAsia="Arial" w:hAnsi="Arial"/>
          <w:sz w:val="16"/>
          <w:szCs w:val="16"/>
          <w:color w:val="auto"/>
        </w:rPr>
        <w:t>We have a significant opportunity to grow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client base both within existing markets that are continuing to grow and new markets as they become open to regulated cannabis. Although we are increasingly becoming a more nationally-recognized brand, we are monetizing our platform in over 20 U.S. states and territories, as of December 31, 2021. Based on our internal research, we believe the minimum level of acceptable retail density to have a healthy and functioning licensed market is a minimum of one licensed retailer per 10,000 residents. Many of the U.S. states where we operate today are still under-penetrated with low levels of licensed retail density.</w:t>
      </w:r>
    </w:p>
    <w:p>
      <w:pPr>
        <w:spacing w:after="0" w:line="58"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We believe that there are tremendous growth opportunities for us within our existing markets as retail licenses continue to be issued, and states move towards, and beyond, the one retail license per 10,000 people ratio. As of December 31, 2021, there were approximately 11,700 existing retail licenses across the United States and Canada markets. Assuming no cap on the number of licenses issued or other restrictions on the number of licenses issued, if these same markets were to issue enough licenses to match a ratio of one license per 10,000 residents, approximately 10,000 new retail licenses would be issued. This may require continued liberalization of license restrictions across cities and counties within certain of our states where we do business today. With the momentum of state legalization, including a sweep of ballot initiatives in five states during the most recent election, we believe that legalization by additional states and eventually the U.S. government is inevitable. Assuming no cap on the number of licenses issued or other restrictions on the number of licenses issued, if the entire United States and Canada reached a minimum level of density of one license per 10,000 residents, we believe the total universe of retail licenses would reach approximately 37,500, which is approximately 3.2 times the current count of retail licenses in the United States and Canada as seen below. This represents a significant growth opportunity for us as every new retail license issued is an opportunity to onboard a new client onto our platform and increase their monthly spend as they leverage more of our services, solutions and upsell / add-on products.</w:t>
      </w:r>
    </w:p>
    <w:p>
      <w:pPr>
        <w:spacing w:after="0" w:line="5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b w:val="1"/>
          <w:bCs w:val="1"/>
          <w:i w:val="1"/>
          <w:iCs w:val="1"/>
          <w:color w:val="auto"/>
        </w:rPr>
        <w:t xml:space="preserve">Expand our WM Business SaaS solution and grow Gross Merchandise Value (“GMV”). </w:t>
      </w:r>
      <w:r>
        <w:rPr>
          <w:rFonts w:ascii="Arial" w:cs="Arial" w:eastAsia="Arial" w:hAnsi="Arial"/>
          <w:sz w:val="17"/>
          <w:szCs w:val="17"/>
          <w:color w:val="auto"/>
        </w:rPr>
        <w:t>We intend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continue expanding the functionality of our WM Business solutions through additional offerings of premium analytics, CRM, and loyalty tools, among other solutions, which we intend to monetize through additional higher priced tiers within our subscription offering. We will continue to expand the availability of our POS integrations across additional states. We also are continuously improving the base-level functionality across our WM Business solutions. We believe these initiatives will result in a more engaged client who utilizes more of our services across our platform and is more ripe for monetization opportunities over time. While we do not believe GMV is a driver of our revenue currently, GMV could represent significant monetization potential over time to the extent U.S. federal regulations allow us to monetize our clients’ currently off-platform transaction activity through take-rates or payment fees, which we do not engage in today.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6" w:name="page77"/>
    <w:bookmarkEnd w:id="7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b w:val="1"/>
          <w:bCs w:val="1"/>
          <w:i w:val="1"/>
          <w:iCs w:val="1"/>
          <w:color w:val="auto"/>
        </w:rPr>
        <w:t xml:space="preserve">Pursue Strategic Acquisitions. </w:t>
      </w:r>
      <w:r>
        <w:rPr>
          <w:rFonts w:ascii="Arial" w:cs="Arial" w:eastAsia="Arial" w:hAnsi="Arial"/>
          <w:sz w:val="18"/>
          <w:szCs w:val="18"/>
          <w:color w:val="auto"/>
        </w:rPr>
        <w:t>We take a measured approach to acquisition-related growth, preferring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selectively make strategic software acquisitions, such as our recent transactions for Sprout, Cannveya and CannCurrent, that complement our existing offerings. We intend to continue selectively pursuing opportunities to invest in and acquire technology offerings that allow us to accelerate our growth.</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Our direct competitors for individual components of our platform include cannabis-focused, technology companies like Leafly (for retailer listing pages), Dutchie and Jane Technologies (for menu embed and orders functionality), Leaflink and Leaf Trade (for B2B sales) and a variety of cannabis-focused point-of-sale providers, marketing and advertising technology solutions. In addition, for our retail listing pages, our platform may also compete with current or potential products and solutions offered by internet search engines and advertising networks like Google, Yelp, various other newspaper, television and media companies, as well as outdoor billboard advertising. We believe that the principal competitive factors in our market include the scale of our network, comprehensiveness of offerings, ease of adoption and use, and ability to facilitate compliance with the complex, disparate regulations applicable to businesses operating in the cannabis industry, breadth and trustworthiness of information available to consumers, and brand. We believe we compete favorably based on these factors.</w:t>
      </w:r>
    </w:p>
    <w:p>
      <w:pPr>
        <w:spacing w:after="0" w:line="60"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For additional information about the risks to our business related to competition, see the section entitled “Risk Factors-Risks Related to our Business and Industry—</w:t>
      </w:r>
      <w:r>
        <w:rPr>
          <w:rFonts w:ascii="Arial" w:cs="Arial" w:eastAsia="Arial" w:hAnsi="Arial"/>
          <w:sz w:val="17"/>
          <w:szCs w:val="17"/>
          <w:i w:val="1"/>
          <w:iCs w:val="1"/>
          <w:color w:val="auto"/>
        </w:rPr>
        <w:t>We currently face intense competition in the market, and</w:t>
      </w:r>
      <w:r>
        <w:rPr>
          <w:rFonts w:ascii="Arial" w:cs="Arial" w:eastAsia="Arial" w:hAnsi="Arial"/>
          <w:sz w:val="17"/>
          <w:szCs w:val="17"/>
          <w:color w:val="auto"/>
        </w:rPr>
        <w:t xml:space="preserve"> </w:t>
      </w:r>
      <w:r>
        <w:rPr>
          <w:rFonts w:ascii="Arial" w:cs="Arial" w:eastAsia="Arial" w:hAnsi="Arial"/>
          <w:sz w:val="17"/>
          <w:szCs w:val="17"/>
          <w:i w:val="1"/>
          <w:iCs w:val="1"/>
          <w:color w:val="auto"/>
        </w:rPr>
        <w:t>we expect competition to further intensify as the cannabis industry continues to evolve</w:t>
      </w:r>
      <w:r>
        <w:rPr>
          <w:rFonts w:ascii="Arial" w:cs="Arial" w:eastAsia="Arial" w:hAnsi="Arial"/>
          <w:sz w:val="17"/>
          <w:szCs w:val="17"/>
          <w:color w:val="auto"/>
        </w:rPr>
        <w:t>.”</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Sales and Marketing</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Sales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Our sales team is primarily based out of our Irvine, California headquarters. Members of our sales team are knowledgeable about the products and add-ons that we offer, such as our Deals platform or WM Orders, and assist new and existing clients with our platform.</w:t>
      </w:r>
    </w:p>
    <w:p>
      <w:pPr>
        <w:spacing w:after="0" w:line="76"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generate many leads for new listing pages through the applicable state cannabis regulators’ lists of licensees. Other leads are created from inbound requests by applicants for cannabis licenses to begin establishing their business’ presence on our platform pending an expected cannabis license.</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Marketing</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believe the quality and strength of our platform is our most valuable marketing asset, the vast majority of business sales leads being inbound. Our marketing strategy, across both consumers and businesses, consists of user acquisition, brand marketing, communications and field marketing.</w:t>
      </w:r>
    </w:p>
    <w:p>
      <w:pPr>
        <w:spacing w:after="0" w:line="76"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Our consumer marketing efforts focus on driving awareness of the platform, acquiring new users who may be interested in the platform and increasing engagement of existing users. To augment the engagement of our platform, we employ a series of lifecycle marketing, social media and SEO tactics that have increased our direct &amp; organic traffic. Though many traditional paid marketing channels (such as broadcast television or Google search and display ads) are not available to platforms in the cannabis industry, we have been able to build a reliable network of online tactics that allow us to accelerate the growth of our consumer base at very competitive customer acquisition costs. Additionally, we seek key broad consumer opportunities to cement our place in consumers’ minds as the premier cannabis marketplace such as our August 2021 partnership announcement with Kevin Durant and Thirty Five Ventures and sponsorship deal with the Boardroom, our second virtual 4/20 event, “Even Higher Together,” to celebrate the holiday which was hosted by Snoop Dogg, as well as the 2020 sponsorship of the Mike Tyson vs. Roy Jones, Jr. pay-per-view fight, one of the top 10 most purchased combat sports events of all time.</w:t>
      </w:r>
    </w:p>
    <w:p>
      <w:pPr>
        <w:spacing w:after="0" w:line="64"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Our business marketing focus is to drive awareness of the breadth of our software offering among cannabis retailers and brands, given how nascent some of our newer offerings are. We do so through direct physical and digital marketing, working with local cannabis business associations, and through lifecycle marketing with existing clients. Given the strength of our brand, we have seen strength in performance of our tactics in what is a crowded market, easing the acquisition or upsell process for our sales team.</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Social Impact</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To support the growth of an inclusive cannabis industry, we participate in policy panels and organize educational sessions to educate attendees about the importance of social equity programs and other policy initiatives that are</w:t>
      </w:r>
    </w:p>
    <w:p>
      <w:pPr>
        <w:sectPr>
          <w:pgSz w:w="11900" w:h="16838" w:orient="portrait"/>
          <w:cols w:equalWidth="0" w:num="1">
            <w:col w:w="9019"/>
          </w:cols>
          <w:pgMar w:left="1440" w:top="265"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7" w:name="page78"/>
    <w:bookmarkEnd w:id="7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designed to ensure the ability of people of color and those impacted by the war on drugs to participate in the legal cannabis markets that are opening (i.e. social equity licensing programs). Additionally, our policy team has drafted white papers and mock legislative provisions that are designed to support the enactment of social equity licensing programs and advocates for state and local governments to enact social equity licensing programs. We have also established a program, WM Teal, which stands for “Together for Equity Access and Legislation”, through which we provide free software, advertising, educational materials and training programs to applicants or licenses under social equity licensing programs.</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Our product development efforts focus on adding new features and solutions to our platform, as well as increasing the functionality and enhancing the ease of use of our platform. While we expect research and development expenses to increase as we continue to increase the functionality of our platform, we expect our research and development expenses to remain the same percentage of total revenues.</w:t>
      </w:r>
    </w:p>
    <w:p>
      <w:pPr>
        <w:spacing w:after="0" w:line="30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Our intellectual property and proprietary rights are valuable assets that are important to our business. In our efforts to safeguard our copyrights, trade secrets, trademarks and other intellectual property rights worldwide, we rely on a combination of federal, state, common law and international rights in the jurisdictions in which we operate.</w:t>
      </w:r>
    </w:p>
    <w:p>
      <w:pPr>
        <w:spacing w:after="0" w:line="4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have an ongoing trademark and service mark registration program pursuant to which we register our brand names, taglines and logos in the United States, Canada, the European Union and other jurisdictions to the extent we determine they are appropriate and cost-effective.</w:t>
      </w:r>
    </w:p>
    <w:p>
      <w:pPr>
        <w:spacing w:after="0" w:line="76"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As of December 31, 2021, we have been issued trademark registrations in the United States, Canada, Japan, the European Union, the United Kingdom and Mexico. We have also been issued an international trademark registration with designation in Australia and the European Union for “Weedmaps.” As of December 31, 2021, we have pending trademark applications in the United States covering: “WM TECH” and “WM TECHNOLOGY”, as well as a pending trademark application in the United States covering “Weedmaps” for delivery platform services. We also have pending trademark applications in Canada covering “Weedmaps”.</w:t>
      </w:r>
    </w:p>
    <w:p>
      <w:pPr>
        <w:spacing w:after="0" w:line="70"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In addition to our numerous trademark applications and registrations, we have been issued copyright registrations in the United States for our weedmaps.com website, “Grow One,” and two versions of our Lab API documentation. Further, we own several domain names, including: weedmaps.com, marijuana.com, cannabis.com, wmpolicy.com, themuseumofweed.com, wm-retail.com, wmforbusiness.com and WM store. Our trademarks and domain names are material to our business and brand identity.</w:t>
      </w:r>
    </w:p>
    <w:p>
      <w:pPr>
        <w:spacing w:after="0" w:line="68"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We also rely on non-disclosure agreements, invention assignment agreements, intellectual property assignment agreements, or license agreements with employees, independent contractors, consumers, software providers and other third parties, which protect and limit access to and use of our proprietary intellectual property.</w:t>
      </w:r>
    </w:p>
    <w:p>
      <w:pPr>
        <w:spacing w:after="0" w:line="4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Though we rely, in part, upon these legal and contractual protections, we believe that factors such as the skills and ingenuity of our employees, as well as the functionality and frequent enhancements to our platform are larger contributors to our success in the marketplace.</w:t>
      </w:r>
    </w:p>
    <w:p>
      <w:pPr>
        <w:spacing w:after="0" w:line="76"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Circumstances outside our control could pose a threat to our intellectual property rights. For more information, see the section entitled “Risk Factors—Risks Related to our Business and Industry.”</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People Operations and Human Capital Resources</w:t>
      </w:r>
    </w:p>
    <w:p>
      <w:pPr>
        <w:spacing w:after="0" w:line="121"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As of December 31, 2021, we had 606 full-time employees and 1 part-time employee, including 242 in engineering, product and design, 264 in sales and marketing, and 101 in general and administrative and professional services. Of these employees, 595 are located in the United States, and 12 are located in Canada.</w:t>
      </w:r>
    </w:p>
    <w:p>
      <w:pPr>
        <w:spacing w:after="0" w:line="5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believe that being able to attract and retain top talent is both a strategic advantage for us and necessary to realize our mission of powering a transparent and inclusive global cannabis economy. Our position as a leading technology provider to the cannabis industry helps us attract high caliber employees who are technologically skilled and also passionate about our mission and products. We devote substantial resources to this task. Our dedicated, best-in-class Talent Acquisition team is focused on finding and attracting diverse and capable talent, and our People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8" w:name="page79"/>
    <w:bookmarkEnd w:id="7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hanging="8"/>
        <w:spacing w:after="0" w:line="263" w:lineRule="auto"/>
        <w:tabs>
          <w:tab w:leader="none" w:pos="497" w:val="left"/>
        </w:tabs>
        <w:numPr>
          <w:ilvl w:val="0"/>
          <w:numId w:val="36"/>
        </w:numPr>
        <w:rPr>
          <w:rFonts w:ascii="Arial" w:cs="Arial" w:eastAsia="Arial" w:hAnsi="Arial"/>
          <w:sz w:val="18"/>
          <w:szCs w:val="18"/>
          <w:color w:val="auto"/>
        </w:rPr>
      </w:pPr>
      <w:r>
        <w:rPr>
          <w:rFonts w:ascii="Arial" w:cs="Arial" w:eastAsia="Arial" w:hAnsi="Arial"/>
          <w:sz w:val="18"/>
          <w:szCs w:val="18"/>
          <w:color w:val="auto"/>
        </w:rPr>
        <w:t>Culture team is set on building a world class employer of choice for that talent once they get here. None of our employees are represented by a labor union or covered by collective bargaining agreements, and we have not experienced any work stoppages.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Numerous countries and territories have moved in recent years to regulate and tax cannabis, particularly medical cannabis. Most of these jurisdictions present complex regulatory regimes that require licensed operators to comply with substantial reporting, testing, packaging, distribution, and security requirements.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United States and Territories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Notwithstanding the trend toward further state legalization, the U.S. government continues to categorize cannabis as an illegal Schedule I controlled substance, and accordingly the cultivation, processing, distribution, sale, advertisement of sale and possession by our customers violate federal law, as discussed further in the sections entitled “Risk Factors—Risks Related to our Business and Industry.”</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While the Obama and Trump administrations have had different stated policies, including the latter’s less friendly position on the industry, the U.S. federal government has not prioritized the enforcement of the CSA’s prohibition on cannabis against cannabis companies complying with the state law and their vendors for over seven years.</w:t>
      </w:r>
    </w:p>
    <w:p>
      <w:pPr>
        <w:spacing w:after="0" w:line="7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Since 2014, versions of the U.S. omnibus spending bill have included a provision prohibiting the DOJ, which includes the Drug Enforcement Administration, from using appropriated funds to prevent states from implementing their medical-use cannabis laws. Federal courts have held that the provision prohibits the DOJ from spending funds to prosecute individuals who engage in conduct permitted by state medical-use cannabis laws and who strictly comply with such laws.</w:t>
      </w:r>
    </w:p>
    <w:p>
      <w:pPr>
        <w:spacing w:after="0" w:line="8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During his campaign, President Biden promised federal reform on cannabis, including decriminalization generally. While the administration since has shown little interest in cannabis reform, Biden’s pledge to “decriminalize” cannabis may reasonably be interpreted to mean that any Attorney General under his administration will order U.S. Attorneys not to enforce the federal cannabis prohibition against state law compliant entities and others legally transacting business with them.</w:t>
      </w:r>
    </w:p>
    <w:p>
      <w:pPr>
        <w:spacing w:after="0" w:line="80"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Although the U.S. Attorney General, Merrick Garland, could issue policy guidance to federal prosecutors that they should not interfere with cannabis businesses operating in compliance with states’ laws, any such guidance would not have the force of law, and could not be enforced by the courts. During his confirmation hearing before the U.S. Senate, Judge Garland testified that prosecuting state-legal cannabis companies would not be a “useful use of limited resources.” Therefore, the status quo of federal non-enforcement is likely to continue for the foreseeable future, though of course that is not certain. While industry observers are hopeful that changes in Congress and the Senate, along with a Biden presidency, will increase the chances of cannabis or at least cannabis-banking reform, it is not a certainty. A number of bills would affect the legal status of cannabis. The Secure and Fair Enforcement (“SAFE”) Banking Act, would allow financial institutions to legally provide services to state-licensed and compliant cannabis operators, and has passed the House of Representatives but not the Senate. A number of other bills expected to be introduced or reintroduced into the 117th Congress could affect the legal status of cannabis in the United States, though whether any of them will become law is uncertain. Senators Cory Booker (D-NJ), Ron Wyden (D-OR) and Chuck Schumer (D-NY) released a discussion draft of proposed legislation, the Cannabis Administration And Opportunity Act, which they plan to introduce as a bill that would decriminalize cannabis and expunge prior cannabis convictions. Recently introduced into Congress is another bill, the States Reform Act, introduced by Rep. Nancy Mace (R-SC), which would repeal the federal prohibition of cannabis. Based on the momentum seen last year, legislative efforts to legalize cannabis or cannabis banking at the national level are likely to continue in 2022.</w:t>
      </w:r>
    </w:p>
    <w:p>
      <w:pPr>
        <w:spacing w:after="0" w:line="82"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Some of our retail clients sell products with CBD derived from hemp with and without THC from non-hemp cannabis. Until recently, hemp and hemp’s extracts (except mature stalks, fiber produced from the stalks, oil or cake made from the seeds and any other compound, manufacture, salt derivative, mixture or preparation of such parts) were illegal Schedule I controlled substances under the CSA. The Agricultural Act of 2014, Pub. L. 113-79 (the “2014 Farm Bill”) authorized states to establish industrial hemp research programs. The majority of states established programs purportedly in compliance with the 2014 Farm Bill. Many industry participants and even states interpreted the law to include “research” into the commercialization of, and commercial markets for, CBD from hemp, including products containing CBD.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9" w:name="page80"/>
    <w:bookmarkEnd w:id="7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In December 2018, the U.S. government changed hemp’s legal status. The Agriculture Improvement Act of 2018, Pub. L. 115-334 (the “2018 Farm Bill”), removed hemp and extracts of hemp, including CBD, from the CSA schedules. Accordingly, the production, sale and possession of hemp or extracts of hemp, including certain CBD products, no longer violate the CSA. The states have implemented a patchwork of different laws on hemp and its extracts, including CBD. Additionally, the FDA claims that the Food, Drugs &amp; Cosmetics Act significantly limits the legality of hemp-derived CBD products.</w:t>
      </w:r>
    </w:p>
    <w:p>
      <w:pPr>
        <w:spacing w:after="0" w:line="84"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We have been neither a defendant in a criminal action nor the subject of a civil or regulatory enforcement proceeding, prosecuted by a U.S. governmental authority based on our provision of products and solutions to the cannabis industry. In addition, we believe that Section 230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other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site, such as WM News, WM Learn and WM Policy. All of these sections are general news and information, and none of these sections are advertisements for, or listing pages of, cannabis businesses. For additional information about Section 230, see the sections entitled “Business—Overview” and “Risk Factors—Risks Related to our Business and Industry.” Our clients are subject to licensing and related requirements under applicable laws and regulations, and our own compliance policies, and some of our clients currently and in the future may not be in compliance with all such requirements. Currently, we require all cannabis retailers on Weedmaps to display a valid, unexpired state-issued license number on their listing. We have a dedicated Trust and Safety team that reviews license information, both on submission and on an ongoing basis, to ensure validity and accuracy. For certain Weedmaps products or services, we may request additional verification and documentation. Additionally, we require contractual representations and warranties from our clients that they are complying with state law. If, despite our policies to verify state-licensure, unlicensed or noncompliant businesses are able to access our products, it could subject us to legal or regulatory enforcement and negative publicity, which could adversely impact our business, operating results, financial condition, brand and reputation.</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Medical cannabis has been legal in Canada since 1999 through various regulatory regimes. On October 17, 2018, the Cannabis Act (Canada) came into force. The Cannabis Act governs both the medical and the regulated adult-use markets in Canada. Prior to October 17, 2018, legal access to and use of medical cannabis in Canada was regulated under the Controlled Drugs and Substances Act and the associated Access to Cannabis for Medical Purposes Regulations, or ACMPR. Under the Cannabis Act, holders of licenses to cultivate and/or process cannabis are also permitted to supply cannabis under their existing licenses obtained pursuant to the ACMPR to the regulated adult-use market.</w:t>
      </w:r>
    </w:p>
    <w:p>
      <w:pPr>
        <w:spacing w:after="0" w:line="8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distribution and sale of cannabis for adult use is regulated separately by each provincial and territorial government, and as such, regulatory regimes vary from jurisdiction to jurisdiction. In each of the provinces and territories, except for Saskatchewan, a provincial distributor is responsible for purchasing cannabis from producers and selling products to its regulated retail distribution channels. In addition, in each province and territory, other than Saskatchewan and Manitoba, the provincial distributor is solely responsible for online sales. With respect to retail sales of cannabis, other than online sales, the provincial and territorial regulations in Prince Edward Island, Nova Scotia, New Brunswick, Quebec, and the Northwest Territories allow only for government-run cannabis stores, while the provincial and territorial regulations in Ontario, Manitoba, Saskatchewan, Alberta and Yukon leave the retail sale of cannabis, other than online sales, to the private sector. In Newfoundland, British Columbia and Nunavut, provincial and territorial regulations allow for a hybrid model in which both public and private stores can operate.</w:t>
      </w:r>
    </w:p>
    <w:p>
      <w:pPr>
        <w:spacing w:after="0" w:line="74"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The regulations promulgated under the Cannabis Act, or the Cannabis Regulations, provide more detail on the medical and adult-use regulatory regimes for cannabis, including regarding licensing, security clearances and physical security requirements, product practices, outdoor growing, security, packaging and labelling, cannabis-containing compounds, document retention requirements, reporting and disclosure requirements, the new access to cannabis for medical purposes regime and industrial hemp regulations (both of which are substantially similar to the medical cannabis and industrial hemp regulatory regimes that existed prior to the Cannabis Act coming into force).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0" w:name="page81"/>
    <w:bookmarkEnd w:id="8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Under the Cannabis Act and the Cannabis Regulations, Health Canada has been granted the authority to issue a wide range of licenses, including licenses for standard cultivation, micro-cultivation, industrial hemp cultivation and nursery cultivation, licenses for standard processing and micro- processing, and sales licenses.</w:t>
      </w:r>
    </w:p>
    <w:p>
      <w:pPr>
        <w:spacing w:after="0" w:line="5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Cannabis Act prohibits all cannabis promotion unless specifically authorized thereunder. Under Subsection 17(1) of the Cannabis Act, it is prohibited to promote cannabis or a cannabis accessory or any service related to cannabis, including (a) by communicating information about its price or distribution; (b) by doing so in a manner that there are reasonable grounds to believe could be appealing to young persons; (c) by means of a testimonial or endorsement, however displayed or communicated; (d) by means of the depiction of a person, character or animal, whether real or fictional; or (e) by presenting it or any of its brand elements in a manner that associates it or the brand element with, or evokes a positive or negative emotion about or image of, a way of life such as one that includes glamour, recreation, excitement, vitality, risk or daring.</w:t>
      </w:r>
    </w:p>
    <w:p>
      <w:pPr>
        <w:spacing w:after="0" w:line="70" w:lineRule="exact"/>
        <w:rPr>
          <w:sz w:val="20"/>
          <w:szCs w:val="20"/>
          <w:color w:val="auto"/>
        </w:rPr>
      </w:pPr>
    </w:p>
    <w:p>
      <w:pPr>
        <w:jc w:val="both"/>
        <w:ind w:left="300" w:right="319" w:firstLine="360"/>
        <w:spacing w:after="0" w:line="271" w:lineRule="auto"/>
        <w:rPr>
          <w:sz w:val="20"/>
          <w:szCs w:val="20"/>
          <w:color w:val="auto"/>
        </w:rPr>
      </w:pPr>
      <w:r>
        <w:rPr>
          <w:rFonts w:ascii="Arial" w:cs="Arial" w:eastAsia="Arial" w:hAnsi="Arial"/>
          <w:sz w:val="17"/>
          <w:szCs w:val="17"/>
          <w:color w:val="auto"/>
        </w:rPr>
        <w:t>Authorized promotions under the Cannabis Act include those by licensed businesses and others, limited to informational content or brand preference promotion. Informational promotion is promotion that contains factual information to the consumer about cannabis, cannabis accessories, and services related to cannabis, including their availability and price. Brand-preference promotion is promotion of cannabis, cannabis accessories, and services related to cannabis based on their brand characteristics. Businesses that are authorized to produce, sell or distribute cannabis under the Act may promote cannabis by means of an informational promotion or brand preference promotion so long as the person responsible for the promotion, if a telecommunication, has taken reasonable steps to ensure that the promotion cannot be accessed by a young person.</w:t>
      </w:r>
    </w:p>
    <w:p>
      <w:pPr>
        <w:spacing w:after="0" w:line="70"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As discussed elsewhere in this prospectus, we believe that Section 230 provides immunity from civil and state criminal liability to internet service provider intermediaries in the United States, such as us, for content provided on their platforms that they did not create or develop. While Article 19.17.2 of the United States-Mexico-Canada Agreement (“USMCA”), which became effective on July 1, 2020, contains language which is similar to Section 230(c)(1) of the Communications Decency Act, there is currently no statutory equivalent to Section 230 in Canada. While the case law in Canada on this point is not extensive, however, we believe that courts in Canada have tended to exclude digital platforms in Canada, such as us, from aiding-and-abetting liability for publishing third-party content on their platforms where the platform providers act as “mere conduits” for the content. For additional information, see the section entitled “Risk Factors—Risks Related to our Business and Industry.” We do not create or develop the information that appears in our clients’ listing pages and other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site, such as WM News, WM Learn and WM Policy. All of these sections are general news and information, and none of these sections are advertisements for, or listing pages of, cannabis businesses. Currently, we require all cannabis retailers on Weedmaps to display a valid, unexpired state-issued license number on their listing. We have a dedicated Trust and Safety team that reviews license information, both on submission and on an ongoing basis, to ensure validity and accuracy. For certain Weedmaps products or services, we may request additional verification and documentation. If, despite our policies to verify state-licensure, unlicensed or noncompliant businesses are able to access our products, it could subject us to legal or regulatory enforcement and negative publicity, which could adversely impact our business, operating results, financial condition, brand and reputation.</w:t>
      </w:r>
    </w:p>
    <w:p>
      <w:pPr>
        <w:spacing w:after="0" w:line="72"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have not been a defendant in a criminal action, nor have we been the subject of a civil or regulatory enforcement proceeding, prosecuted by a Canadian governmental authority based on our provision of products and solutions to the cannabis industry.</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Rest of the World</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Legalized cannabis is expanding in other parts of the world with countries adopting varying degrees of legalization or decriminalization. We do not yet regard these countries as viable marketplaces for our products, though we have ongoing tests of a small number of listings in several markets where that product is legally permissible.</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During the ordinary course of our business, we are subject to various claims and litigation. Our management believes that the outcome of such claims or litigation will not have a material adverse effect on our financial position, results of operations or cash flow.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1" w:name="page82"/>
    <w:bookmarkEnd w:id="8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Additionally, from time to time, we are involved in legal proceedings and subject to claims that arise in the ordinary course of business. Although the results of legal proceedings and claims cannot be predicted with certainty, to our knowledge we are not currently party to any legal proceedings which, if determined adversely to us, would individually or taken together have a material adverse effect on our business, operating results, cash flows or financial condition. We also pursue litigation to protect our legal rights and additional litigation may be necessary in the future to enforce our intellectual property and our contractual rights, to protect our confidential information or to determine the validity and scope of the proprietary rights of others.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2" w:name="page83"/>
    <w:bookmarkEnd w:id="8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following table sets forth the names, ages and positions (as of December 31, 2021) of our directors and executive officers:</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5180" w:type="dxa"/>
            <w:vAlign w:val="bottom"/>
          </w:tcPr>
          <w:p>
            <w:pPr>
              <w:ind w:left="2340"/>
              <w:spacing w:after="0"/>
              <w:rPr>
                <w:sz w:val="20"/>
                <w:szCs w:val="20"/>
                <w:color w:val="auto"/>
              </w:rPr>
            </w:pPr>
            <w:r>
              <w:rPr>
                <w:rFonts w:ascii="Arial" w:cs="Arial" w:eastAsia="Arial" w:hAnsi="Arial"/>
                <w:sz w:val="14"/>
                <w:szCs w:val="14"/>
                <w:b w:val="1"/>
                <w:bCs w:val="1"/>
                <w:color w:val="auto"/>
              </w:rPr>
              <w:t>Position</w:t>
            </w:r>
          </w:p>
        </w:tc>
      </w:tr>
      <w:tr>
        <w:trPr>
          <w:trHeight w:val="53"/>
        </w:trPr>
        <w:tc>
          <w:tcPr>
            <w:tcW w:w="2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r>
      <w:tr>
        <w:trPr>
          <w:trHeight w:val="311"/>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4"/>
                <w:szCs w:val="24"/>
                <w:color w:val="auto"/>
              </w:rPr>
            </w:pP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Christopher Beals</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04"/>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Brian Camire</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Counsel and Secretary</w:t>
            </w: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Justin Dean</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Technology Officer and Chief Information Officer</w:t>
            </w: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04"/>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Juanjo Feijoo</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Operating Officer</w:t>
            </w: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Arden Lee</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04"/>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Non-Employee Directors</w:t>
            </w: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4"/>
                <w:szCs w:val="24"/>
                <w:color w:val="auto"/>
              </w:rPr>
            </w:pP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Tony Aquila</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Director</w:t>
            </w: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04"/>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Anthony Bay</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66</w:t>
            </w: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Douglas Francis</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Founder and Director</w:t>
            </w: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04"/>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Brenda Freeman</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Olga Gonzalez</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Director</w:t>
            </w: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04"/>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Scott Gordon</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Justin Hartfield</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Founder and Director</w:t>
            </w: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270"/>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Fiona Tan</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80" w:type="dxa"/>
            <w:vAlign w:val="bottom"/>
            <w:shd w:val="clear" w:color="auto" w:fill="CCEEFF"/>
          </w:tcPr>
          <w:p>
            <w:pPr>
              <w:spacing w:after="0"/>
              <w:rPr>
                <w:sz w:val="23"/>
                <w:szCs w:val="23"/>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54"/>
        </w:trPr>
        <w:tc>
          <w:tcPr>
            <w:tcW w:w="2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1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-3102610</wp:posOffset>
            </wp:positionV>
            <wp:extent cx="514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-3102610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i w:val="1"/>
          <w:iCs w:val="1"/>
          <w:color w:val="auto"/>
        </w:rPr>
        <w:t xml:space="preserve">Christopher Beals. </w:t>
      </w:r>
      <w:r>
        <w:rPr>
          <w:rFonts w:ascii="Arial" w:cs="Arial" w:eastAsia="Arial" w:hAnsi="Arial"/>
          <w:sz w:val="16"/>
          <w:szCs w:val="16"/>
          <w:color w:val="auto"/>
        </w:rPr>
        <w:t>Mr. Beals has served as our Chief Executive Officer and as a member of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since June 2021. Mr. Beals served as Legacy WMH’s Chief Executive Officer from March 2019 to June 2021 and as a member of its board of managers since October 2015. Mr. Beals previously served as Legacy WMH’s General Counsel from September 2015, and Legacy WMH’s President from February 2016 to March 2019. Mr. Beals previously served as Senior Vice President of Colbeck Capital Management from December 2014 to August 2015 and Senior Corporate Counsel &amp; Data Privacy Officer at T-Systems International GmbH from February 2013 to December 2014. He also previously worked as an associate at Davis Polk &amp; Wardwell LLP and Covington &amp; Burling LLP. Mr. Beals holds a B.S. in Systems Engineering and a B.A. in Economics from the University of Pennsylvania and a J.D. from the University of Pennsylvania Law School.</w:t>
      </w:r>
    </w:p>
    <w:p>
      <w:pPr>
        <w:spacing w:after="0" w:line="5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i w:val="1"/>
          <w:iCs w:val="1"/>
          <w:color w:val="auto"/>
        </w:rPr>
        <w:t xml:space="preserve">Brian Camire. </w:t>
      </w:r>
      <w:r>
        <w:rPr>
          <w:rFonts w:ascii="Arial" w:cs="Arial" w:eastAsia="Arial" w:hAnsi="Arial"/>
          <w:sz w:val="18"/>
          <w:szCs w:val="18"/>
          <w:color w:val="auto"/>
        </w:rPr>
        <w:t>Mr. Camire has served as our General Counsel and Secretary since June 2021. Mr. Camire</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Legacy WMH’s General Counsel from May 2019 to June 2021. Prior to joining Legacy WMH, Mr. Camire served as Associate General Counsel of Snap Inc. from May 2016 until April 2019 and as Corporate Counsel from March 2015 to May 2016. From January 2011 to February 2015, Mr. Camire worked as an associate attorney at Cooley LLP. Mr. Camire holds a B.A. in Mathematics from Northwestern University and a J.D. from the University of Michigan Law School.</w:t>
      </w:r>
    </w:p>
    <w:p>
      <w:pPr>
        <w:spacing w:after="0" w:line="84"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i w:val="1"/>
          <w:iCs w:val="1"/>
          <w:color w:val="auto"/>
        </w:rPr>
        <w:t xml:space="preserve">Justin Dean. </w:t>
      </w:r>
      <w:r>
        <w:rPr>
          <w:rFonts w:ascii="Arial" w:cs="Arial" w:eastAsia="Arial" w:hAnsi="Arial"/>
          <w:sz w:val="17"/>
          <w:szCs w:val="17"/>
          <w:color w:val="auto"/>
        </w:rPr>
        <w:t>Mr. Dean has served as our Chief Technology Officer and Chief Information Officer since</w:t>
      </w:r>
      <w:r>
        <w:rPr>
          <w:rFonts w:ascii="Arial" w:cs="Arial" w:eastAsia="Arial" w:hAnsi="Arial"/>
          <w:sz w:val="17"/>
          <w:szCs w:val="17"/>
          <w:i w:val="1"/>
          <w:iCs w:val="1"/>
          <w:color w:val="auto"/>
        </w:rPr>
        <w:t xml:space="preserve"> </w:t>
      </w:r>
      <w:r>
        <w:rPr>
          <w:rFonts w:ascii="Arial" w:cs="Arial" w:eastAsia="Arial" w:hAnsi="Arial"/>
          <w:sz w:val="17"/>
          <w:szCs w:val="17"/>
          <w:color w:val="auto"/>
        </w:rPr>
        <w:t>June 2021. Mr. Dean served as Legacy WMH’s Chief Technology Officer from December 2019 to June 2021 and Chief Information Officer since November 2018. He previously served as the Senior Vice President of Technology and Head of Infrastructure and Platform at Ticketmaster from February 2015 to November 2018, Vice President of Global Infrastructure and Head of Technical Operations at Shopzilla (formerly Bizrate) from January 2007 to February 2015 and Vice President of Information Technology at B3 Corp from 2002 to 2007. Mr. Dean started his career in technology while serving as a Network Systems Engineer in the U.S. Marine Corps from October 1995 to October 1999 and then went on to serve in senior technical architecture roles at National Realty Trust and Compuware (assigned to Sempra Energy).</w:t>
      </w:r>
    </w:p>
    <w:p>
      <w:pPr>
        <w:spacing w:after="0" w:line="7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i w:val="1"/>
          <w:iCs w:val="1"/>
          <w:color w:val="auto"/>
        </w:rPr>
        <w:t xml:space="preserve">Juanjo Feijoo. </w:t>
      </w:r>
      <w:r>
        <w:rPr>
          <w:rFonts w:ascii="Arial" w:cs="Arial" w:eastAsia="Arial" w:hAnsi="Arial"/>
          <w:sz w:val="18"/>
          <w:szCs w:val="18"/>
          <w:color w:val="auto"/>
        </w:rPr>
        <w:t>Mr. Feijoo has served as our Chief Operating Officer since July 2021 and as our Chief</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Officer from June 2021 to July 2021. Mr. Feijoo served as Legacy WMH’s Chief Marketing Officer from May 2019 to June 2021. Previously, Mr. Feijoo served as Senior Director of Customer Engagement for Creative Cloud at Adobe, a publicly-held global technology company, from 2017 to 2019. Prior to that, from 2015 to 2017, Mr. Feijoo served</w:t>
      </w:r>
    </w:p>
    <w:p>
      <w:pPr>
        <w:sectPr>
          <w:pgSz w:w="11900" w:h="16838" w:orient="portrait"/>
          <w:cols w:equalWidth="0" w:num="1">
            <w:col w:w="9019"/>
          </w:cols>
          <w:pgMar w:left="1440" w:top="265" w:right="1440"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83" w:name="page84"/>
    <w:bookmarkEnd w:id="8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various roles at Maplebear inc (d/b/a Instacart), a private company, including Vice President of Central Operations &amp; Marketing. Prior that, from 2008 to 2015, Mr. Feijoo held several roles at Google, Inc, a publicly-held global technology company, including Head of Consumer Experience, Consumer Operations. Mr. Feijoo holds a B.S. in International Business Management from Oxford Brookes University.</w:t>
      </w:r>
    </w:p>
    <w:p>
      <w:pPr>
        <w:spacing w:after="0" w:line="63"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i w:val="1"/>
          <w:iCs w:val="1"/>
          <w:color w:val="auto"/>
        </w:rPr>
        <w:t xml:space="preserve">Arden Lee. </w:t>
      </w:r>
      <w:r>
        <w:rPr>
          <w:rFonts w:ascii="Arial" w:cs="Arial" w:eastAsia="Arial" w:hAnsi="Arial"/>
          <w:sz w:val="18"/>
          <w:szCs w:val="18"/>
          <w:color w:val="auto"/>
        </w:rPr>
        <w:t>Mr. Lee served as our Chief Financial Officer since June 2021. Mr. Lee served as Legacy WMH’s</w:t>
      </w:r>
      <w:r>
        <w:rPr>
          <w:rFonts w:ascii="Arial" w:cs="Arial" w:eastAsia="Arial" w:hAnsi="Arial"/>
          <w:sz w:val="18"/>
          <w:szCs w:val="18"/>
          <w:i w:val="1"/>
          <w:iCs w:val="1"/>
          <w:color w:val="auto"/>
        </w:rPr>
        <w:t xml:space="preserve"> </w:t>
      </w:r>
      <w:r>
        <w:rPr>
          <w:rFonts w:ascii="Arial" w:cs="Arial" w:eastAsia="Arial" w:hAnsi="Arial"/>
          <w:sz w:val="18"/>
          <w:szCs w:val="18"/>
          <w:color w:val="auto"/>
        </w:rPr>
        <w:t>Chief Financial Officer from February 2019 to June 2021. Prior to joining Legacy WMH, Mr. Lee was the Vice President of Global Business Planning at Nike, Inc. from December 2016 to July 2018 and previously worked at Goldman Sachs &amp; Co. from April 2007 to November 2016, most recently holding the position of Managing Director of Investment Banking. Mr. Lee also previously served as Vice President, Investment Banking at Citigroup, Inc. and Vice President, Mergers and Acquisitions at Deutsche Bank Securities. He holds an A.B. in Economics from Princeton University.</w:t>
      </w:r>
    </w:p>
    <w:p>
      <w:pPr>
        <w:spacing w:after="0" w:line="2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i w:val="1"/>
          <w:iCs w:val="1"/>
          <w:color w:val="auto"/>
        </w:rPr>
        <w:t>Tony Aquila</w:t>
      </w:r>
      <w:r>
        <w:rPr>
          <w:rFonts w:ascii="Arial" w:cs="Arial" w:eastAsia="Arial" w:hAnsi="Arial"/>
          <w:sz w:val="17"/>
          <w:szCs w:val="17"/>
          <w:color w:val="auto"/>
        </w:rPr>
        <w:t>. Mr. Aquila has served as a member of our board of directors since June 2021. In June 2019,</w:t>
      </w:r>
      <w:r>
        <w:rPr>
          <w:rFonts w:ascii="Arial" w:cs="Arial" w:eastAsia="Arial" w:hAnsi="Arial"/>
          <w:sz w:val="17"/>
          <w:szCs w:val="17"/>
          <w:i w:val="1"/>
          <w:iCs w:val="1"/>
          <w:color w:val="auto"/>
        </w:rPr>
        <w:t xml:space="preserve"> </w:t>
      </w:r>
      <w:r>
        <w:rPr>
          <w:rFonts w:ascii="Arial" w:cs="Arial" w:eastAsia="Arial" w:hAnsi="Arial"/>
          <w:sz w:val="17"/>
          <w:szCs w:val="17"/>
          <w:color w:val="auto"/>
        </w:rPr>
        <w:t>Mr. Aquila founded AFV Partners, an affirmative low-leverage capital vehicle that invests in long-term mission critical software, data and technology businesses and serves as its Chairman and Chief Executive Officer since its founding. In 2005, Mr. Aquila founded Solera Holdings Inc., and led it as Chairman and Chief Executive Officer to a $1 billion initial public offering in 2007, and in the following years sourced and executed over 50 acquisitions significantly expanding Solera’s total addressable market. Mr. Aquila oversaw Solera’s $6.5 billion transaction from a public-to-private business in 2016. Mr. Aquila currently serves as the Chairman for Aircraft Performance Group, LLC, a global provider of mission critical flight operations software, since January 2020, RocketRoute Limited, global aviation services company, since March 2020, APG Avionics LLC, an aviation data and software company for the general aviation market, since September 2020 and Canoo Inc., a mobility technology company, since December 2020. From November 2018 to July 2020, Mr. Aquila served as the Global Chairman of Sportradar Group, a sports data and content company.</w:t>
      </w:r>
    </w:p>
    <w:p>
      <w:pPr>
        <w:spacing w:after="0" w:line="71"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Mr. Aquila is qualified to serve on our board of directors based on his business experience as a founder, inventor, chief executive officer and director of publicly-listed companies and his investing experience.</w:t>
      </w:r>
    </w:p>
    <w:p>
      <w:pPr>
        <w:spacing w:after="0" w:line="38"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i w:val="1"/>
          <w:iCs w:val="1"/>
          <w:color w:val="auto"/>
        </w:rPr>
        <w:t xml:space="preserve">Anthony Bay. </w:t>
      </w:r>
      <w:r>
        <w:rPr>
          <w:rFonts w:ascii="Arial" w:cs="Arial" w:eastAsia="Arial" w:hAnsi="Arial"/>
          <w:sz w:val="17"/>
          <w:szCs w:val="17"/>
          <w:color w:val="auto"/>
        </w:rPr>
        <w:t>Mr. Bay has served as a member of our board of directors since March 2022. Since</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2019, Mr. Bay has served as the Founder and Chief Executive Officer of Techquity, a technology advisory firm helping innovative companies leverage software and cloud operations to scale faster with less risk. In addition, from 2013 to 2016, he served as Chief Executive Officer of Rdio, a leading global music subscription streaming service in 85 countries, dramatically expanding its customer base from 15 million to 40 million before it was sold to Pandora. In November 2015, Rdio filed for Chapter 11 bankruptcy relief as a condition of its sale to Pandora. Prior to that, Mr. Bay served as a Vice President for Amazon, as Global head for Digital Video, and in various leadership roles at Microsoft and Apple. Mr. Bay holds an MBA from San Jose State University and undergraduate degree in Economics from the University of California, Los Angeles.</w:t>
      </w:r>
    </w:p>
    <w:p>
      <w:pPr>
        <w:spacing w:after="0" w:line="73"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Mr. Bay was selected to serve on the Board based on his business experience as a founder, chief executive officer and various leadership positions of technology companies, and as a director of private and publicly-listed companies.</w:t>
      </w:r>
    </w:p>
    <w:p>
      <w:pPr>
        <w:spacing w:after="0" w:line="76"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i w:val="1"/>
          <w:iCs w:val="1"/>
          <w:color w:val="auto"/>
        </w:rPr>
        <w:t>Douglas Francis</w:t>
      </w:r>
      <w:r>
        <w:rPr>
          <w:rFonts w:ascii="Arial" w:cs="Arial" w:eastAsia="Arial" w:hAnsi="Arial"/>
          <w:sz w:val="16"/>
          <w:szCs w:val="16"/>
          <w:color w:val="auto"/>
        </w:rPr>
        <w:t>. Mr. Francis has served as a member of our board of directors since June 2021. Mr. Francis is</w:t>
      </w:r>
      <w:r>
        <w:rPr>
          <w:rFonts w:ascii="Arial" w:cs="Arial" w:eastAsia="Arial" w:hAnsi="Arial"/>
          <w:sz w:val="16"/>
          <w:szCs w:val="16"/>
          <w:i w:val="1"/>
          <w:iCs w:val="1"/>
          <w:color w:val="auto"/>
        </w:rPr>
        <w:t xml:space="preserve"> </w:t>
      </w:r>
      <w:r>
        <w:rPr>
          <w:rFonts w:ascii="Arial" w:cs="Arial" w:eastAsia="Arial" w:hAnsi="Arial"/>
          <w:sz w:val="16"/>
          <w:szCs w:val="16"/>
          <w:color w:val="auto"/>
        </w:rPr>
        <w:t>a co-founder of Legacy WMH, and served as chairman of Legacy WMH’s board of managers since March 2019 and as a member of Legacy WMH’s board of managers prior to that. Mr. Francis previously served as Legacy WMH’s Chief Executive Officer from February 2016 until March 2019 and as Legacy WMH’s President from January 2009 to February 2016. Mr. Francis has served in management positions in each of Legacy WMH’s current subsidiaries. Mr. Francis holds a B.S. in Business Administration and Management from Chapman University.</w:t>
      </w:r>
    </w:p>
    <w:p>
      <w:pPr>
        <w:spacing w:after="0" w:line="56"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Mr. Francis is qualified to serve on our board of directors based on his perspective, experience and institutional knowledge as our co-founder and his long tenure as Legacy WMH's President and Chief Executive Officer.</w:t>
      </w:r>
    </w:p>
    <w:p>
      <w:pPr>
        <w:spacing w:after="0" w:line="16"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i w:val="1"/>
          <w:iCs w:val="1"/>
          <w:color w:val="auto"/>
        </w:rPr>
        <w:t>Brenda Freeman</w:t>
      </w:r>
      <w:r>
        <w:rPr>
          <w:rFonts w:ascii="Arial" w:cs="Arial" w:eastAsia="Arial" w:hAnsi="Arial"/>
          <w:sz w:val="16"/>
          <w:szCs w:val="16"/>
          <w:color w:val="auto"/>
        </w:rPr>
        <w:t>. Ms. Freeman has served as a member of our board of directors since June 2021. Since</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2020, Ms. Freeman has served as Chief Executive Officer for Arteza, Inc., a direct-to-consumer arts and crafts manufacturing and supply company. Ms. Freeman founded and has served as President of Joyeux Advisory Group LLC, a firm providing advisory services to early-stage startups and Fortune 500 companies, since January 2018. From March 2016 to December 2018, Ms. Freeman was Chief Marketing Officer of Magic Leap, Inc., a virtual reality technology company, and from December 2018 to April 2019 was Senior Advisor to the Chief</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4" w:name="page85"/>
    <w:bookmarkEnd w:id="8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Executive Officer. From March 2015 to March 2016, Ms. Freeman served as Chief Marketing Officer of National Geographic Channel, a television network and channel. Ms. Freeman has been a member of the boards of directors of Blue Apron Holdings, Inc. since October 2020, of Caleres, Inc. since April 2017 and of Avnet, Inc. since November 2018. Ms. Freeman previously served on the board of directors of Herman Miller, Inc. from January 2016 to June 2019 and on the board of directors of RTW Retailwinds, Inc. from April 2019 to April 2020. Previously, Ms. Freeman served as Chief Marketing Officer at Turner Broadcasting Systems, Inc. and was Vice President, television marketing at DreamWorks Animation SKG Inc. Ms. Freeman holds a B.S. degree in chemical engineering and an M.B.A degree from the University of Maryland.</w:t>
      </w:r>
    </w:p>
    <w:p>
      <w:pPr>
        <w:spacing w:after="0" w:line="70"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Ms. Freeman is qualified to serve on our board of directors based on her business experience and technology industry expertise.</w:t>
      </w:r>
    </w:p>
    <w:p>
      <w:pPr>
        <w:spacing w:after="0" w:line="62"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i w:val="1"/>
          <w:iCs w:val="1"/>
          <w:color w:val="auto"/>
        </w:rPr>
        <w:t>Olga Gonzalez</w:t>
      </w:r>
      <w:r>
        <w:rPr>
          <w:rFonts w:ascii="Arial" w:cs="Arial" w:eastAsia="Arial" w:hAnsi="Arial"/>
          <w:sz w:val="17"/>
          <w:szCs w:val="17"/>
          <w:color w:val="auto"/>
        </w:rPr>
        <w:t>. Ms. Gonzalez has served as a member of our board of directors since June 2021. Since</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2021, Ms. Gonzalez has served as Global Business Leader for Wild Fork Foods, an online specialty food service. Prior to that, Ms. Gonzalez held various leadership positions at Walmart Inc., including Senior Vice President and Chief Financial Officer at Walmart México y Centroamérica from July 2017 to April 2020, Vice President Commercial &amp; Operations Finance at Walmart México y Centroamérica from October 2014 to June 2017, Chief Financial Officer at Walmart Chile from 2011 to 2014, and Vice President, Internal Audit Services Latin America at Walmart US from 2010 to 2011. Prior to that, Ms. Gonzalez had served as Director, Internal Audit at General Motors Company from 2006 to 2010 and from 1996 to 2004, Vice President, Enterprise Risk and Assurance Services at the American Express Company from 2004 to 2006, and Internal Audit at Banco Santander from 1989 to 1996. Ms. Gonzalez holds a Bachelor of Business Administration degree from Pontificia Universidad Católica de Puerto Rico and an M.B.A. from Florida International University.</w:t>
      </w:r>
    </w:p>
    <w:p>
      <w:pPr>
        <w:spacing w:after="0" w:line="74"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Ms. Gonzalez is qualified to serve on our board of directors based on her business experience and financial expertise.</w:t>
      </w:r>
    </w:p>
    <w:p>
      <w:pPr>
        <w:spacing w:after="0" w:line="62"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i w:val="1"/>
          <w:iCs w:val="1"/>
          <w:color w:val="auto"/>
        </w:rPr>
        <w:t xml:space="preserve">Scott Gordon. </w:t>
      </w:r>
      <w:r>
        <w:rPr>
          <w:rFonts w:ascii="Arial" w:cs="Arial" w:eastAsia="Arial" w:hAnsi="Arial"/>
          <w:sz w:val="16"/>
          <w:szCs w:val="16"/>
          <w:color w:val="auto"/>
        </w:rPr>
        <w:t>Mr. Gordon has served as a member of our board of directors since June 2021. Mr. Gordon has</w:t>
      </w:r>
      <w:r>
        <w:rPr>
          <w:rFonts w:ascii="Arial" w:cs="Arial" w:eastAsia="Arial" w:hAnsi="Arial"/>
          <w:sz w:val="16"/>
          <w:szCs w:val="16"/>
          <w:i w:val="1"/>
          <w:iCs w:val="1"/>
          <w:color w:val="auto"/>
        </w:rPr>
        <w:t xml:space="preserve"> </w:t>
      </w:r>
      <w:r>
        <w:rPr>
          <w:rFonts w:ascii="Arial" w:cs="Arial" w:eastAsia="Arial" w:hAnsi="Arial"/>
          <w:sz w:val="16"/>
          <w:szCs w:val="16"/>
          <w:color w:val="auto"/>
        </w:rPr>
        <w:t>been the Chairman of Silver Spike’s board of directors and has served as its Chief Executive Officer since its inception. Since 2016, Mr. Gordon has been the co-founder and Chairman of Egg Rock Holdings, parent company of the Papa &amp; Barkley family of cannabis products with related subsidiary assets in manufacturing, processing, and logistics. Egg Rock Holdings also is the parent company of Papa &amp; Barkley Essentials, a hemp-derived CBD business based in Colorado. From 2016 to 2018, Mr. Gordon was also President of Fintech Advisory Inc., investment manager for a multibillion dollar family office fund focused on long-term and opportunistic investments in emerging markets. From late 2013 to 2016, Mr. Gordon served as a Portfolio Manager at Taconic Capital Advisors, a multi-strategy investment firm. Prior to joining Taconic, Mr. Gordon was a Partner and Portfolio Manager at Caxton Associates from 2009 to 2012. He was also a Senior Managing Director and Head of Emerging Markets at Marathon Asset Management from 2007 to 2009. Earlier in his career, Mr. Gordon held leadership positions at Bank of America and ING Capital. Mr. Gordon was a founding member of the Emerging Markets business at JP Morgan where he worked upon graduating from Bowdoin College in 1983.</w:t>
      </w:r>
    </w:p>
    <w:p>
      <w:pPr>
        <w:spacing w:after="0" w:line="66"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Mr. Gordon is qualified to serve on our board of directors based on his experience in emerging markets and in the cannabis sector.</w:t>
      </w:r>
    </w:p>
    <w:p>
      <w:pPr>
        <w:spacing w:after="0" w:line="62"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i w:val="1"/>
          <w:iCs w:val="1"/>
          <w:color w:val="auto"/>
        </w:rPr>
        <w:t>Justin Hartfield</w:t>
      </w:r>
      <w:r>
        <w:rPr>
          <w:rFonts w:ascii="Arial" w:cs="Arial" w:eastAsia="Arial" w:hAnsi="Arial"/>
          <w:sz w:val="17"/>
          <w:szCs w:val="17"/>
          <w:color w:val="auto"/>
        </w:rPr>
        <w:t>. Mr. Hartfield has served as a member of our board of directors since June 2021. Mr. Hartfield</w:t>
      </w:r>
      <w:r>
        <w:rPr>
          <w:rFonts w:ascii="Arial" w:cs="Arial" w:eastAsia="Arial" w:hAnsi="Arial"/>
          <w:sz w:val="17"/>
          <w:szCs w:val="17"/>
          <w:i w:val="1"/>
          <w:iCs w:val="1"/>
          <w:color w:val="auto"/>
        </w:rPr>
        <w:t xml:space="preserve"> </w:t>
      </w:r>
      <w:r>
        <w:rPr>
          <w:rFonts w:ascii="Arial" w:cs="Arial" w:eastAsia="Arial" w:hAnsi="Arial"/>
          <w:sz w:val="17"/>
          <w:szCs w:val="17"/>
          <w:color w:val="auto"/>
        </w:rPr>
        <w:t>is a co-founder of Legacy WMH, and served as a member of Legacy WMH’s board of managers since inception and served as Legacy WMH’s chairman of the board from February 2016 to March 2019. Previously, Mr. Hartfield served as Legacy WMH’s Chief Executive Officer until February 2016. Mr. Hartfield holds a B.S. in Computer and Information Sciences and Supportive Services from the University of California, Irvine.</w:t>
      </w:r>
    </w:p>
    <w:p>
      <w:pPr>
        <w:spacing w:after="0" w:line="68"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Mr. Hartfield is qualified to serve on our board of directors based on his perspective, experience and institutional knowledge as our co-founder and his long tenure as Legacy WMH's President and Chief Executive Officer.</w:t>
      </w:r>
    </w:p>
    <w:p>
      <w:pPr>
        <w:spacing w:after="0" w:line="76"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i w:val="1"/>
          <w:iCs w:val="1"/>
          <w:color w:val="auto"/>
        </w:rPr>
        <w:t>Fiona Tan</w:t>
      </w:r>
      <w:r>
        <w:rPr>
          <w:rFonts w:ascii="Arial" w:cs="Arial" w:eastAsia="Arial" w:hAnsi="Arial"/>
          <w:sz w:val="16"/>
          <w:szCs w:val="16"/>
          <w:color w:val="auto"/>
        </w:rPr>
        <w:t>. Ms. Tan has served as a member of our board of directors since June 2021. Since September 2020,</w:t>
      </w:r>
      <w:r>
        <w:rPr>
          <w:rFonts w:ascii="Arial" w:cs="Arial" w:eastAsia="Arial" w:hAnsi="Arial"/>
          <w:sz w:val="16"/>
          <w:szCs w:val="16"/>
          <w:i w:val="1"/>
          <w:iCs w:val="1"/>
          <w:color w:val="auto"/>
        </w:rPr>
        <w:t xml:space="preserve"> </w:t>
      </w:r>
      <w:r>
        <w:rPr>
          <w:rFonts w:ascii="Arial" w:cs="Arial" w:eastAsia="Arial" w:hAnsi="Arial"/>
          <w:sz w:val="16"/>
          <w:szCs w:val="16"/>
          <w:color w:val="auto"/>
        </w:rPr>
        <w:t>Ms. Tan has served as Global Head of Customer and Supplier Technology for Wayfair LLC. Prior to that Ms. Tan held various leadership positions at Walmart Inc., including Head of Technology, Walmart US from March 2019 to September 2020, Senior Vice President, Engineering, Customer Technology, WalmartLabs from January 2017 to March 2019 and Vice President, Engineering, International Markets, WalmartLabs Strategy, and Operations from</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5" w:name="page86"/>
    <w:bookmarkEnd w:id="8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April 2014 to January 2017. Prior to that Ms. Tan was Vice President, Engineering for Ariba, Inc. Ms. Tan also previously worked for 16 years at TIBCO Software, Inc., as well as for Oracle Corporation. Ms. Tan holds an M.S. in Computer Science from Stanford University and a B.S. in Computer Science and Engineering from the Massachusetts Institute of Technology.</w:t>
      </w:r>
    </w:p>
    <w:p>
      <w:pPr>
        <w:spacing w:after="0" w:line="79"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Ms. Tan is qualified to serve on our board of directors based on her business experience and technology industry expertise.</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Our business and affairs are organized under the direction of our board of directors. Our board of directors consists of eight members. In addition, there is one vacancy on our board directors, which such vacancy will be filled by an affirmative vote of a majority of our board directors. The Chair of our board of directors is Christopher Beals. The primary responsibilities of our board of directors is to provide oversight, strategic guidance, counseling and direction to our management. Our board of directors meet on a regular basis and additionally as required.</w:t>
      </w:r>
    </w:p>
    <w:p>
      <w:pPr>
        <w:spacing w:after="0" w:line="53"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In accordance with the terms of our charter, our board of directors is divided into three classes, Class I, Class II and Class III, with only one class of directors being elected in each year and each class serving a three-year term. There is no cumulative voting with respect to the election of directors, with the result that the holders of more than 50% of the shares voted for the election of directors can elect all of the directors.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of directors is divided into the following classes:</w:t>
      </w:r>
    </w:p>
    <w:p>
      <w:pPr>
        <w:spacing w:after="0" w:line="117" w:lineRule="exact"/>
        <w:rPr>
          <w:sz w:val="20"/>
          <w:szCs w:val="20"/>
          <w:color w:val="auto"/>
        </w:rPr>
      </w:pPr>
    </w:p>
    <w:p>
      <w:pPr>
        <w:ind w:left="1000" w:right="319" w:hanging="348"/>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Class I, which consists of Messrs. Beals and Bay and Ms. Tan, whose terms will expire at our first annual meeting of stockholders to be held after the Business Combination;</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Class II, which consists of Mr. Aquila, Mses. Gonzalez and Freeman, whose terms will expire at our second annual meeting of stockholders to be held after the Business Combination; and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Class III, which consists of Messrs. Francis, Gordon, and Hartfield, whose terms will expire at our third annual meeting of stockholders to be held after the Business Combination.</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Our board of directors determined that each of the directors on our board of directors other than Messrs. Beals, Hartfield and Mr. Francis are independent directors, as defined under the listing rules of The Nasdaq Stock Market LLC (the “Nasdaq listing rules”), and our board of directors consists of a majority of “independent directors,” as defined under the rules of the SEC and Nasdaq listing rules relating to director independence requirements. In addition, we are subject to the rules of the SEC and Nasdaq relating to the membership, qualifications and operations of the audit committee, as discussed below.</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Mr. Bay has served as Chairman of our board of directors since March 2022. Our board of directors also believes, however, that Mr. Bay's independence is an essential complement to his familiarity with the Company and management representation on our board of directors, helping to foster an environment that is conducive to objective evaluation and oversight of management's performance.</w:t>
      </w:r>
    </w:p>
    <w:p>
      <w:pPr>
        <w:spacing w:after="0" w:line="79"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Mr. Bay has the authority, among other things, to call and preside over our board of directors meetings and set meeting agendas, as well as to preside over and establish agendas for executive sessions of the independent directors, giving him substantial authority to shape the work of our board of directors. Our board of directors believes that his independence, coupled with his substantial business expertise and experience in public company management, enhances the effectiveness of our board of directors as a whole and makes him chairman in the best interests of us, our board of directors and our stockholders.</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Our board of directors established an audit committee, a compensation committee and a nominating and corporate governance committee. Our board of directors adopted a charter for each of these committees, which complies with the applicable requirements of current Nasdaq rules. We intend to comply with future requirements to the extent they will be applicable to us. Copies of the charters for each committee are available on the investor relations portion of our website.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6" w:name="page87"/>
    <w:bookmarkEnd w:id="8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Our audit committee consists of Mses. Gonzalez, Freeman and Messrs. Bay and Gordon. Our board of directors has determined that each of the members of the audit committee satisfy the independence requirements of Nasdaq and Rule 10A-3 under the Exchange Act. Each member of the audit committee can read and understand fundamental financial statements in accordance with Nasdaq audit committee requirements. In arriving at this determination, our board of directors examined each audit committee member’s scope of experience and the nature of their prior and/or current employment.</w:t>
      </w:r>
    </w:p>
    <w:p>
      <w:pPr>
        <w:spacing w:after="0" w:line="84"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We named Ms. Gonzalez as the chair of the audit committee. Our board of directors determined that Ms. Gonzalez qualifies as an audit committee financial expert within the meaning of SEC regulations and meets the financial sophistication requirements of Nasdaq listing rules. In making this determination, our board of directors considered Ms. Gonzalez’s formal education and previous experience in financial roles. Both our independent registered public accounting firm and management periodically will meet privately with our audit committee.</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functions of this committee include, among other things:</w:t>
      </w:r>
    </w:p>
    <w:p>
      <w:pPr>
        <w:spacing w:after="0" w:line="117" w:lineRule="exact"/>
        <w:rPr>
          <w:sz w:val="20"/>
          <w:szCs w:val="20"/>
          <w:color w:val="auto"/>
        </w:rPr>
      </w:pPr>
    </w:p>
    <w:p>
      <w:pPr>
        <w:ind w:left="1000" w:hanging="348"/>
        <w:spacing w:after="0"/>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approve the hiring, discharging and compensation of our independent registered public accounting firm;</w:t>
      </w:r>
    </w:p>
    <w:p>
      <w:pPr>
        <w:spacing w:after="0" w:line="140" w:lineRule="exact"/>
        <w:rPr>
          <w:rFonts w:ascii="Arial" w:cs="Arial" w:eastAsia="Arial" w:hAnsi="Arial"/>
          <w:sz w:val="16"/>
          <w:szCs w:val="16"/>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oversee the work of our independent registered public accounting firm;</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approve engagements of the independent registered public accounting firm to render any audit or permissible non-audit services;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 the qualifications, independence and performance of the independent registered public accounting firm;</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 our financial statements and review our critical accounting policies and estimates;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 and approve related party transactions and any exchanges of Units pursuant to the exchange agreement that are proposed to be settled in cash;</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 the adequacy and effectiveness of our internal controls; and</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registered public accounting firm the results of our annual audit, our quarterly financial statements and our publicly filed reports.</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Our compensation committee consists of Messrs. Aquila, Bay and Gordon. We named Mr. Aquila as our chair of the compensation committee. Our board of directors has determined that each of the members of the compensation committee is a non-employee director, as defined in Rule 16b-3 promulgated under the Exchange Act and satisfies the independence requirements of Nasdaq.</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functions of the committee include, among other things:</w:t>
      </w:r>
    </w:p>
    <w:p>
      <w:pPr>
        <w:spacing w:after="0" w:line="117" w:lineRule="exact"/>
        <w:rPr>
          <w:sz w:val="20"/>
          <w:szCs w:val="20"/>
          <w:color w:val="auto"/>
        </w:rPr>
      </w:pPr>
    </w:p>
    <w:p>
      <w:pPr>
        <w:ind w:left="1000" w:hanging="348"/>
        <w:spacing w:after="0"/>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review and recommend policies relating to compensation and benefits of our officers and employees;</w:t>
      </w:r>
    </w:p>
    <w:p>
      <w:pPr>
        <w:spacing w:after="0" w:line="128" w:lineRule="exact"/>
        <w:rPr>
          <w:rFonts w:ascii="Arial" w:cs="Arial" w:eastAsia="Arial" w:hAnsi="Arial"/>
          <w:sz w:val="17"/>
          <w:szCs w:val="17"/>
          <w:color w:val="auto"/>
        </w:rPr>
      </w:pPr>
    </w:p>
    <w:p>
      <w:pPr>
        <w:ind w:left="1000" w:right="299" w:hanging="348"/>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 and approve corporate goals and objectives relevant to compensation of our chief executive officer and other senior officers;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evaluate the performance of our officers in light of established goals and objectives;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recommend compensation of our officers based on its evaluations;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administer the issuance of stock options and other awards under our stock plans.</w:t>
      </w:r>
    </w:p>
    <w:p>
      <w:pPr>
        <w:spacing w:after="0" w:line="3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Nominating and Governance Committee</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Our nominating and corporate governance committee consists of Mses. Tan and Freeman. Ms. Freeman serves as the chair of the nominating and corporate governance committee. Our board of directors has determined that each of the members of our nominating and corporate governance committee satisfies the independence requirements of Nasdaq.</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functions of this committee include, among other things: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7" w:name="page88"/>
    <w:bookmarkEnd w:id="8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299" w:hanging="348"/>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evaluate and make recommendations regarding the organization and governance of our board of directors and its committees;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assess the performance of members of our board of directors and make recommendations regarding committee and chair assignments;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recommend desired qualifications for board of directors membership and conduct searches for potential members of our board of directors;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 and make recommendations with regard to our corporate governance guidelines.</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Our board of directors expects to review director compensation periodically to ensure that director compensation remains competitive such that we are able to recruit and retain qualified directors. We developed a board of directors’ compensation program that is designed to align compensation with our business objectives and the creation of stockholder value, while enabling us to attract, retain, incentivize and reward directors who contribute to our long-term success.</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Our board of directors adopted a Code of Business Conduct and Ethics (the “Code of Conduct”), applicable to all of our employees, executive officers and directors. The Code of Conduct is available on our website at ir.weedmaps.com. Information contained on or accessible through our website is not a part of this prospectus, and the inclusion of our website address in this prospectus is an inactive textual reference only.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None of the intended members of our compensation committee has ever been our executive officer or employee. None of our executive officers currently serve, or has served during the last completed fiscal year, on the compensation committee or board of directors of any other entity that has one or more executive officers that will serve as a member of our board of directors or compensation committee.</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Our charter eliminated our directors’ liability for monetary damages to the fullest extent permitted by applicable law. The DGCL provides that directors of a corporation will not be personally liable for monetary damages for breach of their fiduciary duties as directors, except for liability:</w:t>
      </w:r>
    </w:p>
    <w:p>
      <w:pPr>
        <w:spacing w:after="0" w:line="76" w:lineRule="exact"/>
        <w:rPr>
          <w:sz w:val="20"/>
          <w:szCs w:val="20"/>
          <w:color w:val="auto"/>
        </w:rPr>
      </w:pPr>
    </w:p>
    <w:p>
      <w:pPr>
        <w:ind w:left="1000" w:hanging="348"/>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any act or omission not in good faith or that involves intentional misconduct or a knowing violation of law;</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any unlawful payment of dividends or redemption of shares;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any breach of a director’s duty of loyalty to the corporation or our stockholders.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7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Our charter requires us to indemnify and advance expenses to, to the fullest extent permitted by applicable law, our directors, officers and agents. We maintain a directors’ and officers’ insurance policy pursuant to which our directors and officers are insured against liability for actions taken in their capacities as directors and officers. Finally, our charter prohibits any retroactive changes to the rights or protections or increase the liability of any director in effect at the time of the alleged occurrence of any act or omission to act giving rise to liability or indemnification.</w:t>
      </w:r>
    </w:p>
    <w:p>
      <w:pPr>
        <w:spacing w:after="0" w:line="84"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In addition, we entered into separate indemnification agreements with our directors and officers. These agreements, among other things, require us to indemnify our directors and officers for certain expenses, including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8" w:name="page89"/>
    <w:bookmarkEnd w:id="8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7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We believe these provisions in our charter are necessary to attract and retain qualified persons as our directors and officers.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9" w:name="page90"/>
    <w:bookmarkEnd w:id="8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Our named executive officers, including our principal executive officer and the next two most highly compensated executive officers, as of December 31, 2021, were:</w:t>
      </w:r>
    </w:p>
    <w:p>
      <w:pPr>
        <w:spacing w:after="0" w:line="62" w:lineRule="exact"/>
        <w:rPr>
          <w:sz w:val="20"/>
          <w:szCs w:val="20"/>
          <w:color w:val="auto"/>
        </w:rPr>
      </w:pPr>
    </w:p>
    <w:p>
      <w:pPr>
        <w:ind w:left="1000" w:hanging="348"/>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Christopher Beals, Chief Executive Officer;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Arden Lee, Chief Financial Officer;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Juanjo Feijoo, Chief Operating Officer.</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2021 Summary Compensation Table</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The following table provides information regarding the compensation earned by or paid to our named executive officers with respect to December 31, 2021.</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Equity</w:t>
            </w: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Non-Equity</w:t>
            </w: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All Other</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Salary</w:t>
            </w:r>
          </w:p>
        </w:tc>
        <w:tc>
          <w:tcPr>
            <w:tcW w:w="7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Bonus</w:t>
            </w:r>
          </w:p>
        </w:tc>
        <w:tc>
          <w:tcPr>
            <w:tcW w:w="940" w:type="dxa"/>
            <w:vAlign w:val="bottom"/>
            <w:gridSpan w:val="2"/>
            <w:vMerge w:val="continue"/>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020" w:type="dxa"/>
            <w:vAlign w:val="bottom"/>
            <w:gridSpan w:val="2"/>
            <w:vMerge w:val="continue"/>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5"/>
        </w:trPr>
        <w:tc>
          <w:tcPr>
            <w:tcW w:w="262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2"/>
                <w:szCs w:val="12"/>
                <w:color w:val="auto"/>
              </w:rPr>
            </w:pPr>
          </w:p>
        </w:tc>
        <w:tc>
          <w:tcPr>
            <w:tcW w:w="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Year</w:t>
            </w:r>
          </w:p>
        </w:tc>
        <w:tc>
          <w:tcPr>
            <w:tcW w:w="70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4"/>
              </w:rPr>
              <w:t>Awards</w:t>
            </w:r>
          </w:p>
        </w:tc>
        <w:tc>
          <w:tcPr>
            <w:tcW w:w="10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2"/>
              </w:rPr>
              <w:t>Compensation</w:t>
            </w:r>
          </w:p>
        </w:tc>
        <w:tc>
          <w:tcPr>
            <w:tcW w:w="10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2"/>
              </w:rPr>
              <w:t>Compensation</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26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gridSpan w:val="2"/>
            <w:vMerge w:val="continue"/>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21"/>
                <w:szCs w:val="21"/>
                <w:color w:val="auto"/>
              </w:rPr>
            </w:pPr>
          </w:p>
        </w:tc>
        <w:tc>
          <w:tcPr>
            <w:tcW w:w="600" w:type="dxa"/>
            <w:vAlign w:val="bottom"/>
          </w:tcPr>
          <w:p>
            <w:pPr>
              <w:jc w:val="right"/>
              <w:ind w:right="56"/>
              <w:spacing w:after="0" w:line="24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(1)</w:t>
            </w:r>
          </w:p>
        </w:tc>
        <w:tc>
          <w:tcPr>
            <w:tcW w:w="100" w:type="dxa"/>
            <w:vAlign w:val="bottom"/>
          </w:tcPr>
          <w:p>
            <w:pPr>
              <w:spacing w:after="0"/>
              <w:rPr>
                <w:sz w:val="21"/>
                <w:szCs w:val="21"/>
                <w:color w:val="auto"/>
              </w:rPr>
            </w:pPr>
          </w:p>
        </w:tc>
        <w:tc>
          <w:tcPr>
            <w:tcW w:w="840" w:type="dxa"/>
            <w:vAlign w:val="bottom"/>
          </w:tcPr>
          <w:p>
            <w:pPr>
              <w:jc w:val="center"/>
              <w:spacing w:after="0" w:line="242"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(2)</w:t>
            </w:r>
          </w:p>
        </w:tc>
        <w:tc>
          <w:tcPr>
            <w:tcW w:w="100" w:type="dxa"/>
            <w:vAlign w:val="bottom"/>
          </w:tcPr>
          <w:p>
            <w:pPr>
              <w:spacing w:after="0"/>
              <w:rPr>
                <w:sz w:val="21"/>
                <w:szCs w:val="21"/>
                <w:color w:val="auto"/>
              </w:rPr>
            </w:pPr>
          </w:p>
        </w:tc>
        <w:tc>
          <w:tcPr>
            <w:tcW w:w="900" w:type="dxa"/>
            <w:vAlign w:val="bottom"/>
          </w:tcPr>
          <w:p>
            <w:pPr>
              <w:jc w:val="right"/>
              <w:ind w:right="27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1"/>
                <w:szCs w:val="21"/>
                <w:color w:val="auto"/>
              </w:rPr>
            </w:pPr>
          </w:p>
        </w:tc>
        <w:tc>
          <w:tcPr>
            <w:tcW w:w="920" w:type="dxa"/>
            <w:vAlign w:val="bottom"/>
          </w:tcPr>
          <w:p>
            <w:pPr>
              <w:jc w:val="center"/>
              <w:spacing w:after="0" w:line="242"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(3)</w:t>
            </w:r>
          </w:p>
        </w:tc>
        <w:tc>
          <w:tcPr>
            <w:tcW w:w="10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63"/>
        </w:trPr>
        <w:tc>
          <w:tcPr>
            <w:tcW w:w="2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Christopher Beals</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2021</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600,000</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10,000,000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8"/>
                <w:szCs w:val="18"/>
                <w:color w:val="auto"/>
              </w:rPr>
              <w:t>14,467</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10,614,467</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3"/>
                <w:szCs w:val="23"/>
                <w:color w:val="auto"/>
              </w:rPr>
            </w:pPr>
          </w:p>
        </w:tc>
        <w:tc>
          <w:tcPr>
            <w:tcW w:w="4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600,000</w:t>
            </w:r>
          </w:p>
        </w:tc>
        <w:tc>
          <w:tcPr>
            <w:tcW w:w="100" w:type="dxa"/>
            <w:vAlign w:val="bottom"/>
          </w:tcPr>
          <w:p>
            <w:pPr>
              <w:spacing w:after="0"/>
              <w:rPr>
                <w:sz w:val="23"/>
                <w:szCs w:val="2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54"/>
        </w:trPr>
        <w:tc>
          <w:tcPr>
            <w:tcW w:w="2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Arden Lee</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2021</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500,000</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667,081</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8,000,000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8"/>
                <w:szCs w:val="18"/>
                <w:color w:val="auto"/>
              </w:rPr>
              <w:t>13,716</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9,180,797</w:t>
            </w:r>
          </w:p>
        </w:tc>
        <w:tc>
          <w:tcPr>
            <w:tcW w:w="0" w:type="dxa"/>
            <w:vAlign w:val="bottom"/>
          </w:tcPr>
          <w:p>
            <w:pPr>
              <w:spacing w:after="0"/>
              <w:rPr>
                <w:sz w:val="1"/>
                <w:szCs w:val="1"/>
                <w:color w:val="auto"/>
              </w:rPr>
            </w:pPr>
          </w:p>
        </w:tc>
      </w:tr>
      <w:tr>
        <w:trPr>
          <w:trHeight w:val="256"/>
        </w:trPr>
        <w:tc>
          <w:tcPr>
            <w:tcW w:w="2620" w:type="dxa"/>
            <w:vAlign w:val="bottom"/>
          </w:tcPr>
          <w:p>
            <w:pPr>
              <w:spacing w:after="0"/>
              <w:rPr>
                <w:sz w:val="20"/>
                <w:szCs w:val="20"/>
                <w:color w:val="auto"/>
              </w:rPr>
            </w:pPr>
            <w:r>
              <w:rPr>
                <w:rFonts w:ascii="Arial" w:cs="Arial" w:eastAsia="Arial" w:hAnsi="Arial"/>
                <w:sz w:val="18"/>
                <w:szCs w:val="18"/>
                <w:color w:val="auto"/>
              </w:rPr>
              <w:t>Juanjo Feijoo</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80"/>
              <w:spacing w:after="0"/>
              <w:rPr>
                <w:sz w:val="20"/>
                <w:szCs w:val="20"/>
                <w:color w:val="auto"/>
              </w:rPr>
            </w:pPr>
            <w:r>
              <w:rPr>
                <w:rFonts w:ascii="Arial" w:cs="Arial" w:eastAsia="Arial" w:hAnsi="Arial"/>
                <w:sz w:val="18"/>
                <w:szCs w:val="18"/>
                <w:i w:val="1"/>
                <w:iCs w:val="1"/>
                <w:color w:val="auto"/>
              </w:rPr>
              <w:t>Chief Operating Officer</w:t>
            </w:r>
          </w:p>
        </w:tc>
        <w:tc>
          <w:tcPr>
            <w:tcW w:w="4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436,923</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252,478</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6,000,000</w:t>
            </w:r>
          </w:p>
        </w:tc>
        <w:tc>
          <w:tcPr>
            <w:tcW w:w="10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8"/>
              <w:spacing w:after="0"/>
              <w:rPr>
                <w:sz w:val="20"/>
                <w:szCs w:val="20"/>
                <w:color w:val="auto"/>
              </w:rPr>
            </w:pPr>
            <w:r>
              <w:rPr>
                <w:rFonts w:ascii="Arial" w:cs="Arial" w:eastAsia="Arial" w:hAnsi="Arial"/>
                <w:sz w:val="18"/>
                <w:szCs w:val="18"/>
                <w:color w:val="auto"/>
              </w:rPr>
              <w:t>12,757</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6,702,158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-1216660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-1216660</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-1216660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-1216660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-1216660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-1216660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-1216660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128905</wp:posOffset>
            </wp:positionV>
            <wp:extent cx="8229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31" w:lineRule="exact"/>
        <w:rPr>
          <w:sz w:val="20"/>
          <w:szCs w:val="20"/>
          <w:color w:val="auto"/>
        </w:rPr>
      </w:pPr>
    </w:p>
    <w:p>
      <w:pPr>
        <w:ind w:left="640" w:right="299" w:hanging="348"/>
        <w:spacing w:after="0" w:line="253" w:lineRule="auto"/>
        <w:tabs>
          <w:tab w:leader="none" w:pos="6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amounts represent performance-based, discretionary bonuses, and in the case of Mr. Lee, a one-time discretionary cash bonus of $450,000 in connection with the completion of the Business Combination.</w:t>
      </w:r>
    </w:p>
    <w:p>
      <w:pPr>
        <w:spacing w:after="0" w:line="11" w:lineRule="exact"/>
        <w:rPr>
          <w:rFonts w:ascii="Arial" w:cs="Arial" w:eastAsia="Arial" w:hAnsi="Arial"/>
          <w:sz w:val="14"/>
          <w:szCs w:val="14"/>
          <w:color w:val="auto"/>
        </w:rPr>
      </w:pPr>
    </w:p>
    <w:p>
      <w:pPr>
        <w:jc w:val="both"/>
        <w:ind w:left="640" w:right="299" w:hanging="348"/>
        <w:spacing w:after="0" w:line="243" w:lineRule="auto"/>
        <w:tabs>
          <w:tab w:leader="none" w:pos="640" w:val="left"/>
        </w:tabs>
        <w:numPr>
          <w:ilvl w:val="0"/>
          <w:numId w:val="43"/>
        </w:numPr>
        <w:rPr>
          <w:rFonts w:ascii="Arial" w:cs="Arial" w:eastAsia="Arial" w:hAnsi="Arial"/>
          <w:sz w:val="13"/>
          <w:szCs w:val="13"/>
          <w:color w:val="auto"/>
        </w:rPr>
      </w:pPr>
      <w:r>
        <w:rPr>
          <w:rFonts w:ascii="Arial" w:cs="Arial" w:eastAsia="Arial" w:hAnsi="Arial"/>
          <w:sz w:val="13"/>
          <w:szCs w:val="13"/>
          <w:color w:val="auto"/>
        </w:rPr>
        <w:t>Amounts reflect the grant date fair value of all service-vesting restricted stock unit (“RSU”) awards and for the performance-vesting restricted stock unit (“PRSU”) awards at the target number of PRSUs granted in 2021, in accordance with ASC 718. The grant date fair value of each RSU award was measured based on the closing price of our shares of our Class A Common Stock on the date prior to the date of grant. Because the PRSU awards are subject to specified company performance metrics, the grant date fair value reported was based upon the probable outcome of such conditions. For information regarding assumptions underlying the value of equity awards, see Note 12 to our financial statements included elsewhere in this prospectus. The actual vesting of the PRSU awards will be between 0% and 200% of the target number of PRSU awards granted. These amounts do not necessarily correspond to the actual value recognized or that may be recognized by our named executive officers. The value of the PRSU awards on the date of grant assuming the highest level of performance conditions will be achieved is $10,000,000 for Mr. Beals, $8,000,000 for Mr. Lee, and $6,000,000 for Mr. Feijoo, which is based on maximum vesting of the PRSU awards multiplied by the closing price of our Class A Common Stock on the date prior to the grant date. For additional information regarding the specific terms of the PRSU awards granted to our named executive officers in 2021, see “Outstanding Equity Awards at December 31, 2021” below.</w:t>
      </w:r>
    </w:p>
    <w:p>
      <w:pPr>
        <w:spacing w:after="0" w:line="19" w:lineRule="exact"/>
        <w:rPr>
          <w:rFonts w:ascii="Arial" w:cs="Arial" w:eastAsia="Arial" w:hAnsi="Arial"/>
          <w:sz w:val="13"/>
          <w:szCs w:val="13"/>
          <w:color w:val="auto"/>
        </w:rPr>
      </w:pPr>
    </w:p>
    <w:p>
      <w:pPr>
        <w:ind w:left="640" w:right="299" w:hanging="348"/>
        <w:spacing w:after="0" w:line="290" w:lineRule="auto"/>
        <w:tabs>
          <w:tab w:leader="none" w:pos="64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amounts includes (i) group term life insurance premiums in excess of the broad-based benefit level of $540, $810 and $486 and (ii) matching contributions under our 401(k) plan of $9,312, $11,883 and $12,248 for Messrs. Beals, Lee and Feijoo, respectively.</w:t>
      </w:r>
    </w:p>
    <w:p>
      <w:pPr>
        <w:spacing w:after="0" w:line="1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For 2021, the compensation programs for our named executive officers consisted of base salary and incentive compensation delivered in the form of Plan units.</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Base salary is set at a level that is intended to reflect the executive’s duties, authorities, contributions, prior experience and performance.</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Cash Bonus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2021, Mr. Lee and Mr. Feijoo were each eligible for annual discretionary cash bonus awards of up to 50% and 70%, respectively, of their annual salary subject to the attainment of performance goals set by our board of directors and our compensation committee. In addition, Mr. Lee received a one-time discretionary cash bonus of $450,000 in connection with the completion of the Business Combination.</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Equity-Based Incentive Awards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Our equity award program is the primary vehicle for offering long-term incentives to our executives. We believe that equity awards provide our executives with a strong link to long-term performance, create an ownership culture</w:t>
      </w:r>
    </w:p>
    <w:p>
      <w:pPr>
        <w:sectPr>
          <w:pgSz w:w="11900" w:h="16838" w:orient="portrait"/>
          <w:cols w:equalWidth="0" w:num="1">
            <w:col w:w="9019"/>
          </w:cols>
          <w:pgMar w:left="1440" w:top="265"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0" w:name="page91"/>
    <w:bookmarkEnd w:id="9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311" w:lineRule="auto"/>
        <w:rPr>
          <w:sz w:val="20"/>
          <w:szCs w:val="20"/>
          <w:color w:val="auto"/>
        </w:rPr>
      </w:pPr>
      <w:r>
        <w:rPr>
          <w:rFonts w:ascii="Arial" w:cs="Arial" w:eastAsia="Arial" w:hAnsi="Arial"/>
          <w:sz w:val="16"/>
          <w:szCs w:val="16"/>
          <w:color w:val="auto"/>
        </w:rPr>
        <w:t>and help to align the interests of our executives and members. To date, we have used profits interests for this purpose. We believe that our equity awards are an important retention tool for our executive officers, as well as for our other employees. We award equity awards broadly to our employees, including to our non-executive employees.</w:t>
      </w:r>
    </w:p>
    <w:p>
      <w:pPr>
        <w:spacing w:after="0" w:line="4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Prior to the Business Combination, all of the equity awards Legacy WMH has granted were made pursuant to the 2018 Plan. The terms of our equity plans are described under the section titled “—Employee Benefit Plans” below.</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December 2021, we awarded our named executive officers RSUs and PRSUs under our 2021 Plan.</w:t>
      </w:r>
    </w:p>
    <w:p>
      <w:pPr>
        <w:spacing w:after="0" w:line="129"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The number of RSUs granted to each of our named executive officers was 781,250, 625,000 and 468,750 for Mr. Beals, Mr. Lee and Mr. Feijoo, respectively. The RSUs vest in equal quarterly installments over three years following the vesting commencement date, and vesting terminates upon the named executive officer’s termination of continuous service with us.</w:t>
      </w:r>
    </w:p>
    <w:p>
      <w:pPr>
        <w:spacing w:after="0" w:line="79"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The target number of PRSUs granted to each of our named executive officers was 781,250, 625,000 and 468,750 for Mr. Beals, Mr. Lee and Mr. Feijoo, respectively. The PRSUs vest only if we achieve specified performance goals during the performance period beginning on January 1, 2022 and ending on December 31, 2023. The actual number of PRSUs that vest will be determined based upon the following calculation: (i) the sum of</w:t>
      </w:r>
    </w:p>
    <w:p>
      <w:pPr>
        <w:spacing w:after="0" w:line="1" w:lineRule="exact"/>
        <w:rPr>
          <w:sz w:val="20"/>
          <w:szCs w:val="20"/>
          <w:color w:val="auto"/>
        </w:rPr>
      </w:pPr>
    </w:p>
    <w:p>
      <w:pPr>
        <w:jc w:val="both"/>
        <w:ind w:left="300" w:right="299" w:hanging="8"/>
        <w:spacing w:after="0" w:line="253" w:lineRule="auto"/>
        <w:tabs>
          <w:tab w:leader="none" w:pos="61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Revenue CAGR Percentage (as defined in the PRSU award agreement) multiplied by 0.75, plus (B) the Adjusted EBITDA Margin Percentage (as defined in the PRSU award agreement) multiplied by 0.25, then multiplied by (ii) the target Number of PRSUs granted to the named executive officer, with the resulting number of PRSUs rounded down to the nearest whole unit.</w:t>
      </w:r>
    </w:p>
    <w:p>
      <w:pPr>
        <w:spacing w:after="0" w:line="85"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The number of PRSUs that vest will be determined by our compensation committee within 90 days following the end of the performance period, which is referred to as the determination date. Each named executive officer must remain employed by us through the determination date for the PRSU award to vest.</w:t>
      </w:r>
    </w:p>
    <w:p>
      <w:pPr>
        <w:spacing w:after="0" w:line="5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Threshold achievement of the Revenue CAGR performance metric will result in a 50% Revenue CAGR Percentage, target achievement of the Revenue CAGR performance metric will result in a 100% Revenue CAGR Percentage, and maximum achievement of the Revenue CAGR performance metric will result in a 200% Revenue CAGR Percentage, with the Revenue CAGR Percentage interpolated linearly and rounded up the nearest percentage point between these level after threshold performance is attained.</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Threshold achievement of the Adjusted EBITDA Margin performance metric will result in a 50% Adjusted EBITDA Margin Percentage, target achievement of the Adjusted EBITDA Margin performance metric will result in a 100% Adjusted EBITDA Margin Percentage, and maximum achievement of the Adjusted EBITDA Margin performance metric will result in a 200% Adjusted EBITDA Margin Percentage, with the Adjusted EBITDA Margin Percentage interpolated linearly and rounded up the nearest percentage point between these level after threshold performance is attained.</w:t>
      </w:r>
    </w:p>
    <w:p>
      <w:pPr>
        <w:spacing w:after="0" w:line="2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Benefits and Perquisites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provide benefits to our named executive officers on the same basis as provided to all of our employees, including health, dental and vision insurance; life insurance; accidental death and dismemberment insurance; disability insurance; and a tax-qualified Section 401(k) plan. We do not maintain any executive-specific benefit or executive perquisite programs.</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Retirement Plans</w:t>
      </w:r>
    </w:p>
    <w:p>
      <w:pPr>
        <w:spacing w:after="0" w:line="117"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maintain a tax-qualified retirement plan that provides our employees, including our named executive officers, who satisfy certain eligibility requirements with an opportunity to save for retirement on a tax advantaged basis. Eligible employees are able to participate in the 401(k) plan as of the first day of the month following the date they complete three months of employment and participants are able to defer, either on a pre-tax basis or on an after-tax (Roth) basis through contributions to the 401(k) plan, up to 90% of their eligible compensation, but within the limits prescribed by the Code. All participants’ interests in their deferrals are 100% vested when contributed. Under the 401(k) plan, we make matching contributions of 100% of each participant’s elective deferrals of the first 1% of such participant’s eligible compensation plus 50% of each participant’s elective deferrals of the next 2% to 6% of such participant’s eligible compensation, up to a maximum matching contribution of 3.5% of eligible compensation.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1" w:name="page92"/>
    <w:bookmarkEnd w:id="9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Executive Employment Arrangements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Each of our named executive officers have entered into an offer letter with Ghost Management Group, LLC, which provide for employment on an at-will basis, and each of our named executive officers is eligible to receive the severance and change in control benefits described under the section titled “—Potential Payments and Benefits upon Termination or Change in Control” below.</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Christopher Beals</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Mr. Beals previously entered into an offer letter with Ghost Management Group, LLC, dated July 31, 2015. Pursuant to the terms of the offer letter, Mr. Beals’s current annual base salary is $600,000. Mr. Beals also is eligible to participate in the employee benefit plans generally available to our employees and maintained by us.</w:t>
      </w:r>
    </w:p>
    <w:p>
      <w:pPr>
        <w:spacing w:after="0" w:line="31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Arden Lee</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Mr. Lee previously entered into an offer letter with Ghost Management Group, LLC, dated February 5, 2019. Pursuant to the terms of the offer letter, Mr. Lee’s current annual base salary is $500,000. Mr. Dean also is eligible to participate in the employee benefit plans generally available to our employees and maintained by us.</w:t>
      </w:r>
    </w:p>
    <w:p>
      <w:pPr>
        <w:spacing w:after="0" w:line="29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Juanjo Feijoo</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Mr. Feijoo previously entered into an offer letter with Ghost Management Group, LLC, dated April 30, 2019. Pursuant to the terms of the offer letter, Mr. Feijoo’s annual base salary was $400,000, which increased to $440,000 following his promotion to Chief Operating Officer. Mr. Feijoo also is eligible to participate in the employee benefit plans generally available to our employees and maintained by us.</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Potential Payments and Benefits upon Termination or Change in Control</w:t>
      </w:r>
    </w:p>
    <w:p>
      <w:pPr>
        <w:spacing w:after="0" w:line="117"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In December 2021, we adopted a Severance and Change in Control Plan (the “Severance Plan”). Each of our named executive officers is eligible to receive certain benefits under the terms of the Severance Plan.</w:t>
      </w:r>
    </w:p>
    <w:p>
      <w:pPr>
        <w:spacing w:after="0" w:line="38"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The Severance Plan provides for severance and change in control benefits to our named executive officers upon a “change in control termination” or a “regular termination” (each, as described below). Upon a change in control termination, each of our named executive officers is entitled to (i) a lump sum payment equal to a number of months of his base salary (18 months for Mr. Beals and 12 months for our other named executive officers), (ii) a lump sum payment equal to a percentage of the named executive officer’s annual target cash bonus (150% for Mr. Beals and 100% for our other named executive officers), (iii) full vesting acceleration of all outstanding equity awards (with any performance-based vesting awards deemed achieved at target level), and (iv) payment of group health insurance premiums for a number of months (18 months for Mr. Beals and 12 months for our other named executive officers). Upon a regular termination, each of our named executive officers is entitled to (i) continued payment of the named executive officer’s base salary for a number of months (12 months for Mr. Beals and nine months for our other named executive officers), (ii) a lump sum payment equal to a percentage of the named executive officer’s annual target cash bonus (100% for Mr. Beals and 75% for our other named executive officers), and (iii) payment of group health insurance premiums for a number of months (12 months for Mr. Beals and nine months for our other named executive officers). All benefits under the Severance Plan are subject to the named executive officer’s (or, in the case of the named executive officer’s death or disability, his personal representative’s) execution of an effective release of claims against us.</w:t>
      </w:r>
    </w:p>
    <w:p>
      <w:pPr>
        <w:spacing w:after="0" w:line="72"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For purposes of the Severance Plan, a “regular termination” is an involuntary termination, which is termination by us without “cause” (and not as a result of death or disability) or a resignation by the named executive officer for “good reason” (each, as defined in the Severance Plan), that does not occur during the period of time beginning three months before the closing of, and ending 12 months following the closing of, a “change in control” (as defined in our 2021 Plan), which we refer to as the “change in control period.” A “change in control termination” is an involuntary termination that occurs during the change in control period.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2" w:name="page93"/>
    <w:bookmarkEnd w:id="9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Outstanding Equity Awards at December 31, 2021</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The following table presents estimated information regarding outstanding equity awards held by our named executive officers as of December 31, 2021.</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Equity Awards</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4"/>
              </w:rPr>
              <w:t>Number of</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Shares or</w:t>
            </w: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Shares or</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Vesting</w:t>
            </w:r>
          </w:p>
        </w:tc>
        <w:tc>
          <w:tcPr>
            <w:tcW w:w="13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Units that</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Units that</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Have Not</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9"/>
        </w:trPr>
        <w:tc>
          <w:tcPr>
            <w:tcW w:w="4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Commencement</w:t>
            </w: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Vested</w:t>
            </w: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86"/>
        </w:trPr>
        <w:tc>
          <w:tcPr>
            <w:tcW w:w="4640" w:type="dxa"/>
            <w:vAlign w:val="bottom"/>
            <w:gridSpan w:val="2"/>
            <w:vMerge w:val="continue"/>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Date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30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Beals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8/15/2021</w:t>
            </w:r>
          </w:p>
        </w:tc>
        <w:tc>
          <w:tcPr>
            <w:tcW w:w="360" w:type="dxa"/>
            <w:vAlign w:val="bottom"/>
            <w:shd w:val="clear" w:color="auto" w:fill="CCEEFF"/>
          </w:tcPr>
          <w:p>
            <w:pPr>
              <w:spacing w:after="0"/>
              <w:rPr>
                <w:sz w:val="24"/>
                <w:szCs w:val="24"/>
                <w:color w:val="auto"/>
              </w:rPr>
            </w:pPr>
          </w:p>
        </w:tc>
        <w:tc>
          <w:tcPr>
            <w:tcW w:w="980" w:type="dxa"/>
            <w:vAlign w:val="bottom"/>
            <w:shd w:val="clear" w:color="auto" w:fill="CCEEFF"/>
          </w:tcPr>
          <w:p>
            <w:pPr>
              <w:ind w:left="40"/>
              <w:spacing w:after="0" w:line="331" w:lineRule="exact"/>
              <w:rPr>
                <w:sz w:val="20"/>
                <w:szCs w:val="20"/>
                <w:color w:val="auto"/>
              </w:rPr>
            </w:pPr>
            <w:r>
              <w:rPr>
                <w:rFonts w:ascii="Arial" w:cs="Arial" w:eastAsia="Arial" w:hAnsi="Arial"/>
                <w:sz w:val="18"/>
                <w:szCs w:val="18"/>
                <w:color w:val="auto"/>
              </w:rPr>
              <w:t>716,146</w:t>
            </w:r>
            <w:r>
              <w:rPr>
                <w:rFonts w:ascii="Arial" w:cs="Arial" w:eastAsia="Arial" w:hAnsi="Arial"/>
                <w:sz w:val="29"/>
                <w:szCs w:val="29"/>
                <w:color w:val="auto"/>
                <w:vertAlign w:val="superscript"/>
              </w:rPr>
              <w:t>(4)</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w w:val="87"/>
              </w:rPr>
              <w:t>4,282,553</w:t>
            </w: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jc w:val="center"/>
              <w:spacing w:after="0" w:line="324" w:lineRule="exact"/>
              <w:rPr>
                <w:sz w:val="20"/>
                <w:szCs w:val="20"/>
                <w:color w:val="auto"/>
              </w:rPr>
            </w:pPr>
            <w:r>
              <w:rPr>
                <w:rFonts w:ascii="Arial" w:cs="Arial" w:eastAsia="Arial" w:hAnsi="Arial"/>
                <w:sz w:val="18"/>
                <w:szCs w:val="18"/>
                <w:color w:val="auto"/>
                <w:w w:val="86"/>
              </w:rPr>
              <w:t>97,656</w:t>
            </w:r>
            <w:r>
              <w:rPr>
                <w:rFonts w:ascii="Arial" w:cs="Arial" w:eastAsia="Arial" w:hAnsi="Arial"/>
                <w:sz w:val="29"/>
                <w:szCs w:val="29"/>
                <w:color w:val="auto"/>
                <w:w w:val="86"/>
                <w:vertAlign w:val="superscript"/>
              </w:rPr>
              <w:t>(5)</w:t>
            </w:r>
          </w:p>
        </w:tc>
        <w:tc>
          <w:tcPr>
            <w:tcW w:w="360" w:type="dxa"/>
            <w:vAlign w:val="bottom"/>
          </w:tcPr>
          <w:p>
            <w:pPr>
              <w:spacing w:after="0"/>
              <w:rPr>
                <w:sz w:val="24"/>
                <w:szCs w:val="24"/>
                <w:color w:val="auto"/>
              </w:rPr>
            </w:pPr>
          </w:p>
        </w:tc>
        <w:tc>
          <w:tcPr>
            <w:tcW w:w="900" w:type="dxa"/>
            <w:vAlign w:val="bottom"/>
          </w:tcPr>
          <w:p>
            <w:pPr>
              <w:jc w:val="right"/>
              <w:ind w:right="101"/>
              <w:spacing w:after="0"/>
              <w:rPr>
                <w:sz w:val="20"/>
                <w:szCs w:val="20"/>
                <w:color w:val="auto"/>
              </w:rPr>
            </w:pPr>
            <w:r>
              <w:rPr>
                <w:rFonts w:ascii="Arial" w:cs="Arial" w:eastAsia="Arial" w:hAnsi="Arial"/>
                <w:sz w:val="18"/>
                <w:szCs w:val="18"/>
                <w:color w:val="auto"/>
              </w:rPr>
              <w:t>583,983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Arden Lee</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2/25/2019</w:t>
            </w:r>
          </w:p>
        </w:tc>
        <w:tc>
          <w:tcPr>
            <w:tcW w:w="360" w:type="dxa"/>
            <w:vAlign w:val="bottom"/>
            <w:shd w:val="clear" w:color="auto" w:fill="CCEEFF"/>
          </w:tcPr>
          <w:p>
            <w:pPr>
              <w:spacing w:after="0"/>
              <w:rPr>
                <w:sz w:val="24"/>
                <w:szCs w:val="24"/>
                <w:color w:val="auto"/>
              </w:rPr>
            </w:pPr>
          </w:p>
        </w:tc>
        <w:tc>
          <w:tcPr>
            <w:tcW w:w="980" w:type="dxa"/>
            <w:vAlign w:val="bottom"/>
            <w:shd w:val="clear" w:color="auto" w:fill="CCEEFF"/>
          </w:tcPr>
          <w:p>
            <w:pPr>
              <w:ind w:left="40"/>
              <w:spacing w:after="0" w:line="324" w:lineRule="exact"/>
              <w:rPr>
                <w:sz w:val="20"/>
                <w:szCs w:val="20"/>
                <w:color w:val="auto"/>
              </w:rPr>
            </w:pPr>
            <w:r>
              <w:rPr>
                <w:rFonts w:ascii="Arial" w:cs="Arial" w:eastAsia="Arial" w:hAnsi="Arial"/>
                <w:sz w:val="18"/>
                <w:szCs w:val="18"/>
                <w:color w:val="auto"/>
                <w:w w:val="81"/>
              </w:rPr>
              <w:t>361,534</w:t>
            </w:r>
            <w:r>
              <w:rPr>
                <w:rFonts w:ascii="Arial" w:cs="Arial" w:eastAsia="Arial" w:hAnsi="Arial"/>
                <w:sz w:val="29"/>
                <w:szCs w:val="29"/>
                <w:color w:val="auto"/>
                <w:w w:val="81"/>
                <w:vertAlign w:val="superscript"/>
              </w:rPr>
              <w:t>(1)(2)</w:t>
            </w:r>
          </w:p>
        </w:tc>
        <w:tc>
          <w:tcPr>
            <w:tcW w:w="3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ind w:left="540"/>
              <w:spacing w:after="0" w:line="32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324"/>
        </w:trPr>
        <w:tc>
          <w:tcPr>
            <w:tcW w:w="4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8/15/2021</w:t>
            </w:r>
          </w:p>
        </w:tc>
        <w:tc>
          <w:tcPr>
            <w:tcW w:w="360" w:type="dxa"/>
            <w:vAlign w:val="bottom"/>
          </w:tcPr>
          <w:p>
            <w:pPr>
              <w:spacing w:after="0"/>
              <w:rPr>
                <w:sz w:val="24"/>
                <w:szCs w:val="24"/>
                <w:color w:val="auto"/>
              </w:rPr>
            </w:pPr>
          </w:p>
        </w:tc>
        <w:tc>
          <w:tcPr>
            <w:tcW w:w="980" w:type="dxa"/>
            <w:vAlign w:val="bottom"/>
          </w:tcPr>
          <w:p>
            <w:pPr>
              <w:ind w:left="40"/>
              <w:spacing w:after="0" w:line="324" w:lineRule="exact"/>
              <w:rPr>
                <w:sz w:val="20"/>
                <w:szCs w:val="20"/>
                <w:color w:val="auto"/>
              </w:rPr>
            </w:pPr>
            <w:r>
              <w:rPr>
                <w:rFonts w:ascii="Arial" w:cs="Arial" w:eastAsia="Arial" w:hAnsi="Arial"/>
                <w:sz w:val="18"/>
                <w:szCs w:val="18"/>
                <w:color w:val="auto"/>
              </w:rPr>
              <w:t>572,917</w:t>
            </w:r>
            <w:r>
              <w:rPr>
                <w:rFonts w:ascii="Arial" w:cs="Arial" w:eastAsia="Arial" w:hAnsi="Arial"/>
                <w:sz w:val="29"/>
                <w:szCs w:val="29"/>
                <w:color w:val="auto"/>
                <w:vertAlign w:val="superscript"/>
              </w:rPr>
              <w:t>(4)</w:t>
            </w:r>
          </w:p>
        </w:tc>
        <w:tc>
          <w:tcPr>
            <w:tcW w:w="360" w:type="dxa"/>
            <w:vAlign w:val="bottom"/>
          </w:tcPr>
          <w:p>
            <w:pPr>
              <w:spacing w:after="0"/>
              <w:rPr>
                <w:sz w:val="24"/>
                <w:szCs w:val="24"/>
                <w:color w:val="auto"/>
              </w:rPr>
            </w:pPr>
          </w:p>
        </w:tc>
        <w:tc>
          <w:tcPr>
            <w:tcW w:w="900" w:type="dxa"/>
            <w:vAlign w:val="bottom"/>
          </w:tcPr>
          <w:p>
            <w:pPr>
              <w:jc w:val="right"/>
              <w:ind w:right="101"/>
              <w:spacing w:after="0"/>
              <w:rPr>
                <w:sz w:val="20"/>
                <w:szCs w:val="20"/>
                <w:color w:val="auto"/>
              </w:rPr>
            </w:pPr>
            <w:r>
              <w:rPr>
                <w:rFonts w:ascii="Arial" w:cs="Arial" w:eastAsia="Arial" w:hAnsi="Arial"/>
                <w:sz w:val="18"/>
                <w:szCs w:val="18"/>
                <w:color w:val="auto"/>
                <w:w w:val="87"/>
              </w:rPr>
              <w:t>3,426,044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80" w:type="dxa"/>
            <w:vAlign w:val="bottom"/>
            <w:shd w:val="clear" w:color="auto" w:fill="CCEEFF"/>
          </w:tcPr>
          <w:p>
            <w:pPr>
              <w:jc w:val="center"/>
              <w:spacing w:after="0" w:line="324" w:lineRule="exact"/>
              <w:rPr>
                <w:sz w:val="20"/>
                <w:szCs w:val="20"/>
                <w:color w:val="auto"/>
              </w:rPr>
            </w:pPr>
            <w:r>
              <w:rPr>
                <w:rFonts w:ascii="Arial" w:cs="Arial" w:eastAsia="Arial" w:hAnsi="Arial"/>
                <w:sz w:val="18"/>
                <w:szCs w:val="18"/>
                <w:color w:val="auto"/>
                <w:w w:val="86"/>
              </w:rPr>
              <w:t>78,125</w:t>
            </w:r>
            <w:r>
              <w:rPr>
                <w:rFonts w:ascii="Arial" w:cs="Arial" w:eastAsia="Arial" w:hAnsi="Arial"/>
                <w:sz w:val="29"/>
                <w:szCs w:val="29"/>
                <w:color w:val="auto"/>
                <w:w w:val="86"/>
                <w:vertAlign w:val="superscript"/>
              </w:rPr>
              <w:t>(5)</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rPr>
              <w:t>467,188</w:t>
            </w: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40" w:type="dxa"/>
            <w:vAlign w:val="bottom"/>
            <w:gridSpan w:val="2"/>
          </w:tcPr>
          <w:p>
            <w:pPr>
              <w:spacing w:after="0"/>
              <w:rPr>
                <w:sz w:val="20"/>
                <w:szCs w:val="20"/>
                <w:color w:val="auto"/>
              </w:rPr>
            </w:pPr>
            <w:r>
              <w:rPr>
                <w:rFonts w:ascii="Arial" w:cs="Arial" w:eastAsia="Arial" w:hAnsi="Arial"/>
                <w:sz w:val="18"/>
                <w:szCs w:val="18"/>
                <w:color w:val="auto"/>
              </w:rPr>
              <w:t>Juanjo Feijoo</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5/28/2019</w:t>
            </w:r>
          </w:p>
        </w:tc>
        <w:tc>
          <w:tcPr>
            <w:tcW w:w="360" w:type="dxa"/>
            <w:vAlign w:val="bottom"/>
          </w:tcPr>
          <w:p>
            <w:pPr>
              <w:spacing w:after="0"/>
              <w:rPr>
                <w:sz w:val="24"/>
                <w:szCs w:val="24"/>
                <w:color w:val="auto"/>
              </w:rPr>
            </w:pPr>
          </w:p>
        </w:tc>
        <w:tc>
          <w:tcPr>
            <w:tcW w:w="980" w:type="dxa"/>
            <w:vAlign w:val="bottom"/>
          </w:tcPr>
          <w:p>
            <w:pPr>
              <w:ind w:left="40"/>
              <w:spacing w:after="0" w:line="324" w:lineRule="exact"/>
              <w:rPr>
                <w:sz w:val="20"/>
                <w:szCs w:val="20"/>
                <w:color w:val="auto"/>
              </w:rPr>
            </w:pPr>
            <w:r>
              <w:rPr>
                <w:rFonts w:ascii="Arial" w:cs="Arial" w:eastAsia="Arial" w:hAnsi="Arial"/>
                <w:sz w:val="18"/>
                <w:szCs w:val="18"/>
                <w:color w:val="auto"/>
                <w:w w:val="81"/>
              </w:rPr>
              <w:t>185,931</w:t>
            </w:r>
            <w:r>
              <w:rPr>
                <w:rFonts w:ascii="Arial" w:cs="Arial" w:eastAsia="Arial" w:hAnsi="Arial"/>
                <w:sz w:val="29"/>
                <w:szCs w:val="29"/>
                <w:color w:val="auto"/>
                <w:w w:val="81"/>
                <w:vertAlign w:val="superscript"/>
              </w:rPr>
              <w:t>(1)(2)</w:t>
            </w:r>
          </w:p>
        </w:tc>
        <w:tc>
          <w:tcPr>
            <w:tcW w:w="360" w:type="dxa"/>
            <w:vAlign w:val="bottom"/>
          </w:tcPr>
          <w:p>
            <w:pPr>
              <w:spacing w:after="0"/>
              <w:rPr>
                <w:sz w:val="24"/>
                <w:szCs w:val="24"/>
                <w:color w:val="auto"/>
              </w:rPr>
            </w:pPr>
          </w:p>
        </w:tc>
        <w:tc>
          <w:tcPr>
            <w:tcW w:w="1080" w:type="dxa"/>
            <w:vAlign w:val="bottom"/>
            <w:gridSpan w:val="2"/>
          </w:tcPr>
          <w:p>
            <w:pPr>
              <w:ind w:left="540"/>
              <w:spacing w:after="0" w:line="32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324"/>
        </w:trPr>
        <w:tc>
          <w:tcPr>
            <w:tcW w:w="4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12/8/2020</w:t>
            </w:r>
          </w:p>
        </w:tc>
        <w:tc>
          <w:tcPr>
            <w:tcW w:w="360" w:type="dxa"/>
            <w:vAlign w:val="bottom"/>
            <w:shd w:val="clear" w:color="auto" w:fill="CCEEFF"/>
          </w:tcPr>
          <w:p>
            <w:pPr>
              <w:spacing w:after="0"/>
              <w:rPr>
                <w:sz w:val="24"/>
                <w:szCs w:val="24"/>
                <w:color w:val="auto"/>
              </w:rPr>
            </w:pPr>
          </w:p>
        </w:tc>
        <w:tc>
          <w:tcPr>
            <w:tcW w:w="980" w:type="dxa"/>
            <w:vAlign w:val="bottom"/>
            <w:shd w:val="clear" w:color="auto" w:fill="CCEEFF"/>
          </w:tcPr>
          <w:p>
            <w:pPr>
              <w:ind w:left="40"/>
              <w:spacing w:after="0" w:line="324" w:lineRule="exact"/>
              <w:rPr>
                <w:sz w:val="20"/>
                <w:szCs w:val="20"/>
                <w:color w:val="auto"/>
              </w:rPr>
            </w:pPr>
            <w:r>
              <w:rPr>
                <w:rFonts w:ascii="Arial" w:cs="Arial" w:eastAsia="Arial" w:hAnsi="Arial"/>
                <w:sz w:val="18"/>
                <w:szCs w:val="18"/>
                <w:color w:val="auto"/>
                <w:w w:val="81"/>
              </w:rPr>
              <w:t>139,449</w:t>
            </w:r>
            <w:r>
              <w:rPr>
                <w:rFonts w:ascii="Arial" w:cs="Arial" w:eastAsia="Arial" w:hAnsi="Arial"/>
                <w:sz w:val="29"/>
                <w:szCs w:val="29"/>
                <w:color w:val="auto"/>
                <w:w w:val="81"/>
                <w:vertAlign w:val="superscript"/>
              </w:rPr>
              <w:t>(1)(2)</w:t>
            </w:r>
          </w:p>
        </w:tc>
        <w:tc>
          <w:tcPr>
            <w:tcW w:w="3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ind w:left="540"/>
              <w:spacing w:after="0" w:line="32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324"/>
        </w:trPr>
        <w:tc>
          <w:tcPr>
            <w:tcW w:w="4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5/15/2021</w:t>
            </w:r>
          </w:p>
        </w:tc>
        <w:tc>
          <w:tcPr>
            <w:tcW w:w="360" w:type="dxa"/>
            <w:vAlign w:val="bottom"/>
          </w:tcPr>
          <w:p>
            <w:pPr>
              <w:spacing w:after="0"/>
              <w:rPr>
                <w:sz w:val="24"/>
                <w:szCs w:val="24"/>
                <w:color w:val="auto"/>
              </w:rPr>
            </w:pPr>
          </w:p>
        </w:tc>
        <w:tc>
          <w:tcPr>
            <w:tcW w:w="980" w:type="dxa"/>
            <w:vAlign w:val="bottom"/>
          </w:tcPr>
          <w:p>
            <w:pPr>
              <w:ind w:left="40"/>
              <w:spacing w:after="0" w:line="324" w:lineRule="exact"/>
              <w:rPr>
                <w:sz w:val="20"/>
                <w:szCs w:val="20"/>
                <w:color w:val="auto"/>
              </w:rPr>
            </w:pPr>
            <w:r>
              <w:rPr>
                <w:rFonts w:ascii="Arial" w:cs="Arial" w:eastAsia="Arial" w:hAnsi="Arial"/>
                <w:sz w:val="18"/>
                <w:szCs w:val="18"/>
                <w:color w:val="auto"/>
              </w:rPr>
              <w:t>390,626</w:t>
            </w:r>
            <w:r>
              <w:rPr>
                <w:rFonts w:ascii="Arial" w:cs="Arial" w:eastAsia="Arial" w:hAnsi="Arial"/>
                <w:sz w:val="29"/>
                <w:szCs w:val="29"/>
                <w:color w:val="auto"/>
                <w:vertAlign w:val="superscript"/>
              </w:rPr>
              <w:t>(4)</w:t>
            </w:r>
          </w:p>
        </w:tc>
        <w:tc>
          <w:tcPr>
            <w:tcW w:w="360" w:type="dxa"/>
            <w:vAlign w:val="bottom"/>
          </w:tcPr>
          <w:p>
            <w:pPr>
              <w:spacing w:after="0"/>
              <w:rPr>
                <w:sz w:val="24"/>
                <w:szCs w:val="24"/>
                <w:color w:val="auto"/>
              </w:rPr>
            </w:pPr>
          </w:p>
        </w:tc>
        <w:tc>
          <w:tcPr>
            <w:tcW w:w="900" w:type="dxa"/>
            <w:vAlign w:val="bottom"/>
          </w:tcPr>
          <w:p>
            <w:pPr>
              <w:jc w:val="right"/>
              <w:ind w:right="101"/>
              <w:spacing w:after="0"/>
              <w:rPr>
                <w:sz w:val="20"/>
                <w:szCs w:val="20"/>
                <w:color w:val="auto"/>
              </w:rPr>
            </w:pPr>
            <w:r>
              <w:rPr>
                <w:rFonts w:ascii="Arial" w:cs="Arial" w:eastAsia="Arial" w:hAnsi="Arial"/>
                <w:sz w:val="18"/>
                <w:szCs w:val="18"/>
                <w:color w:val="auto"/>
                <w:w w:val="87"/>
              </w:rPr>
              <w:t>2,335,943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80" w:type="dxa"/>
            <w:vAlign w:val="bottom"/>
            <w:shd w:val="clear" w:color="auto" w:fill="CCEEFF"/>
          </w:tcPr>
          <w:p>
            <w:pPr>
              <w:jc w:val="center"/>
              <w:spacing w:after="0" w:line="324" w:lineRule="exact"/>
              <w:rPr>
                <w:sz w:val="20"/>
                <w:szCs w:val="20"/>
                <w:color w:val="auto"/>
              </w:rPr>
            </w:pPr>
            <w:r>
              <w:rPr>
                <w:rFonts w:ascii="Arial" w:cs="Arial" w:eastAsia="Arial" w:hAnsi="Arial"/>
                <w:sz w:val="18"/>
                <w:szCs w:val="18"/>
                <w:color w:val="auto"/>
                <w:w w:val="86"/>
              </w:rPr>
              <w:t>58,593</w:t>
            </w:r>
            <w:r>
              <w:rPr>
                <w:rFonts w:ascii="Arial" w:cs="Arial" w:eastAsia="Arial" w:hAnsi="Arial"/>
                <w:sz w:val="29"/>
                <w:szCs w:val="29"/>
                <w:color w:val="auto"/>
                <w:w w:val="86"/>
                <w:vertAlign w:val="superscript"/>
              </w:rPr>
              <w:t>(5)</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rPr>
              <w:t>350,386</w:t>
            </w: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-1868170</wp:posOffset>
            </wp:positionV>
            <wp:extent cx="1117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-1868170</wp:posOffset>
            </wp:positionV>
            <wp:extent cx="22288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-1868170</wp:posOffset>
            </wp:positionV>
            <wp:extent cx="22288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-1868170</wp:posOffset>
            </wp:positionV>
            <wp:extent cx="22288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8" w:lineRule="exact"/>
        <w:rPr>
          <w:sz w:val="20"/>
          <w:szCs w:val="20"/>
          <w:color w:val="auto"/>
        </w:rPr>
      </w:pPr>
    </w:p>
    <w:p>
      <w:pPr>
        <w:ind w:left="640" w:hanging="348"/>
        <w:spacing w:after="0"/>
        <w:tabs>
          <w:tab w:leader="none" w:pos="6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Class P Units.</w:t>
      </w:r>
    </w:p>
    <w:p>
      <w:pPr>
        <w:spacing w:after="0" w:line="41" w:lineRule="exact"/>
        <w:rPr>
          <w:rFonts w:ascii="Arial" w:cs="Arial" w:eastAsia="Arial" w:hAnsi="Arial"/>
          <w:sz w:val="14"/>
          <w:szCs w:val="14"/>
          <w:color w:val="auto"/>
        </w:rPr>
      </w:pPr>
    </w:p>
    <w:p>
      <w:pPr>
        <w:jc w:val="both"/>
        <w:ind w:left="640" w:right="299" w:hanging="348"/>
        <w:spacing w:after="0" w:line="231" w:lineRule="auto"/>
        <w:tabs>
          <w:tab w:leader="none" w:pos="6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Twenty-five percent of the units subject to this equity award will vest on the one-year anniversary of the vesting commencement date, and thereafter the remaining seventy-five percent of the units will vest equally on a quarterly pro-rata basis over the next three years, provided that such named executive officer is employed by or otherwise providing services to Ghost Management Group, LLC, or one of its designated affiliates as of each such vesting date and that notice of termination of such employment or services has not been provided on or prior to such vesting date.</w:t>
      </w:r>
    </w:p>
    <w:p>
      <w:pPr>
        <w:spacing w:after="0" w:line="21" w:lineRule="exact"/>
        <w:rPr>
          <w:rFonts w:ascii="Arial" w:cs="Arial" w:eastAsia="Arial" w:hAnsi="Arial"/>
          <w:sz w:val="14"/>
          <w:szCs w:val="14"/>
          <w:color w:val="auto"/>
        </w:rPr>
      </w:pPr>
    </w:p>
    <w:p>
      <w:pPr>
        <w:ind w:left="640" w:hanging="348"/>
        <w:spacing w:after="0"/>
        <w:tabs>
          <w:tab w:leader="none" w:pos="6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Class P Units represent profits interests in WM Holding Company, LLC and no value is realized as a result of vesting of these units.</w:t>
      </w:r>
    </w:p>
    <w:p>
      <w:pPr>
        <w:spacing w:after="0" w:line="53" w:lineRule="exact"/>
        <w:rPr>
          <w:rFonts w:ascii="Arial" w:cs="Arial" w:eastAsia="Arial" w:hAnsi="Arial"/>
          <w:sz w:val="13"/>
          <w:szCs w:val="13"/>
          <w:color w:val="auto"/>
        </w:rPr>
      </w:pPr>
    </w:p>
    <w:p>
      <w:pPr>
        <w:jc w:val="both"/>
        <w:ind w:left="640" w:right="299" w:hanging="348"/>
        <w:spacing w:after="0" w:line="289" w:lineRule="auto"/>
        <w:tabs>
          <w:tab w:leader="none" w:pos="6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RSUs will vest on a quarterly pro rata basis over three years beginning on the vesting commencement date, provided that such named executive officer is employed by or otherwise providing services to Ghost Management Group, LLC, or one of its designated affiliates as of each such vesting date and that notice of termination of such employment or services has not been provided on or prior to such vesting date.</w:t>
      </w:r>
    </w:p>
    <w:p>
      <w:pPr>
        <w:spacing w:after="0" w:line="1" w:lineRule="exact"/>
        <w:rPr>
          <w:rFonts w:ascii="Arial" w:cs="Arial" w:eastAsia="Arial" w:hAnsi="Arial"/>
          <w:sz w:val="12"/>
          <w:szCs w:val="12"/>
          <w:color w:val="auto"/>
        </w:rPr>
      </w:pPr>
    </w:p>
    <w:p>
      <w:pPr>
        <w:jc w:val="both"/>
        <w:ind w:left="640" w:right="299" w:hanging="348"/>
        <w:spacing w:after="0" w:line="264" w:lineRule="auto"/>
        <w:tabs>
          <w:tab w:leader="none" w:pos="6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PRSUs will vest in accordance with the performance-based vesting conditions described above under “—Equity-Based Incentive Awards.” The number of shares subject to each named executive officer’s PRSU award assumes threshold achievement, with the Adjusted EBITDA Margin Percentage deemed to equal 50% and Revenue CAGR Percentage deemed to equal 0%.</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Employee Benefit Plans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WM Technology, Inc. 2021 Equity Incentive Plan</w:t>
      </w:r>
    </w:p>
    <w:p>
      <w:pPr>
        <w:spacing w:after="0" w:line="117"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In June 2021, our board of directors adopted and our stockholders approved the WM Technology, Inc. 2021 Equity Incentive Plan (the “2021 Plan”). The 2021 Plan became effective immediately upon the Closing.</w:t>
      </w:r>
    </w:p>
    <w:p>
      <w:pPr>
        <w:spacing w:after="0" w:line="38"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Our employees, consultants and directors, and employees and consultants of our affiliates,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receive awards under 2021 Plan.</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i w:val="1"/>
          <w:iCs w:val="1"/>
          <w:color w:val="auto"/>
        </w:rPr>
        <w:t>Award Types</w:t>
      </w:r>
      <w:r>
        <w:rPr>
          <w:rFonts w:ascii="Arial" w:cs="Arial" w:eastAsia="Arial" w:hAnsi="Arial"/>
          <w:sz w:val="18"/>
          <w:szCs w:val="18"/>
          <w:color w:val="auto"/>
        </w:rPr>
        <w:t>. The equity incentive plan provides for the grant of incentive stock options (“ISOs”) to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and for the grant of nonstatutory stock options (“NSOs”), stock appreciation rights, restricted stock awards, restricted stock unit awards, performance awards and other forms of stock awards to employees, directors and consultants.</w:t>
      </w:r>
    </w:p>
    <w:p>
      <w:pPr>
        <w:spacing w:after="0" w:line="7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i w:val="1"/>
          <w:iCs w:val="1"/>
          <w:color w:val="auto"/>
        </w:rPr>
        <w:t>Share Reserve</w:t>
      </w:r>
      <w:r>
        <w:rPr>
          <w:rFonts w:ascii="Arial" w:cs="Arial" w:eastAsia="Arial" w:hAnsi="Arial"/>
          <w:sz w:val="17"/>
          <w:szCs w:val="17"/>
          <w:color w:val="auto"/>
        </w:rPr>
        <w:t>. The number of shares of common stock initially reserved for issuance under the equity incentive</w:t>
      </w:r>
      <w:r>
        <w:rPr>
          <w:rFonts w:ascii="Arial" w:cs="Arial" w:eastAsia="Arial" w:hAnsi="Arial"/>
          <w:sz w:val="17"/>
          <w:szCs w:val="17"/>
          <w:i w:val="1"/>
          <w:iCs w:val="1"/>
          <w:color w:val="auto"/>
        </w:rPr>
        <w:t xml:space="preserve"> </w:t>
      </w:r>
      <w:r>
        <w:rPr>
          <w:rFonts w:ascii="Arial" w:cs="Arial" w:eastAsia="Arial" w:hAnsi="Arial"/>
          <w:sz w:val="17"/>
          <w:szCs w:val="17"/>
          <w:color w:val="auto"/>
        </w:rPr>
        <w:t>plan is the amount of shares of common stock equal to 11% of the sum of (i) the number of shares of our common stock outstanding as of the consummation of the Business Combination and (ii) the number of shares of our common stock underlying securities convertible into our common stock. The number of shares of common stock reserved for issuance under the equity incentive plan will automatically increase on January 1 of each year, for a period of ten years, from January 1, 2022 continuing through January 1, 2031, by 5% of the total number of shares of our capital stock outstanding on December 31 of the preceding calendar year, or a lesser number of shares as may be determined by our board of directors. The maximum number of shares that may be issued pursuant to the exercise of ISOs under the equity incentive plan is equal to 300% of the number of shares of common stock initially reserved under the equity incentive plan. Shares issued under the equity incentive plan may be authorized but unissued or reacquired</w:t>
      </w:r>
    </w:p>
    <w:p>
      <w:pPr>
        <w:sectPr>
          <w:pgSz w:w="11900" w:h="16838" w:orient="portrait"/>
          <w:cols w:equalWidth="0" w:num="1">
            <w:col w:w="9019"/>
          </w:cols>
          <w:pgMar w:left="1440" w:top="265" w:right="1440"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3" w:name="page94"/>
    <w:bookmarkEnd w:id="9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shares. Shares subject to stock awards granted under the equity incentive plan that expire or terminate without being exercised in full, or that are paid out in cash rather than in shares, will not reduce the number of shares available for issuance under the equity incentive plan. Additionally, shares issued pursuant to stock awards under the equity incentive plan that are repurchased or forfeited, as well as shares that are reacquired as consideration for the exercise or purchase price of a stock award or to satisfy tax withholding obligations related to a stock award, will become available for future grant under the equity incentive plan.</w:t>
      </w:r>
    </w:p>
    <w:p>
      <w:pPr>
        <w:spacing w:after="0" w:line="70"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Our board of directors, or a duly authorized committee thereof, will have the authority to</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administer the equity incentive plan. Our board of directors may also delegate to one or more officers the authority to (i) designate employees other than officers to receive specified stock awards and (ii) determine the number of shares to be subject to such stock awards. Subject to the terms of the equity incentive plan, the plan administrator has the authority to determine the terms of awards, including recipients, the exercise price or strike price of stock awards, if any, the number of shares subject to each stock award, the fair market value of a share, the vesting schedule applicable to the awards, together with any vesting acceleration, the form of consideration, if any, payable upon exercise or settlement of the stock award and the terms and conditions of the award agreements for use under the equity incentive plan. The plan administrator has the power to modify outstanding awards under the equity incentive plan. Subject to the terms of the equity incentive plan, the plan administrator also has the authority to reprice any outstanding option or stock award, cancel and re-grant any outstanding option or stock award in exchange for new stock awards, cash or other consideration, or take any other action that is treated as a repricing under generally accepted accounting principles, with the consent of any materially adversely affected participant.</w:t>
      </w:r>
    </w:p>
    <w:p>
      <w:pPr>
        <w:spacing w:after="0" w:line="66"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ISOs and NSOs are granted under stock option agreements adopted by the plan administrator.</w:t>
      </w:r>
      <w:r>
        <w:rPr>
          <w:rFonts w:ascii="Arial" w:cs="Arial" w:eastAsia="Arial" w:hAnsi="Arial"/>
          <w:sz w:val="16"/>
          <w:szCs w:val="16"/>
          <w:i w:val="1"/>
          <w:iCs w:val="1"/>
          <w:color w:val="auto"/>
        </w:rPr>
        <w:t xml:space="preserve"> </w:t>
      </w:r>
      <w:r>
        <w:rPr>
          <w:rFonts w:ascii="Arial" w:cs="Arial" w:eastAsia="Arial" w:hAnsi="Arial"/>
          <w:sz w:val="16"/>
          <w:szCs w:val="16"/>
          <w:color w:val="auto"/>
        </w:rPr>
        <w:t>The plan administrator determines the exercise price for stock options, within the terms and conditions of the equity incentive plan, provided that the exercise price of a stock option generally cannot be less than 100% of the fair market value of a share of common stock on the date of grant (however, a stock option may be granted with an exercise or strike price lower than 100% of the fair market value on the date of grant of such award if such award is granted pursuant to an assumption of or substitution for another option pursuant to a corporate transaction, as such term is defined in the equity incentive plan, and in a manner consistent with the provisions of Sections 409A and, if applicable, 424(a) of the Code). Options granted under the equity incentive plan vest at the rate specified in the stock option agreement as determined by the plan administrator. The plan administrator determines the term of stock options granted under the equity incentive plan, up to a maximum of ten years. Unless the terms of an optionholder’s stock option agreement provide otherwise, if an optionholder’s service relationship ceases for any reason other than disability, death or cause, the optionholder may generally exercise any vested options for a period of three months following the cessation of service. The option term may be extended in the event that the exercise of the option following such a termination of service is prohibited by applicable securities laws or our insider trading policy. If an optionholder’s service relationship ceases due to disability or death, or an optionholder dies within a certain period following cessation of service, the optionholder or a beneficiary may generally exercise any vested options for a period of 12 months in the event of disability and 18 months in the event of death. Options generally terminate immediately upon the termination of an optionholder’s service for cause. In no event may an option be exercised beyond the expiration of its term. Acceptable consideration for the purchase of common stock issued upon exercise of a stock option will be determined by the plan administrator and may include (i) cash, check, bank draft, or money order, (ii) a broker-assisted cashless exercise, (iii) the tender of shares of common stock previously owned by the optionholder, (iv) a net exercise of the option if it is an NSO and (v) other legal consideration approved by the plan administrator.</w:t>
      </w:r>
    </w:p>
    <w:p>
      <w:pPr>
        <w:spacing w:after="0" w:line="286"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i w:val="1"/>
          <w:iCs w:val="1"/>
          <w:color w:val="auto"/>
        </w:rPr>
        <w:t>Tax Limitations on ISOs</w:t>
      </w:r>
      <w:r>
        <w:rPr>
          <w:rFonts w:ascii="Arial" w:cs="Arial" w:eastAsia="Arial" w:hAnsi="Arial"/>
          <w:sz w:val="16"/>
          <w:szCs w:val="16"/>
          <w:color w:val="auto"/>
        </w:rPr>
        <w:t>. The aggregate fair market value, determined at the time of grant, of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with respect to ISOs that are exercisable for the first time by an optionholder during any calendar year under all stock plans maintained by us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affiliates unless (1) the option exercise price is at least 110% of the fair market value of the stock subject to the option on the date of grant, and (2) the option is not exercisable after the expiration of five years from the date of grant.</w:t>
      </w:r>
    </w:p>
    <w:p>
      <w:pPr>
        <w:spacing w:after="0" w:line="58"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i w:val="1"/>
          <w:iCs w:val="1"/>
          <w:color w:val="auto"/>
        </w:rPr>
        <w:t>Restricted Stock Awards</w:t>
      </w:r>
      <w:r>
        <w:rPr>
          <w:rFonts w:ascii="Arial" w:cs="Arial" w:eastAsia="Arial" w:hAnsi="Arial"/>
          <w:sz w:val="16"/>
          <w:szCs w:val="16"/>
          <w:color w:val="auto"/>
        </w:rPr>
        <w:t>. Restricted stock awards are granted under restricted stock award agreements adopted</w:t>
      </w:r>
      <w:r>
        <w:rPr>
          <w:rFonts w:ascii="Arial" w:cs="Arial" w:eastAsia="Arial" w:hAnsi="Arial"/>
          <w:sz w:val="16"/>
          <w:szCs w:val="16"/>
          <w:i w:val="1"/>
          <w:iCs w:val="1"/>
          <w:color w:val="auto"/>
        </w:rPr>
        <w:t xml:space="preserve"> </w:t>
      </w:r>
      <w:r>
        <w:rPr>
          <w:rFonts w:ascii="Arial" w:cs="Arial" w:eastAsia="Arial" w:hAnsi="Arial"/>
          <w:sz w:val="16"/>
          <w:szCs w:val="16"/>
          <w:color w:val="auto"/>
        </w:rPr>
        <w:t>by the plan administrator. A restricted stock award may be awarded in consideration for cash, check, bank draft or money order, past services, or any other form of legal consideration that may be acceptable to the plan administrator and permissible under applicable law. The plan administrator determines the terms and conditions of restricted stock</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4" w:name="page95"/>
    <w:bookmarkEnd w:id="9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awards, including vesting and forfeiture terms. Except as provided otherwise in the applicable award agreement, if a participant’s service relationship ends for any reason, we may receive through a forfeiture condition or a repurchase right any or all of the shares held by the participant under his or her restricted stock award that have not vested as of the date the participant terminates service.</w:t>
      </w:r>
    </w:p>
    <w:p>
      <w:pPr>
        <w:spacing w:after="0" w:line="79"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i w:val="1"/>
          <w:iCs w:val="1"/>
          <w:color w:val="auto"/>
        </w:rPr>
        <w:t>Restricted Stock Unit Awards</w:t>
      </w:r>
      <w:r>
        <w:rPr>
          <w:rFonts w:ascii="Arial" w:cs="Arial" w:eastAsia="Arial" w:hAnsi="Arial"/>
          <w:sz w:val="17"/>
          <w:szCs w:val="17"/>
          <w:color w:val="auto"/>
        </w:rPr>
        <w:t>. Restricted stock units are granted under restricted stock unit award agreements</w:t>
      </w:r>
      <w:r>
        <w:rPr>
          <w:rFonts w:ascii="Arial" w:cs="Arial" w:eastAsia="Arial" w:hAnsi="Arial"/>
          <w:sz w:val="17"/>
          <w:szCs w:val="17"/>
          <w:i w:val="1"/>
          <w:iCs w:val="1"/>
          <w:color w:val="auto"/>
        </w:rPr>
        <w:t xml:space="preserve"> </w:t>
      </w:r>
      <w:r>
        <w:rPr>
          <w:rFonts w:ascii="Arial" w:cs="Arial" w:eastAsia="Arial" w:hAnsi="Arial"/>
          <w:sz w:val="17"/>
          <w:szCs w:val="17"/>
          <w:color w:val="auto"/>
        </w:rPr>
        <w:t>adopted by the plan administrator. Restricted stock units may be granted in consideration for any form of legal consideration that may be acceptable to the plan administrator and permissible under applicable law. A restricted stock unit may be settled by cash, delivery of stock, a combination of cash and stock as deemed appropriate by the plan administrator, or in any other form of consideration set forth in the restricted stock unit agreement. Additionally, dividend equivalents may be credited in respect of shares covered by a restricted stock unit. Except as otherwise provided in the applicable award agreement, restricted stock units that have not vested will be forfeited once the participant’s continuous service ends for any reason.</w:t>
      </w:r>
    </w:p>
    <w:p>
      <w:pPr>
        <w:spacing w:after="0" w:line="70"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i w:val="1"/>
          <w:iCs w:val="1"/>
          <w:color w:val="auto"/>
        </w:rPr>
        <w:t>Stock Appreciation Rights</w:t>
      </w:r>
      <w:r>
        <w:rPr>
          <w:rFonts w:ascii="Arial" w:cs="Arial" w:eastAsia="Arial" w:hAnsi="Arial"/>
          <w:sz w:val="17"/>
          <w:szCs w:val="17"/>
          <w:color w:val="auto"/>
        </w:rPr>
        <w:t>. Stock appreciation rights are granted under stock appreciation grant agreements</w:t>
      </w:r>
      <w:r>
        <w:rPr>
          <w:rFonts w:ascii="Arial" w:cs="Arial" w:eastAsia="Arial" w:hAnsi="Arial"/>
          <w:sz w:val="17"/>
          <w:szCs w:val="17"/>
          <w:i w:val="1"/>
          <w:iCs w:val="1"/>
          <w:color w:val="auto"/>
        </w:rPr>
        <w:t xml:space="preserve"> </w:t>
      </w:r>
      <w:r>
        <w:rPr>
          <w:rFonts w:ascii="Arial" w:cs="Arial" w:eastAsia="Arial" w:hAnsi="Arial"/>
          <w:sz w:val="17"/>
          <w:szCs w:val="17"/>
          <w:color w:val="auto"/>
        </w:rPr>
        <w:t>adopted by the plan administrator. The plan administrator determines the purchase price or strike price for a stock appreciation right, which generally cannot be less than 100% of the fair market value of common stock on the date of grant (however, a stock appreciation right may be granted with an exercise or strike price lower than 100% of the fair market value on the date of grant of such award if such award is granted pursuant to an assumption of or substitution for another option pursuant to a corporate transaction, as such term is defined in the equity incentive plan, and in a manner consistent with the provisions of Sections 409A). A stock appreciation right granted under the equity incentive plan vests at the rate specified in the stock appreciation right agreement as determined by the plan administrator.</w:t>
      </w:r>
    </w:p>
    <w:p>
      <w:pPr>
        <w:spacing w:after="0" w:line="73"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i w:val="1"/>
          <w:iCs w:val="1"/>
          <w:color w:val="auto"/>
        </w:rPr>
        <w:t>Performance Awards</w:t>
      </w:r>
      <w:r>
        <w:rPr>
          <w:rFonts w:ascii="Arial" w:cs="Arial" w:eastAsia="Arial" w:hAnsi="Arial"/>
          <w:sz w:val="16"/>
          <w:szCs w:val="16"/>
          <w:color w:val="auto"/>
        </w:rPr>
        <w:t>. The equity incentive plan permits the grant of performance-based stock and cash awards.</w:t>
      </w:r>
      <w:r>
        <w:rPr>
          <w:rFonts w:ascii="Arial" w:cs="Arial" w:eastAsia="Arial" w:hAnsi="Arial"/>
          <w:sz w:val="16"/>
          <w:szCs w:val="16"/>
          <w:i w:val="1"/>
          <w:iCs w:val="1"/>
          <w:color w:val="auto"/>
        </w:rPr>
        <w:t xml:space="preserve"> </w:t>
      </w:r>
      <w:r>
        <w:rPr>
          <w:rFonts w:ascii="Arial" w:cs="Arial" w:eastAsia="Arial" w:hAnsi="Arial"/>
          <w:sz w:val="16"/>
          <w:szCs w:val="16"/>
          <w:color w:val="auto"/>
        </w:rPr>
        <w:t>The plan administrator may structure awards so that the shares of common stock, cash, or other property will be issued or paid only following the achievement of certain pre-established performance goals during a designated performance period. The performance criteria that will be used to establish such performance goals may be based on any measure of performance selected by the plan administrator. The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the plan administrator will appropriately make adjustments in the method of calculating the attainment of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stockholders other than regular cash dividends; (9) to exclude the effects of stock based compensation and the award of bonuses under our bonus plans; (10) to exclude costs incurred in connection with potential acquisitions or divestitures that are required to expense under generally accepted accounting principles; and (11) to exclude the goodwill and intangible asset impairment charges that are required to be recorded under generally accepted accounting principles. In addition, the plan administrator retains the discretion to reduce or eliminate the compensation or economic benefit due upon attainment of the performance goals. Partial achievement of the specified criteria may result in the payment or vesting corresponding to the degree of achievement as specified in the applicable award agreement or the written terms of a performance cash award. The performance goals may differ from participant to participant and from award to award.</w:t>
      </w:r>
    </w:p>
    <w:p>
      <w:pPr>
        <w:spacing w:after="0" w:line="62"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i w:val="1"/>
          <w:iCs w:val="1"/>
          <w:color w:val="auto"/>
        </w:rPr>
        <w:t>Units</w:t>
      </w:r>
      <w:r>
        <w:rPr>
          <w:rFonts w:ascii="Arial" w:cs="Arial" w:eastAsia="Arial" w:hAnsi="Arial"/>
          <w:sz w:val="16"/>
          <w:szCs w:val="16"/>
          <w:color w:val="auto"/>
        </w:rPr>
        <w:t>. The equity incentive plan permits the grant of awards in the form of any class of limited liability</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interests in WMH LLC, the entity through which we conducts our business and an entity that is treated as a partnership for U.S. federal income tax purposes. Awards of Units will be valued by reference to, or otherwise determined by reference to or based on, shares of common stock. Units awarded under the equity incentive plan may be convertible, exchangeable or redeemable for other limited liability company interests in WMH or shares 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5" w:name="page96"/>
    <w:bookmarkEnd w:id="9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4" w:lineRule="auto"/>
        <w:rPr>
          <w:sz w:val="20"/>
          <w:szCs w:val="20"/>
          <w:color w:val="auto"/>
        </w:rPr>
      </w:pPr>
      <w:r>
        <w:rPr>
          <w:rFonts w:ascii="Arial" w:cs="Arial" w:eastAsia="Arial" w:hAnsi="Arial"/>
          <w:sz w:val="16"/>
          <w:szCs w:val="16"/>
          <w:color w:val="auto"/>
        </w:rPr>
        <w:t>common stock, or may be valued by reference to the book value, fair market value or performance of WMH. Awards of Units may be intended to qualify as “profits interests” within the meaning of IRS Revenue Procedure 93-27, as clarified by IRS Revenue Procedure 2001-43, with respect to any participant who is rendering services to or for the benefit of WMH, including its subsidiaries. Awards of Units may be granted either alone or in addition to other awards granted under the equity incentive plan. Our board of directors will determine (i) the eligible participants to whom, and the time or times at which, awards of Units will be made; (ii) the number of Units to be awarded; (iii) the price, if any, to be paid by the participant for the acquisition of such Units (which may be less than the fair market value of the post-merger WMH unit; (iv) and the restrictions and conditions applicable to such award of Units, with related length of the service period for vesting, minimum or maximum performance thresholds, measurement procedures and length of the performance period to be established by our board of directors at the time of grant, in its sole discretion. Our board of directors may allow awards of Units to be held through a limited partnership, or similar “look-through” entity, and our board of directors may require such limited partnership or similar entity to impose restrictions on our partners or other beneficial owners that are not inconsistent with the terms of the equity incentive plan. The provisions of the grant of Units need not be the same with respect to each participant. The award agreement or other award documentation in respect of an award of Units may provide that the recipient of Units will be entitled to receive, currently or on a deferred or contingent basis, dividends or dividend equivalents with respect to the number of shares of common stock underlying the award or other distributions from WMH prior to vesting (whether based on a period of time or based on attainment of specified performance conditions), as determined at the time of grant by our board of directors, in its sole discretion, and our board of directors may provide that such amounts (if any) will be deemed to have been reinvested in additional shares of common stock or Units.</w:t>
      </w:r>
    </w:p>
    <w:p>
      <w:pPr>
        <w:spacing w:after="0" w:line="74"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i w:val="1"/>
          <w:iCs w:val="1"/>
          <w:color w:val="auto"/>
        </w:rPr>
        <w:t>Other Stock Awards</w:t>
      </w:r>
      <w:r>
        <w:rPr>
          <w:rFonts w:ascii="Arial" w:cs="Arial" w:eastAsia="Arial" w:hAnsi="Arial"/>
          <w:sz w:val="18"/>
          <w:szCs w:val="18"/>
          <w:color w:val="auto"/>
        </w:rPr>
        <w:t>. The plan administrator may grant other awards based in whole or in part by reference to</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The plan administrator will set the number of shares under the stock award and all other terms and conditions of such awards.</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i w:val="1"/>
          <w:iCs w:val="1"/>
          <w:color w:val="auto"/>
        </w:rPr>
        <w:t>Non-Employee Director Compensation Limit</w:t>
      </w:r>
      <w:r>
        <w:rPr>
          <w:rFonts w:ascii="Arial" w:cs="Arial" w:eastAsia="Arial" w:hAnsi="Arial"/>
          <w:sz w:val="18"/>
          <w:szCs w:val="18"/>
          <w:color w:val="auto"/>
        </w:rPr>
        <w:t>. The aggregate value of all compensation granted or paid by us to</w:t>
      </w:r>
      <w:r>
        <w:rPr>
          <w:rFonts w:ascii="Arial" w:cs="Arial" w:eastAsia="Arial" w:hAnsi="Arial"/>
          <w:sz w:val="18"/>
          <w:szCs w:val="18"/>
          <w:i w:val="1"/>
          <w:iCs w:val="1"/>
          <w:color w:val="auto"/>
        </w:rPr>
        <w:t xml:space="preserve"> </w:t>
      </w:r>
      <w:r>
        <w:rPr>
          <w:rFonts w:ascii="Arial" w:cs="Arial" w:eastAsia="Arial" w:hAnsi="Arial"/>
          <w:sz w:val="18"/>
          <w:szCs w:val="18"/>
          <w:color w:val="auto"/>
        </w:rPr>
        <w:t>any individual for service as a non-employee director with respect to any calendar year (such period, the “annual period”), including stock awards and cash fees paid by us to such non-employee director, will not exceed (i) $750,000 in total value or (ii) in the event such non-employee director is first appointed or elected to our board of directors during such annual period, $1,000,000 in total value. For purposes of these limitations, the value of any such stock awards is calculated based on the grant date fair value of such stock awards for financial reporting purposes.</w:t>
      </w:r>
    </w:p>
    <w:p>
      <w:pPr>
        <w:spacing w:after="0" w:line="87"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there is a specified type of change in our capital structure, such as a</w:t>
      </w:r>
      <w:r>
        <w:rPr>
          <w:rFonts w:ascii="Arial" w:cs="Arial" w:eastAsia="Arial" w:hAnsi="Arial"/>
          <w:sz w:val="18"/>
          <w:szCs w:val="18"/>
          <w:i w:val="1"/>
          <w:iCs w:val="1"/>
          <w:color w:val="auto"/>
        </w:rPr>
        <w:t xml:space="preserve"> </w:t>
      </w:r>
      <w:r>
        <w:rPr>
          <w:rFonts w:ascii="Arial" w:cs="Arial" w:eastAsia="Arial" w:hAnsi="Arial"/>
          <w:sz w:val="18"/>
          <w:szCs w:val="18"/>
          <w:color w:val="auto"/>
        </w:rPr>
        <w:t>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appropriate adjustments will be made to (i) the class(es) and maximum number of shares of common stock subject to the equity incentive plan and the maximum number of shares by which the share reserve may annually increase; (ii) the class(es) and maximum number of shares that may be issued pursuant to the exercise of ISOs; and (iii) the class(es) and number of securities and exercise price, strike price or purchase price of common stock subject to outstanding awards.</w:t>
      </w:r>
    </w:p>
    <w:p>
      <w:pPr>
        <w:spacing w:after="0" w:line="88"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i w:val="1"/>
          <w:iCs w:val="1"/>
          <w:color w:val="auto"/>
        </w:rPr>
        <w:t>Corporate Transactions</w:t>
      </w:r>
      <w:r>
        <w:rPr>
          <w:rFonts w:ascii="Arial" w:cs="Arial" w:eastAsia="Arial" w:hAnsi="Arial"/>
          <w:sz w:val="17"/>
          <w:szCs w:val="17"/>
          <w:color w:val="auto"/>
        </w:rPr>
        <w:t>. The following applies to stock awards under the equity incentive plan in the event of a</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transaction, as defined in the equity incentive plan, unless otherwise provided in a participant’s stock award agreement or other written agreement with us or unless otherwise expressly provided by the plan administrator at the time of grant. In the event of a corporate transaction, any stock awards outstanding under the equity incentive plan may be assumed, continued or substituted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such stock awards, then with respect to any such stock awards that are held by participants whose continuous service has not terminated prior to the effective time of the transaction, or current participants, the vesting (and exercisability, if applicable) of such stock awards will be accelerated in full to a date prior to the effective time of the transaction (contingent upon the effectiveness of the transaction), and such stock awards will terminate for no consideration if not exercised (if applicable) at or prior to the effective time of the transaction, and any reacquisition or repurchase rights held by us with respect to such stock awards will lapse (contingent upon the effectiveness of the transaction). With respect to performance awards with multiple vesting levels depending on performance level, unless otherwise provided by an award agreement or by the plan administrator, the award will accelerate at 100% of target. If the surviving or acquiring corporation (or its parent company) does not assume, continue or substitute such stock</w:t>
      </w:r>
    </w:p>
    <w:p>
      <w:pPr>
        <w:sectPr>
          <w:pgSz w:w="11900" w:h="16838" w:orient="portrait"/>
          <w:cols w:equalWidth="0" w:num="1">
            <w:col w:w="9019"/>
          </w:cols>
          <w:pgMar w:left="1440" w:top="265" w:right="1440"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6" w:name="page97"/>
    <w:bookmarkEnd w:id="9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color w:val="auto"/>
        </w:rPr>
        <w:t>awards, then with respect to any such stock awards that are held by persons other than current participants, such awards will terminate for no consideration if not exercised (if applicable) prior to the effective time of the transaction, except that any reacquisition or repurchase rights held by us with respect to such stock awards will not terminate and may continue to be exercised notwithstanding the transaction. The plan administrator is not obligated to treat all stock awards or portions of stock awards in the same manner and is not obligated to take the same actions with respect to all participants. In the event a stock award will terminate if not exercised prior to the effective time of a transaction, the plan administrator may provide, in its sole discretion, that the holder of such stock award may not exercise such stock award but instead will receive a payment equal in value, at the effective time, to the excess (if any) of (1) the value of the property the participant would have received upon exercise of the stock award over (2) any exercise price payable by such holder in connection with such exercise.</w:t>
      </w:r>
    </w:p>
    <w:p>
      <w:pPr>
        <w:spacing w:after="0" w:line="6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a change in control, as defined under the equity incentive plan, awards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under the equity incentive plan will not receive automatic acceleration of vesting and exercisability, although this treatment may be provided for in an award agreement.</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i w:val="1"/>
          <w:iCs w:val="1"/>
          <w:color w:val="auto"/>
        </w:rPr>
        <w:t>Plan Amendment or Termination</w:t>
      </w:r>
      <w:r>
        <w:rPr>
          <w:rFonts w:ascii="Arial" w:cs="Arial" w:eastAsia="Arial" w:hAnsi="Arial"/>
          <w:sz w:val="18"/>
          <w:szCs w:val="18"/>
          <w:color w:val="auto"/>
        </w:rPr>
        <w:t>. Our board of directors will have the authority to amend, suspend, or terminate</w:t>
      </w:r>
      <w:r>
        <w:rPr>
          <w:rFonts w:ascii="Arial" w:cs="Arial" w:eastAsia="Arial" w:hAnsi="Arial"/>
          <w:sz w:val="18"/>
          <w:szCs w:val="18"/>
          <w:i w:val="1"/>
          <w:iCs w:val="1"/>
          <w:color w:val="auto"/>
        </w:rPr>
        <w:t xml:space="preserve"> </w:t>
      </w:r>
      <w:r>
        <w:rPr>
          <w:rFonts w:ascii="Arial" w:cs="Arial" w:eastAsia="Arial" w:hAnsi="Arial"/>
          <w:sz w:val="18"/>
          <w:szCs w:val="18"/>
          <w:color w:val="auto"/>
        </w:rPr>
        <w:t>the equity incentive plan, provided that such action does not materially impair the existing rights of any participant without such participant’s written consent. No ISOs may be granted after the tenth anniversary of the date the board of directors of Silver Spike adopted the equity incentive plan.</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Third Amended and Restated Equity Incentive Plan</w:t>
      </w:r>
    </w:p>
    <w:p>
      <w:pPr>
        <w:spacing w:after="0" w:line="11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Legacy WMH’s Third Amended and Restated Equity Incentive Plan (the “2018 Plan”), was adopted by the board of managers of Legacy WMH and approved by its members in August 2018. The 2018 Plan was subsequently amended by the Legacy WMH board of managers on December 10, 2020. The 2018 Plan permitted the grant of Legacy WMH’s Class B units and Class A-3 units (the “Plan Units”), to Legacy WMH and its subsidiaries’ and affiliates’ employees, consultants, advisors, and independent contractors. As a result of the adoption of the 2021 Plan, no additional awards will be granted under the 2018 Plan. However, the 2018 Plan generally will continue to govern the terms and conditions of the outstanding awards previously granted under the 2018 Plan, as adjusted for the Business Combination and the Amended Operating Agreement.</w:t>
      </w:r>
    </w:p>
    <w:p>
      <w:pPr>
        <w:spacing w:after="0" w:line="70"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As of December 31, 2020, the maximum aggregate number of Plan Units authorized for</w:t>
      </w:r>
      <w:r>
        <w:rPr>
          <w:rFonts w:ascii="Arial" w:cs="Arial" w:eastAsia="Arial" w:hAnsi="Arial"/>
          <w:sz w:val="17"/>
          <w:szCs w:val="17"/>
          <w:i w:val="1"/>
          <w:iCs w:val="1"/>
          <w:color w:val="auto"/>
        </w:rPr>
        <w:t xml:space="preserve"> </w:t>
      </w:r>
      <w:r>
        <w:rPr>
          <w:rFonts w:ascii="Arial" w:cs="Arial" w:eastAsia="Arial" w:hAnsi="Arial"/>
          <w:sz w:val="17"/>
          <w:szCs w:val="17"/>
          <w:color w:val="auto"/>
        </w:rPr>
        <w:t>issuance under the 2018 Plan was 274,822, six of which Plan Units were available for grant as of the same date. Plan Units granted under the 2018 Plan that, under certain circumstances, are cancelled, repurchased, or redeemed by Legacy WMH were available for future grant under the 2018 Plan while the 2018 Plan remained in effect. As of March 31, 2021, 274,780 Plan Units were outstanding under the 2018 Plan.</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Prior to the Business Combination, the 2018 Plan was administered by Legacy WMH’s</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managers or one or more of Legacy WMH’s or its subsidiaries’ officers appointed by Legacy WMH’s board of managers. After the Business Combination, in our capacity as managing member of WMH LLC, we will administer the 2018 Plan as to any awards that remain outstanding thereunder. The administrator is authorized, in a nondiscriminatory manner, to interpret the 2018 Plan and the award agreements entered into under the 2018 Plan, prescribe rules relating to the 2018 Plan, and make all other determinations necessary or advisable for administering the 2018 Plan.</w:t>
      </w:r>
    </w:p>
    <w:p>
      <w:pPr>
        <w:spacing w:after="0" w:line="8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i w:val="1"/>
          <w:iCs w:val="1"/>
          <w:color w:val="auto"/>
        </w:rPr>
        <w:t>Plan Units</w:t>
      </w:r>
      <w:r>
        <w:rPr>
          <w:rFonts w:ascii="Arial" w:cs="Arial" w:eastAsia="Arial" w:hAnsi="Arial"/>
          <w:sz w:val="17"/>
          <w:szCs w:val="17"/>
          <w:color w:val="auto"/>
        </w:rPr>
        <w:t>. Plan Units granted under the 2018 Plan may be subject to various restrictions, including restrictions</w:t>
      </w:r>
      <w:r>
        <w:rPr>
          <w:rFonts w:ascii="Arial" w:cs="Arial" w:eastAsia="Arial" w:hAnsi="Arial"/>
          <w:sz w:val="17"/>
          <w:szCs w:val="17"/>
          <w:i w:val="1"/>
          <w:iCs w:val="1"/>
          <w:color w:val="auto"/>
        </w:rPr>
        <w:t xml:space="preserve"> </w:t>
      </w:r>
      <w:r>
        <w:rPr>
          <w:rFonts w:ascii="Arial" w:cs="Arial" w:eastAsia="Arial" w:hAnsi="Arial"/>
          <w:sz w:val="17"/>
          <w:szCs w:val="17"/>
          <w:color w:val="auto"/>
        </w:rPr>
        <w:t>on transferability and forfeiture provisions, as determined by the administrator and consistent with the 2018 Plan terms. Subject to the terms of the 2018 Plan, the administrator determined the number of Plan Units granted and other terms and conditions of such awards. The administrator imposed whatever conditions to vesting it determined to be appropriate. Plan Units that have not vested are subject to WMH LLC’s right of repurchase or forfeiture. The economic and other rights associated with Plan Units granted under the 2018 Plan are governed by the 2018 Plan, Amended Operating Agreement and the applicable award agreement.</w:t>
      </w:r>
    </w:p>
    <w:p>
      <w:pPr>
        <w:spacing w:after="0" w:line="6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i w:val="1"/>
          <w:iCs w:val="1"/>
          <w:color w:val="auto"/>
        </w:rPr>
        <w:t>Non-Transferability of Awards</w:t>
      </w:r>
      <w:r>
        <w:rPr>
          <w:rFonts w:ascii="Arial" w:cs="Arial" w:eastAsia="Arial" w:hAnsi="Arial"/>
          <w:sz w:val="18"/>
          <w:szCs w:val="18"/>
          <w:color w:val="auto"/>
        </w:rPr>
        <w:t>. The Plan Units are subject to certain transferability restrictions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governed by the terms of the Amended Operating Agreement, the 2018 Plan and the applicable award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7" w:name="page98"/>
    <w:bookmarkEnd w:id="9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i w:val="1"/>
          <w:iCs w:val="1"/>
          <w:color w:val="auto"/>
        </w:rPr>
        <w:t>Certain Adjustments</w:t>
      </w:r>
      <w:r>
        <w:rPr>
          <w:rFonts w:ascii="Arial" w:cs="Arial" w:eastAsia="Arial" w:hAnsi="Arial"/>
          <w:sz w:val="16"/>
          <w:szCs w:val="16"/>
          <w:color w:val="auto"/>
        </w:rPr>
        <w:t>. The outstanding Plan Units are subject to adjustment, exchange, replacement 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extent then unvested, cancellation for no consideration by us, in our capacity as managing member of WMH LLC, at our discretion so as to fairly and equitably and/or proportionately reflect any unit splits, reverse splits, dividends or distributions, recapitalizations, reclassifications, or other relevant changes in WMH LLC’s capitalization or corporate structure, as well as certain other adjustments as may be specified in the Amended Operating Agreement.</w:t>
      </w:r>
    </w:p>
    <w:p>
      <w:pPr>
        <w:spacing w:after="0" w:line="53"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i w:val="1"/>
          <w:iCs w:val="1"/>
          <w:color w:val="auto"/>
        </w:rPr>
        <w:t>Amendment, Suspension and Termination</w:t>
      </w:r>
      <w:r>
        <w:rPr>
          <w:rFonts w:ascii="Arial" w:cs="Arial" w:eastAsia="Arial" w:hAnsi="Arial"/>
          <w:sz w:val="18"/>
          <w:szCs w:val="18"/>
          <w:color w:val="auto"/>
        </w:rPr>
        <w:t>. We, in our capacity as managing member of WMH LLC, have the</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authority to amend, suspend or terminate all or any part of the 2018 Plan in our sole discretion, subject to the terms of the 2018 Plan and the Amended Operating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8" w:name="page99"/>
    <w:bookmarkEnd w:id="9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following is a summary of transactions since January 1, 2019, to which we have been a party in which the amount involved exceeded $120,000 and in which any of our executive officers, directors, managers, promoters, beneficial holders of more than 5% of our membership interests, or any associates or affiliates thereof had or will have a direct or indirect material interest, other than compensation arrangements which are described in the section entitled “Executive Compensation.”</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Amended Operating Company Agreement</w:t>
      </w:r>
    </w:p>
    <w:p>
      <w:pPr>
        <w:spacing w:after="0" w:line="12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Concurrently with the Closing, the WMH LLC operating agreement was further amended and restated in its entirety to become the Fourth Amended and Restated Operating Agreement (the “Amended Operating Agreement”). Messrs. Beals, Camire, Dean, Feijoo, Lee, Francis and Hartfield and Ghost Media Group, LLC all own Paired Interests and Class P Units as described in the section titled “Principal Securityholders.”</w:t>
      </w:r>
    </w:p>
    <w:p>
      <w:pPr>
        <w:spacing w:after="0" w:line="24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Rights of the Units</w:t>
      </w:r>
    </w:p>
    <w:p>
      <w:pPr>
        <w:spacing w:after="0" w:line="121"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Pursuant to the Amended Operating Agreement, the Units are entitled to share in the profits and losses of WMH LLC and to receive distributions as and if declared by the managing member of WMH LLC and have no voting rights. The Amended Operating Agreement generally establishes the rights and vesting conditions of the LTIP Units and the Class P Units, which are treated as profits interests in WMH LLC, and may be offered to directors, employees, officers, consultants or other service providers. LTIP Units and Class P Units have all the rights, privileges, preferences, and obligations as are specifically provided for in the Amended Operating Agreement, and as may otherwise be generally applicable to all classes of Units, however, LTIP Units and Class P Units are not entitled to vote on any matter subject to a vote of the members, except as otherwise required by law.</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Management</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as the managing member of WMH LLC, have the sole vote on all matters that require a vote of members under the Amended Operating Agreement or applicable law. The business, property and affairs of WMH LLC are managed solely by the managing member, and the managing member cannot be removed or replaced except by the incumbent managing member.</w:t>
      </w:r>
    </w:p>
    <w:p>
      <w:pPr>
        <w:spacing w:after="0" w:line="26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as managing member of WMH LLC may, in our sole discretion, authorize distributions to the WMH LLC members (to the extent of available cash, as defined in the amended operating agreement). Subject to provisions in the Amended Operating Agreement governing tax distributions and the treatment of Class P Units and LTIP Units (as defined in the Amended Operating Agreement), all such distributions will be made pro rata in accordance each member’s number of Class P Units.</w:t>
      </w:r>
    </w:p>
    <w:p>
      <w:pPr>
        <w:spacing w:after="0" w:line="80" w:lineRule="exact"/>
        <w:rPr>
          <w:sz w:val="20"/>
          <w:szCs w:val="20"/>
          <w:color w:val="auto"/>
        </w:rPr>
      </w:pPr>
    </w:p>
    <w:p>
      <w:pPr>
        <w:jc w:val="both"/>
        <w:ind w:left="300" w:right="299" w:firstLine="360"/>
        <w:spacing w:after="0" w:line="283" w:lineRule="auto"/>
        <w:rPr>
          <w:sz w:val="20"/>
          <w:szCs w:val="20"/>
          <w:color w:val="auto"/>
        </w:rPr>
      </w:pPr>
      <w:r>
        <w:rPr>
          <w:rFonts w:ascii="Arial" w:cs="Arial" w:eastAsia="Arial" w:hAnsi="Arial"/>
          <w:sz w:val="16"/>
          <w:szCs w:val="16"/>
          <w:color w:val="auto"/>
        </w:rPr>
        <w:t>The holders of Class P Units will generally incur U.S. federal, state and local income taxes on their proportionate share of any net taxable income of WMH LLC. Net profits and net losses of WMH LLC will generally be allocated to its members pro rata in accordance with the percentages of their respective ownership of Units. The Amended Operating Agreement provides for pro rata cash distributions to the holders of Units for purposes of funding their tax obligations in respect of the taxable income of WMH LLC that is allocated to them. Generally, these tax distributions will be computed based on WMH LLC’s estimate of the net taxable income of WMH LLC allocable to each holder of Units multiplied by an assumed tax rate equal to the highest effective marginal combined U.S. federal, state and local income tax rate prescribed for an individual or corporate resident of California or New York, New York (taking into account the non-deductibility of certain expenses, the character of our income, and the deductibility of state and local income taxes, to the extent applicable, but not taking into account any deduction under Section 199A of the Code). As a result of (i) potential differences in the amount of net taxable income allocable to us and the other Unit holders, (ii) the lower tax rate applicable to corporations than individuals and</w:t>
      </w:r>
    </w:p>
    <w:p>
      <w:pPr>
        <w:spacing w:after="0" w:line="3" w:lineRule="exact"/>
        <w:rPr>
          <w:sz w:val="20"/>
          <w:szCs w:val="20"/>
          <w:color w:val="auto"/>
        </w:rPr>
      </w:pPr>
    </w:p>
    <w:p>
      <w:pPr>
        <w:jc w:val="both"/>
        <w:ind w:left="300" w:right="299" w:hanging="8"/>
        <w:spacing w:after="0" w:line="255" w:lineRule="auto"/>
        <w:tabs>
          <w:tab w:leader="none" w:pos="65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use of an assumed tax rate in calculating WMH LLC’s distribution obligations, we may receive tax distributions significantly in excess of its tax liabilities and obligations to make payments under the Tax Receivable Agreement.</w:t>
      </w:r>
    </w:p>
    <w:p>
      <w:pPr>
        <w:spacing w:after="0" w:line="8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Upon the liquidation or winding up of WMH LLC, subject to the treatment of Class P Units and LTIP Units (as defined in the Amended Operating Agreement) and tax distributions, all net proceeds thereof will be distributed in accordance with each member’s number of Units.</w:t>
      </w:r>
    </w:p>
    <w:p>
      <w:pPr>
        <w:sectPr>
          <w:pgSz w:w="11900" w:h="16838" w:orient="portrait"/>
          <w:cols w:equalWidth="0" w:num="1">
            <w:col w:w="9019"/>
          </w:cols>
          <w:pgMar w:left="1440" w:top="265"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9" w:name="page100"/>
    <w:bookmarkEnd w:id="9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Restrictions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Amended Operating Agreement contains restrictions on transfers of units and requires the prior consent of the managing member for such transfers, except in specified cases, including (i) certain transfers to permitted transferees under certain conditions and (ii) exchanges of Units for shares of Class A Common Stock or cash pursuant to the exchange agreement.</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Exchange Agreement</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Concurrently with the Closing, we, WMH LLC and the Unit holders, including Messrs. Beals, Camire, Dean, Feijoo, Lee, Francis and Hartfield and Ghost Media Group, LLC, as described in the section titled “Principal Securityholders,” entered into an exchange agreement (the “Exchange Agreement”). The terms of the Exchange Agreement provide the Unit holders (or certain permitted transferees thereof) with the right from time to time at and after 180 days following the Business Combination to exchange their Class A Units for shares of Class A Common Stock on a one-for-one basis, subject to customary conversion rate adjustments for stock splits, stock dividends and reclassifications, and to exchange their vested Class P Units for shares of Class A Common Stock with a value equal to the value of such Class P Units less their participation threshold, or, in each case, at the Company’s election, the cash equivalent of such shares of Class A Common Stock. By default, each exchange will take the form of a redemption by us of the WMH Units in exchange for Class A Common Stock or cash, as applicable, unless we elect to effect such exchange directly with the applicable Unit holder. The shares of Class V Common Stock surrendered in any exchange will be immediately cancelled.</w:t>
      </w:r>
    </w:p>
    <w:p>
      <w:pPr>
        <w:spacing w:after="0" w:line="71"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The Exchange Agreement provides that, as a general matter, a Unit holder does not have the right to exchange Units if we determine that such exchange would be prohibited by law or regulation or would violate other agreements with us and our subsidiaries to which the Unit holder may be subject, including the Amended Operating Agreement and the Exchange Agreement. Additionally, the Exchange Agreement contains restrictions on redemptions and exchanges intended to prevent WMH LLC from being treated as a “publicly traded partnership” for U.S. federal income tax purposes. These restrictions are modeled on certain safe harbors provided for under applicable U.S. federal income tax law. We may impose additional restrictions on exchanges that it determines to be necessary or advisable so that WMH LLC is not treated as a “publicly traded partnership” for U.S. federal income tax purposes.</w:t>
      </w:r>
    </w:p>
    <w:p>
      <w:pPr>
        <w:spacing w:after="0" w:line="24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Tax Receivable Agreement</w:t>
      </w:r>
    </w:p>
    <w:p>
      <w:pPr>
        <w:spacing w:after="0" w:line="121"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Concurrently with the Closing, we, the Holder Representative and the Class A Unit holders, including Messrs. Beals, Francis and Hartfield and Ghost Media Group, LLC, as described in the section titled “Principal Securityholders,” entered into the tax receivable agreement, (the “Tax Receivable Agreement”), pursuant to which we are required to pay to holders of Class A Units, in the aggregate, 85% of the amount of cash savings, if any, in U.S. federal, state and local income tax or franchise tax that we actually realizes as a result of (i) increases to the tax basis of WMH LLC’s assets resulting from our acquisition of common units for cash in the Business Combination and future redemptions or exchanges of Class A Units for shares of Class A Common Stock or cash, (ii) tax benefits related to imputed interest or (iii) tax attributes resulting from payments made under Tax Receivable Agreement. The payment obligations under Tax Receivable Agreement are our obligations and not obligations of WMH LLC.</w:t>
      </w:r>
    </w:p>
    <w:p>
      <w:pPr>
        <w:spacing w:after="0" w:line="58"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expect that the payments we will be required to make under the Tax Receivable Agreement will be substantial. Assuming no material changes in relevant tax law, that there are no future redemptions or exchanges of Class A Units and that we earn sufficient taxable income to realize all tax benefits that are subject to the tax receivable agreement, the tax savings associated with acquisitions of common units in the Business Combination would aggregate to approximately $151.3 million over 15 years from the Closing Date. Under this scenario, we would be required to pay to the Class A Unit holders approximately 85% of such amount, or $128.6 million, over the 15-year period from the Closing Date. The actual amounts we will be required to pay may materially differ from these hypothetical amounts, because potential future tax savings that we will be deemed to realize, and the Tax Receivable Agreement payments made by us, will be calculated based in part on the market value of the Class A Common Stock at the time of each redemption or exchange under the exchange agreement and the prevailing applicable tax rates applicable to us over the life of the Tax Receivable Agreement and will depend on us generating sufficient taxable income to realize the tax benefits that are subject to the Tax Receivable Agreement. Payments under the Tax Receivable Agreement are not conditioned on the Class A Unit holders’ continued ownership of WMH LLC.</w:t>
      </w:r>
    </w:p>
    <w:p>
      <w:pPr>
        <w:spacing w:after="0" w:line="76"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Payments under the Tax Receivable Agreement will be based on the tax reporting positions we determine, and the IRS or another tax authority may challenge all or a part of the existing tax basis, tax basis increases, or other tax</w:t>
      </w:r>
    </w:p>
    <w:p>
      <w:pPr>
        <w:sectPr>
          <w:pgSz w:w="11900" w:h="16838" w:orient="portrait"/>
          <w:cols w:equalWidth="0" w:num="1">
            <w:col w:w="9019"/>
          </w:cols>
          <w:pgMar w:left="1440" w:top="265"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0" w:name="page101"/>
    <w:bookmarkEnd w:id="10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attributes subject to the Tax Receivable Agreement, and a court could sustain such challenge. The parties to the Tax Receivable Agreement will not reimburse us for any payments previously made if such tax basis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80"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In addition, the Tax Receivable Agreement provides that if (1) we breach any of our material obligations under the Tax Receivable Agreement (including in the event that we are more than three months late making a payment that is due under the Tax Receivable Agreement, except in the case of certain liquidity exceptions), (2) we are subject to certain bankruptcy, insolvency or similar proceedings, or (3) at any time, we elect an early termination of the Tax Receivable Agreement, our obligations under the Tax Receivable Agreement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Tax Receivable Agreement. The Tax Receivable Agreement also provides that, upon certain mergers, asset sales or other forms of business combination, or certain other changes of control, (A) our obligations under the Tax Receivable Agreement with respect to Class A Units that have been exchanged or redeemed prior to or in connection with such change of control transaction would accelerate and become payable in a lump sum as described above and (B) with respect to Class A Units that have not been exchanged as of such change of control transaction, our or our successor’s obligations under the Tax Receivable Agreement would be based on certain assumptions, including that our or our successor would have sufficient taxable income to fully utilize the increased tax deductions and tax basis and other benefits covered by the Tax Receivable Agreement. As a result, upon any acceleration of our obligations under the Tax Receivable Agreement (including upon a change of control), we could be required to make payments under the Tax Receivable Agreement that are greater than 85% of our actual cash tax savings, which could negatively impact its liquidity. The change of control provisions in the Tax Receivable Agreement may also result in situations where the Class A Unit holders have interests that differ from or are in addition to those of the Class A stockholders.</w:t>
      </w:r>
    </w:p>
    <w:p>
      <w:pPr>
        <w:spacing w:after="0" w:line="72"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Finally, because we are a holding company with no operations of our own, our ability to make payments under the Tax Receivable Agreement depends on our ability to make distributions to us.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Concurrently with the Closing, Silver Spike Sponsor, LLC (“Silver Spike Sponsor”) and certain Unit holders, including Messrs. Beals, Camire, Dean, Feijoo, Lee, Francis and Hartfield, Silver Spike Sponsor, LLC and Ghost Media Group, LLC, as described in the section titled “Principal Securityholders,” entered into the Amended and Restated Registration Rights Agreement, dated June 16, 2021, among us and certain of our stockholders (the “Amended and Restated Registration Rights Agreement”). As a result, Silver Spike Sponsor, LLC and such certain Unit holders are able to make a written demand for registration under the Securities Act of all or a portion of their registrable securities, subject to a maximum of three such demand registrations for Silver Spike Sponsor, LLC and three such demand registrations for such certain Unit holders thereto, in each case so long as such demand includes a number of registrable securities with a total offering price in excess of $10.0 million. Any such demand may be in the form of an underwritten offering, it being understood that we will not be able to conduct more than two underwritten offerings where the expected aggregate proceeds are less than $25.0 million but in excess of $10.0 million in any 12-month period. In addition, the holders of registrable securities will have “piggy-back” registration rights to include their securities in other registration statements filed by us. We have also agreed to file within 45 days of the Closing a resale shelf registration statement covering the resale of all registrable securities.</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Silver Spike Related Transactions and Agreements</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In June 2019, Silver Spike Sponsor purchased 7,187,500 founder shares for an aggregate purchase price of $25,000, or $0.004 per share. On September 23, 2019, in connection with the expiration of the underwriter’s over-allotment option, Silver Spike Sponsor surrendered 937,500 founder shares. In connection with the closing of Silver Spike’s IPO, Silver Spike Sponsor granted sponsor LLC equity interests to Silver Spike’s independent directors that collectively comprised approximately 1% of the outstanding equity interests in Silver Spike Sponsor.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1" w:name="page102"/>
    <w:bookmarkEnd w:id="10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Silver Spike Sponsor purchased an aggregate of 7,000,000 Private Placement Warrants for a purchase price of $1.00 per warrant in a private placement simultaneously with the closing of Silver Spike’s IPO. Each Private Placement Warrant may be exercised for one share of Class A Common Stock at a price of $11.50 per share, subject to adjustment as provided herein. The Private Placement Warrants (including the Class A Common Stock issuable upon exercise of the Private Placement Warrants) may not, subject to certain limited exceptions, be transferred, assigned or sold by it until 30 days after the completion of the Business Combination.</w:t>
      </w:r>
    </w:p>
    <w:p>
      <w:pPr>
        <w:spacing w:after="0" w:line="56"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Silver Spike entered into an Administrative Services Agreement pursuant to which Silver Spike paid Silver Spike Sponsor up to $20,000 per month for office space, administrative and support services. Upon completion of the Business Combination, Silver Spike ceased paying any of these monthly fees. As of the Closing Date, Silver Spike Sponsor was paid an aggregate of $79,074 for office space, administrative and support services and was entitled to be reimbursed for any out-of-pocket expenses.</w:t>
      </w:r>
    </w:p>
    <w:p>
      <w:pPr>
        <w:spacing w:after="0" w:line="80"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Silver Spike Sponsor, Silver Spike’s officers and directors, or any of their respective affiliates, were reimbursed for any out-of-pocket expenses incurred in connection with activities on Silver Spike’s behalf, such as identifying potential target businesses and performing due diligence on suitable business combinations. As of the Closing Date, Silver Spike Sponsor, and its respective affiliates were paid an aggregate of $88,252.</w:t>
      </w:r>
    </w:p>
    <w:p>
      <w:pPr>
        <w:spacing w:after="0" w:line="63"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Silver Spike Sponsor agreed to loan Silver Spike $250,000 under an unsecured promissory note to be used for Silver Spike’s working capital expenses. These loans are non-interest bearing and unsecured. The value of Silver Spike Sponsor’s interest in this loan transaction corresponded to the principal amount outstanding under any such loan. On February 18, 2021, Silver Spike Sponsor agreed to loan Silver Spike an additional $750,000 under an additional unsecured promissory note to be used for the payment of working capital expenses, including expenses incurred in connection with the Business Combination. The notes were non-interest bearing, unsecured and repaid on the Closing Date.</w:t>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PIPE Subscription Agreements</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In connection with the execution of the Merger Agreement, Silver Spike entered into a Subscription Agreement with (i) Silver Spike Opportunities I, LLC, an entity affiliated with certain directors and officers of Silver Spike, for the purchase of 3,500,000 shares of Silver Spike’s Class A ordinary shares for an aggregate purchase price of $35,000,000 and (ii) AFV Partners SPV-5 (WM) LLC, an entity affiliated with Tony Aquila, one of our directors, for the purchase of 5,000,000 PIPE Shares for an aggregate purchase price of $50.0 million, in each case on the same on the same terms and conditions as the form of Subscription Agreement, which is an exhibit to the registration statement of which this prospectus is a part.</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Legacy WMH Transactions and Agreements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Certain Employment Relationships</w:t>
      </w:r>
    </w:p>
    <w:p>
      <w:pPr>
        <w:spacing w:after="0" w:line="117"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Certain immediate family members of Douglas Francis, Legacy WMH’s former chief executive officer and a current member of our board of managers, provide services to us for compensation, as described below:</w:t>
      </w:r>
    </w:p>
    <w:p>
      <w:pPr>
        <w:spacing w:after="0" w:line="38" w:lineRule="exact"/>
        <w:rPr>
          <w:sz w:val="20"/>
          <w:szCs w:val="20"/>
          <w:color w:val="auto"/>
        </w:rPr>
      </w:pPr>
    </w:p>
    <w:p>
      <w:pPr>
        <w:jc w:val="both"/>
        <w:ind w:left="1000" w:right="319" w:hanging="348"/>
        <w:spacing w:after="0" w:line="263"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Russell Francis was formerly employed as one of our UI/UX developers. Mr. R. Francis, who is a brother of Mr. Francis, earned $198,606 and $15,300 in compensation in 2019 and 2020, respectively, and no compensation in the year ended December 31, 2021.</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Troy Francis formerly provided services to us as an independent contractor. Mr. T. Francis, who is a brother of Mr. Francis, earned $151,320 and $4,602 in compensation in 2019 and 2020, respectively, and no compensation in the year ended December 31, 2021.</w:t>
      </w:r>
    </w:p>
    <w:p>
      <w:pPr>
        <w:spacing w:after="0" w:line="75"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Kathleen Joosten was formerly employed as a corporate attorney in our legal department. Ms. Joosten, who is the sister-in-law of Mr. Francis, earned $163,462 and $167,427 in compensation in 2019 and 2020, respectively, and $151,889 in compensation in the year ended December 31, 2021.</w:t>
      </w:r>
    </w:p>
    <w:p>
      <w:pPr>
        <w:spacing w:after="0" w:line="57" w:lineRule="exact"/>
        <w:rPr>
          <w:rFonts w:ascii="Arial" w:cs="Arial" w:eastAsia="Arial" w:hAnsi="Arial"/>
          <w:sz w:val="17"/>
          <w:szCs w:val="17"/>
          <w:color w:val="auto"/>
        </w:rPr>
      </w:pPr>
    </w:p>
    <w:p>
      <w:pPr>
        <w:jc w:val="both"/>
        <w:ind w:left="1000" w:right="299" w:hanging="348"/>
        <w:spacing w:after="0" w:line="263"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Len Townsend, who is Justin Hartfield’s father-in-law, formerly provided services to us as an independent contractor. Mr. Townsend earned $240,000 in 2019 and no compensation in 2020 and 2021, respectively, and no compensation in the year ended December 31, 2021.</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Certain Other Enterprises</w:t>
      </w:r>
    </w:p>
    <w:p>
      <w:pPr>
        <w:spacing w:after="0" w:line="117" w:lineRule="exact"/>
        <w:rPr>
          <w:sz w:val="20"/>
          <w:szCs w:val="20"/>
          <w:color w:val="auto"/>
        </w:rPr>
      </w:pPr>
    </w:p>
    <w:p>
      <w:pPr>
        <w:ind w:left="300" w:right="319" w:firstLine="360"/>
        <w:spacing w:after="0" w:line="342" w:lineRule="auto"/>
        <w:rPr>
          <w:sz w:val="20"/>
          <w:szCs w:val="20"/>
          <w:color w:val="auto"/>
        </w:rPr>
      </w:pPr>
      <w:r>
        <w:rPr>
          <w:rFonts w:ascii="Arial" w:cs="Arial" w:eastAsia="Arial" w:hAnsi="Arial"/>
          <w:sz w:val="16"/>
          <w:szCs w:val="16"/>
          <w:color w:val="auto"/>
        </w:rPr>
        <w:t>WCC MGMT, LLC is a business of which each of Messrs. Francis and Hartfield indirectly own a minority interest. WCC MGMT, LLC uses our listing products and has participated in other brand promotion opportunities.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2" w:name="page103"/>
    <w:bookmarkEnd w:id="10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WCC MGMT, LLC paid us a total of $98,495, $536,750 and $507,935 in 2019, 2020 and 2021 respectively, for such products and services. Mr. Beals indirectly owned a minority interest in WCC MGMT, LLC, but relinquished his indirect interest in April 2019.</w:t>
      </w:r>
    </w:p>
    <w:p>
      <w:pPr>
        <w:spacing w:after="0" w:line="7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DICA Distribution, LLC is a company of which Mr. Francis indirectly owned 47.5%, Mr. Hartfield indirectly owned 47.5% and Mr. Beals indirectly owned 5% of the equity interests. DICA Distribution, LLC leased premises pursuant to a lease, in connection with which we issued a guaranty in favor of the landlord. The value of the underlying lease was $502,272 and $171,505 in 2018 and 2019, respectively. In April 2019, Mr. Beals relinquished his indirect interest in DICA Distribution, LLC. In May 2019, DICA Distribution, LLC merged with and into WCC MGMT, LLC and our guaranty was released by the landlord.</w:t>
      </w:r>
    </w:p>
    <w:p>
      <w:pPr>
        <w:spacing w:after="0" w:line="2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Searchcore Payments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August 2012, Searchcore, Inc., or Searchcore, purchased all of the equity ownership that Messrs. Francis and Hartfield held in Searchcore for an installment note in the amount of $1.6 million payable to each of Messrs. Francis and Hartfield. Pursuant to certain reorganization transactions, the notes were ultimately assigned to Weedmaps Media, LLC, one of our wholly owned subsidiaries.</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Pursuant to a note payable to Mr. Hartfield and that certain Global Securities Purchase, Consulting, and Resignation Agreement dated as of July 31, 2012, by and among Searchcore, Weedmaps Media, Inc. and Justin Hartfield, we paid Mr. Hartfield $0, $0 and $0 in 2019, 2020 and 2021 respectively. All obligations to Mr. Francis and Mr. Hartfield under these arrangements have been paid in full.</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Transactions</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We have entered into employment and other agreements with certain of our executive officers. For a description of agreements with our named executive officers, see the sections entitled “Executive Compensation—Executive Employment Arrangements” and “—Outstanding Equity Awards at December 31, 2020.”</w:t>
      </w:r>
    </w:p>
    <w:p>
      <w:pPr>
        <w:spacing w:after="0" w:line="4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We have granted equity awards to certain of our executive officers. For a description of equity awards granted to our named executive officers, see the section entitled “Executive Compensation.”</w:t>
      </w:r>
    </w:p>
    <w:p>
      <w:pPr>
        <w:spacing w:after="0" w:line="62"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We entered into indemnification agreements with our directors and executive officers. For a description of these agreements, see the section entitled “Management—Limitation of Liability and Indemnification.”</w:t>
      </w:r>
    </w:p>
    <w:p>
      <w:pPr>
        <w:spacing w:after="0" w:line="1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Related Party Transaction Policy</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Our board of directors has adopted a written Related Person Transactions Policy that sets forth our policies and procedures regarding the identification, review, consideration and oversight of related-person transactions. For purposes of our policy, a related-person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consultant or director will not be considered related-person transactions under this policy.</w:t>
      </w:r>
    </w:p>
    <w:p>
      <w:pPr>
        <w:spacing w:after="0" w:line="8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Under the policy, a related person is any executive officer, director, nominee to become a director or a security holder known by us to beneficially own more than 5% of any class of our voting securities (a “significant stockholder”), including any of their immediate family members and affiliates, including entities controlled by such persons or such person has a 5% or greater beneficial ownership interest.</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Each director and executive officer shall identify, and we shall request each significant stockholder to identify, any related-person transaction involving such director, executive officer or significant stockholder or his, her or its immediate family members and inform our audit committee pursuant to this policy before such related person may engage in the transaction.</w:t>
      </w:r>
    </w:p>
    <w:p>
      <w:pPr>
        <w:spacing w:after="0" w:line="79"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In considering related-person transactions, our audit committee takes into account the relevant available facts and circumstances, which may include, but are not limited to:</w:t>
      </w:r>
    </w:p>
    <w:p>
      <w:pPr>
        <w:spacing w:after="0" w:line="62" w:lineRule="exact"/>
        <w:rPr>
          <w:sz w:val="20"/>
          <w:szCs w:val="20"/>
          <w:color w:val="auto"/>
        </w:rPr>
      </w:pPr>
    </w:p>
    <w:p>
      <w:pPr>
        <w:ind w:left="1000" w:hanging="348"/>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risk, cost and benefits to us;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the related person is a director, immediate family member of a director or an entity with which a director is affiliated;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3" w:name="page104"/>
    <w:bookmarkEnd w:id="10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terms of the transaction;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Our audit committee shall approve only those related-party transactions that, in light of known circumstances, are in, or are not inconsistent with, our best interests and our stockholders, as our audit committee determines in the good faith exercise of its discretion.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4" w:name="page105"/>
    <w:bookmarkEnd w:id="10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SECURITYHOLDERS</w:t>
      </w:r>
    </w:p>
    <w:p>
      <w:pPr>
        <w:spacing w:after="0" w:line="12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following table sets forth information known to us regarding the beneficial ownership of our Common Stock as of February 18, 2022, by:</w:t>
      </w:r>
    </w:p>
    <w:p>
      <w:pPr>
        <w:spacing w:after="0" w:line="62" w:lineRule="exact"/>
        <w:rPr>
          <w:sz w:val="20"/>
          <w:szCs w:val="20"/>
          <w:color w:val="auto"/>
        </w:rPr>
      </w:pPr>
    </w:p>
    <w:p>
      <w:pPr>
        <w:ind w:left="1000" w:right="319" w:hanging="348"/>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person who is known by us to be the beneficial owner of more than 5% of the outstanding shares of our Common Stock;</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of our current named executive officers and directors;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Beneficial ownership is determined according to the rules of the SEC, which generally provides that a person has beneficial ownership of a security if he, she or it possesses sole or shared voting or investment power over that security, including options and warrants that are currently exercisable or exercisable within 60 days.</w:t>
      </w:r>
    </w:p>
    <w:p>
      <w:pPr>
        <w:spacing w:after="0" w:line="4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The beneficial ownership percentages set forth in the table below are based on 135,901,414 shares of our Class A Common Stock and Class V Common Stock issued and outstanding as of February 18, 2022 and do not take into account the issuance of any shares of Class A Common Stock upon (i) the exercise of 19,499,993 Warrants to purchase an aggregate of 19,499,993 shares of Class A Common Stock or (ii) the exchange of 25,660,529 Class P Units for up to 25,660,529 shares of Class A Common Stock.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58"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Unless otherwise noted in the footnotes to the following table, and subject to applicable community property laws, the persons and entities named in the table have sole voting and investment power with respect to their beneficially owned shares of our Common Stock.</w:t>
      </w:r>
    </w:p>
    <w:p>
      <w:pPr>
        <w:spacing w:after="0" w:line="13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Number of</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Number of</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Shares of</w:t>
            </w: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Shares of</w:t>
            </w: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Class A</w:t>
            </w: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Class V</w:t>
            </w: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Combined %</w:t>
            </w: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Common</w:t>
            </w: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 of Class A</w:t>
            </w: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Common</w:t>
            </w: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 of Class V</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Stock</w:t>
            </w:r>
          </w:p>
        </w:tc>
        <w:tc>
          <w:tcPr>
            <w:tcW w:w="1100" w:type="dxa"/>
            <w:vAlign w:val="bottom"/>
            <w:gridSpan w:val="2"/>
            <w:vMerge w:val="continue"/>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Stock</w:t>
            </w:r>
          </w:p>
        </w:tc>
        <w:tc>
          <w:tcPr>
            <w:tcW w:w="1100" w:type="dxa"/>
            <w:vAlign w:val="bottom"/>
            <w:gridSpan w:val="2"/>
            <w:vMerge w:val="continue"/>
          </w:tcPr>
          <w:p>
            <w:pPr>
              <w:spacing w:after="0"/>
              <w:rPr>
                <w:sz w:val="12"/>
                <w:szCs w:val="12"/>
                <w:color w:val="auto"/>
              </w:rPr>
            </w:pPr>
          </w:p>
        </w:tc>
        <w:tc>
          <w:tcPr>
            <w:tcW w:w="82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45"/>
        </w:trPr>
        <w:tc>
          <w:tcPr>
            <w:tcW w:w="302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r>
              <w:rPr>
                <w:rFonts w:ascii="Arial" w:cs="Arial" w:eastAsia="Arial" w:hAnsi="Arial"/>
                <w:sz w:val="23"/>
                <w:szCs w:val="23"/>
                <w:b w:val="1"/>
                <w:bCs w:val="1"/>
                <w:color w:val="auto"/>
                <w:vertAlign w:val="superscript"/>
              </w:rPr>
              <w:t>(1)</w:t>
            </w:r>
          </w:p>
        </w:tc>
        <w:tc>
          <w:tcPr>
            <w:tcW w:w="300" w:type="dxa"/>
            <w:vAlign w:val="bottom"/>
          </w:tcPr>
          <w:p>
            <w:pPr>
              <w:spacing w:after="0"/>
              <w:rPr>
                <w:sz w:val="12"/>
                <w:szCs w:val="12"/>
                <w:color w:val="auto"/>
              </w:rPr>
            </w:pPr>
          </w:p>
        </w:tc>
        <w:tc>
          <w:tcPr>
            <w:tcW w:w="10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110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2"/>
              </w:rPr>
              <w:t>Common</w:t>
            </w:r>
          </w:p>
        </w:tc>
        <w:tc>
          <w:tcPr>
            <w:tcW w:w="108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110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5"/>
              </w:rPr>
              <w:t>Common</w:t>
            </w:r>
          </w:p>
        </w:tc>
        <w:tc>
          <w:tcPr>
            <w:tcW w:w="8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Total Voting</w:t>
            </w:r>
          </w:p>
        </w:tc>
        <w:tc>
          <w:tcPr>
            <w:tcW w:w="0" w:type="dxa"/>
            <w:vAlign w:val="bottom"/>
          </w:tcPr>
          <w:p>
            <w:pPr>
              <w:spacing w:after="0"/>
              <w:rPr>
                <w:sz w:val="1"/>
                <w:szCs w:val="1"/>
                <w:color w:val="auto"/>
              </w:rPr>
            </w:pPr>
          </w:p>
        </w:tc>
      </w:tr>
      <w:tr>
        <w:trPr>
          <w:trHeight w:val="242"/>
        </w:trPr>
        <w:tc>
          <w:tcPr>
            <w:tcW w:w="302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Owned</w:t>
            </w: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1080" w:type="dxa"/>
            <w:vAlign w:val="bottom"/>
            <w:gridSpan w:val="2"/>
          </w:tcPr>
          <w:p>
            <w:pPr>
              <w:jc w:val="center"/>
              <w:ind w:right="260"/>
              <w:spacing w:after="0" w:line="242" w:lineRule="exact"/>
              <w:rPr>
                <w:sz w:val="20"/>
                <w:szCs w:val="20"/>
                <w:color w:val="auto"/>
              </w:rPr>
            </w:pPr>
            <w:r>
              <w:rPr>
                <w:rFonts w:ascii="Arial" w:cs="Arial" w:eastAsia="Arial" w:hAnsi="Arial"/>
                <w:sz w:val="14"/>
                <w:szCs w:val="14"/>
                <w:b w:val="1"/>
                <w:bCs w:val="1"/>
                <w:color w:val="auto"/>
                <w:w w:val="88"/>
              </w:rPr>
              <w:t>Owned</w:t>
            </w:r>
            <w:r>
              <w:rPr>
                <w:rFonts w:ascii="Arial" w:cs="Arial" w:eastAsia="Arial" w:hAnsi="Arial"/>
                <w:sz w:val="23"/>
                <w:szCs w:val="23"/>
                <w:b w:val="1"/>
                <w:bCs w:val="1"/>
                <w:color w:val="auto"/>
                <w:w w:val="88"/>
                <w:vertAlign w:val="superscript"/>
              </w:rPr>
              <w:t>(2)</w:t>
            </w: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820" w:type="dxa"/>
            <w:vAlign w:val="bottom"/>
          </w:tcPr>
          <w:p>
            <w:pPr>
              <w:jc w:val="center"/>
              <w:spacing w:after="0" w:line="242" w:lineRule="exact"/>
              <w:rPr>
                <w:sz w:val="20"/>
                <w:szCs w:val="20"/>
                <w:color w:val="auto"/>
              </w:rPr>
            </w:pPr>
            <w:r>
              <w:rPr>
                <w:rFonts w:ascii="Arial" w:cs="Arial" w:eastAsia="Arial" w:hAnsi="Arial"/>
                <w:sz w:val="14"/>
                <w:szCs w:val="14"/>
                <w:b w:val="1"/>
                <w:bCs w:val="1"/>
                <w:color w:val="auto"/>
                <w:w w:val="85"/>
              </w:rPr>
              <w:t>Power</w:t>
            </w:r>
            <w:r>
              <w:rPr>
                <w:rFonts w:ascii="Arial" w:cs="Arial" w:eastAsia="Arial" w:hAnsi="Arial"/>
                <w:sz w:val="23"/>
                <w:szCs w:val="23"/>
                <w:b w:val="1"/>
                <w:bCs w:val="1"/>
                <w:color w:val="auto"/>
                <w:w w:val="85"/>
                <w:vertAlign w:val="superscript"/>
              </w:rPr>
              <w:t>(3)</w:t>
            </w:r>
          </w:p>
        </w:tc>
        <w:tc>
          <w:tcPr>
            <w:tcW w:w="0" w:type="dxa"/>
            <w:vAlign w:val="bottom"/>
          </w:tcPr>
          <w:p>
            <w:pPr>
              <w:spacing w:after="0"/>
              <w:rPr>
                <w:sz w:val="1"/>
                <w:szCs w:val="1"/>
                <w:color w:val="auto"/>
              </w:rPr>
            </w:pPr>
          </w:p>
        </w:tc>
      </w:tr>
      <w:tr>
        <w:trPr>
          <w:trHeight w:val="263"/>
        </w:trPr>
        <w:tc>
          <w:tcPr>
            <w:tcW w:w="3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Directors and Named Executive</w:t>
            </w:r>
          </w:p>
        </w:tc>
        <w:tc>
          <w:tcPr>
            <w:tcW w:w="30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spacing w:after="0"/>
              <w:rPr>
                <w:sz w:val="22"/>
                <w:szCs w:val="22"/>
                <w:color w:val="auto"/>
              </w:rPr>
            </w:pPr>
          </w:p>
        </w:tc>
        <w:tc>
          <w:tcPr>
            <w:tcW w:w="26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rPr>
              <w:t>Officers:</w:t>
            </w:r>
          </w:p>
        </w:tc>
        <w:tc>
          <w:tcPr>
            <w:tcW w:w="3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020" w:type="dxa"/>
            <w:vAlign w:val="bottom"/>
          </w:tcPr>
          <w:p>
            <w:pPr>
              <w:spacing w:after="0"/>
              <w:rPr>
                <w:sz w:val="20"/>
                <w:szCs w:val="20"/>
                <w:color w:val="auto"/>
              </w:rPr>
            </w:pPr>
            <w:r>
              <w:rPr>
                <w:rFonts w:ascii="Arial" w:cs="Arial" w:eastAsia="Arial" w:hAnsi="Arial"/>
                <w:sz w:val="18"/>
                <w:szCs w:val="18"/>
                <w:color w:val="auto"/>
              </w:rPr>
              <w:t>Christopher Beals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130,208</w:t>
            </w:r>
          </w:p>
        </w:tc>
        <w:tc>
          <w:tcPr>
            <w:tcW w:w="260" w:type="dxa"/>
            <w:vAlign w:val="bottom"/>
          </w:tcPr>
          <w:p>
            <w:pPr>
              <w:spacing w:after="0"/>
              <w:rPr>
                <w:sz w:val="23"/>
                <w:szCs w:val="23"/>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6,166,819</w:t>
            </w:r>
          </w:p>
        </w:tc>
        <w:tc>
          <w:tcPr>
            <w:tcW w:w="280" w:type="dxa"/>
            <w:vAlign w:val="bottom"/>
          </w:tcPr>
          <w:p>
            <w:pPr>
              <w:spacing w:after="0"/>
              <w:rPr>
                <w:sz w:val="23"/>
                <w:szCs w:val="23"/>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23"/>
                <w:szCs w:val="23"/>
                <w:color w:val="auto"/>
              </w:rPr>
            </w:pPr>
          </w:p>
        </w:tc>
        <w:tc>
          <w:tcPr>
            <w:tcW w:w="820" w:type="dxa"/>
            <w:vAlign w:val="bottom"/>
          </w:tcPr>
          <w:p>
            <w:pPr>
              <w:ind w:left="3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Arden Lee</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104,166</w:t>
            </w:r>
          </w:p>
        </w:tc>
        <w:tc>
          <w:tcPr>
            <w:tcW w:w="2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2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020" w:type="dxa"/>
            <w:vAlign w:val="bottom"/>
          </w:tcPr>
          <w:p>
            <w:pPr>
              <w:spacing w:after="0"/>
              <w:rPr>
                <w:sz w:val="20"/>
                <w:szCs w:val="20"/>
                <w:color w:val="auto"/>
              </w:rPr>
            </w:pPr>
            <w:r>
              <w:rPr>
                <w:rFonts w:ascii="Arial" w:cs="Arial" w:eastAsia="Arial" w:hAnsi="Arial"/>
                <w:sz w:val="18"/>
                <w:szCs w:val="18"/>
                <w:color w:val="auto"/>
              </w:rPr>
              <w:t>Juan Jose Feijoo-Osorio</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117,186</w:t>
            </w:r>
          </w:p>
        </w:tc>
        <w:tc>
          <w:tcPr>
            <w:tcW w:w="260" w:type="dxa"/>
            <w:vAlign w:val="bottom"/>
          </w:tcPr>
          <w:p>
            <w:pPr>
              <w:spacing w:after="0"/>
              <w:rPr>
                <w:sz w:val="23"/>
                <w:szCs w:val="23"/>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3"/>
                <w:szCs w:val="23"/>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Anthony Bay</w:t>
            </w:r>
          </w:p>
        </w:tc>
        <w:tc>
          <w:tcPr>
            <w:tcW w:w="3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3020" w:type="dxa"/>
            <w:vAlign w:val="bottom"/>
          </w:tcPr>
          <w:p>
            <w:pPr>
              <w:spacing w:after="0" w:line="324" w:lineRule="exact"/>
              <w:rPr>
                <w:sz w:val="20"/>
                <w:szCs w:val="20"/>
                <w:color w:val="auto"/>
              </w:rPr>
            </w:pPr>
            <w:r>
              <w:rPr>
                <w:rFonts w:ascii="Arial" w:cs="Arial" w:eastAsia="Arial" w:hAnsi="Arial"/>
                <w:sz w:val="18"/>
                <w:szCs w:val="18"/>
                <w:color w:val="auto"/>
              </w:rPr>
              <w:t>Tony Aquila</w:t>
            </w:r>
            <w:r>
              <w:rPr>
                <w:rFonts w:ascii="Arial" w:cs="Arial" w:eastAsia="Arial" w:hAnsi="Arial"/>
                <w:sz w:val="29"/>
                <w:szCs w:val="29"/>
                <w:color w:val="auto"/>
                <w:vertAlign w:val="superscript"/>
              </w:rPr>
              <w:t>(4)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5,000,000</w:t>
            </w:r>
          </w:p>
        </w:tc>
        <w:tc>
          <w:tcPr>
            <w:tcW w:w="260" w:type="dxa"/>
            <w:vAlign w:val="bottom"/>
          </w:tcPr>
          <w:p>
            <w:pPr>
              <w:spacing w:after="0"/>
              <w:rPr>
                <w:sz w:val="24"/>
                <w:szCs w:val="24"/>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tcPr>
          <w:p>
            <w:pPr>
              <w:ind w:left="3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24"/>
        </w:trPr>
        <w:tc>
          <w:tcPr>
            <w:tcW w:w="3020" w:type="dxa"/>
            <w:vAlign w:val="bottom"/>
            <w:shd w:val="clear" w:color="auto" w:fill="CCEEFF"/>
          </w:tcPr>
          <w:p>
            <w:pPr>
              <w:spacing w:after="0" w:line="324" w:lineRule="exact"/>
              <w:rPr>
                <w:sz w:val="20"/>
                <w:szCs w:val="20"/>
                <w:color w:val="auto"/>
              </w:rPr>
            </w:pPr>
            <w:r>
              <w:rPr>
                <w:rFonts w:ascii="Arial" w:cs="Arial" w:eastAsia="Arial" w:hAnsi="Arial"/>
                <w:sz w:val="18"/>
                <w:szCs w:val="18"/>
                <w:color w:val="auto"/>
              </w:rPr>
              <w:t>Douglas Francis</w:t>
            </w:r>
            <w:r>
              <w:rPr>
                <w:rFonts w:ascii="Arial" w:cs="Arial" w:eastAsia="Arial" w:hAnsi="Arial"/>
                <w:sz w:val="29"/>
                <w:szCs w:val="29"/>
                <w:color w:val="auto"/>
                <w:vertAlign w:val="superscript"/>
              </w:rPr>
              <w:t>(5)</w:t>
            </w:r>
          </w:p>
        </w:tc>
        <w:tc>
          <w:tcPr>
            <w:tcW w:w="3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27,700,850</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42.3%</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324"/>
        </w:trPr>
        <w:tc>
          <w:tcPr>
            <w:tcW w:w="3020" w:type="dxa"/>
            <w:vAlign w:val="bottom"/>
          </w:tcPr>
          <w:p>
            <w:pPr>
              <w:spacing w:after="0" w:line="324" w:lineRule="exact"/>
              <w:rPr>
                <w:sz w:val="20"/>
                <w:szCs w:val="20"/>
                <w:color w:val="auto"/>
              </w:rPr>
            </w:pPr>
            <w:r>
              <w:rPr>
                <w:rFonts w:ascii="Arial" w:cs="Arial" w:eastAsia="Arial" w:hAnsi="Arial"/>
                <w:sz w:val="18"/>
                <w:szCs w:val="18"/>
                <w:color w:val="auto"/>
              </w:rPr>
              <w:t>Justin Hartfield</w:t>
            </w:r>
            <w:r>
              <w:rPr>
                <w:rFonts w:ascii="Arial" w:cs="Arial" w:eastAsia="Arial" w:hAnsi="Arial"/>
                <w:sz w:val="29"/>
                <w:szCs w:val="29"/>
                <w:color w:val="auto"/>
                <w:vertAlign w:val="superscript"/>
              </w:rPr>
              <w:t>(6)</w:t>
            </w:r>
          </w:p>
        </w:tc>
        <w:tc>
          <w:tcPr>
            <w:tcW w:w="300" w:type="dxa"/>
            <w:vAlign w:val="bottom"/>
          </w:tcPr>
          <w:p>
            <w:pPr>
              <w:spacing w:after="0"/>
              <w:rPr>
                <w:sz w:val="24"/>
                <w:szCs w:val="2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29,328,310</w:t>
            </w:r>
          </w:p>
        </w:tc>
        <w:tc>
          <w:tcPr>
            <w:tcW w:w="280" w:type="dxa"/>
            <w:vAlign w:val="bottom"/>
          </w:tcPr>
          <w:p>
            <w:pPr>
              <w:spacing w:after="0"/>
              <w:rPr>
                <w:sz w:val="24"/>
                <w:szCs w:val="24"/>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44.8%</w:t>
            </w:r>
          </w:p>
        </w:tc>
        <w:tc>
          <w:tcPr>
            <w:tcW w:w="280" w:type="dxa"/>
            <w:vAlign w:val="bottom"/>
          </w:tcPr>
          <w:p>
            <w:pPr>
              <w:spacing w:after="0"/>
              <w:rPr>
                <w:sz w:val="24"/>
                <w:szCs w:val="24"/>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304"/>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Scott Gordon</w:t>
            </w:r>
          </w:p>
        </w:tc>
        <w:tc>
          <w:tcPr>
            <w:tcW w:w="3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020" w:type="dxa"/>
            <w:vAlign w:val="bottom"/>
          </w:tcPr>
          <w:p>
            <w:pPr>
              <w:spacing w:after="0"/>
              <w:rPr>
                <w:sz w:val="20"/>
                <w:szCs w:val="20"/>
                <w:color w:val="auto"/>
              </w:rPr>
            </w:pPr>
            <w:r>
              <w:rPr>
                <w:rFonts w:ascii="Arial" w:cs="Arial" w:eastAsia="Arial" w:hAnsi="Arial"/>
                <w:sz w:val="18"/>
                <w:szCs w:val="18"/>
                <w:color w:val="auto"/>
              </w:rPr>
              <w:t>Fiona Tan</w:t>
            </w:r>
          </w:p>
        </w:tc>
        <w:tc>
          <w:tcPr>
            <w:tcW w:w="300" w:type="dxa"/>
            <w:vAlign w:val="bottom"/>
          </w:tcPr>
          <w:p>
            <w:pPr>
              <w:spacing w:after="0"/>
              <w:rPr>
                <w:sz w:val="23"/>
                <w:szCs w:val="2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Olga Gonzalez</w:t>
            </w:r>
          </w:p>
        </w:tc>
        <w:tc>
          <w:tcPr>
            <w:tcW w:w="3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020" w:type="dxa"/>
            <w:vAlign w:val="bottom"/>
          </w:tcPr>
          <w:p>
            <w:pPr>
              <w:spacing w:after="0"/>
              <w:rPr>
                <w:sz w:val="20"/>
                <w:szCs w:val="20"/>
                <w:color w:val="auto"/>
              </w:rPr>
            </w:pPr>
            <w:r>
              <w:rPr>
                <w:rFonts w:ascii="Arial" w:cs="Arial" w:eastAsia="Arial" w:hAnsi="Arial"/>
                <w:sz w:val="18"/>
                <w:szCs w:val="18"/>
                <w:color w:val="auto"/>
              </w:rPr>
              <w:t>Brenda Freeman</w:t>
            </w:r>
          </w:p>
        </w:tc>
        <w:tc>
          <w:tcPr>
            <w:tcW w:w="300" w:type="dxa"/>
            <w:vAlign w:val="bottom"/>
          </w:tcPr>
          <w:p>
            <w:pPr>
              <w:spacing w:after="0"/>
              <w:rPr>
                <w:sz w:val="23"/>
                <w:szCs w:val="2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0"/>
              </w:rPr>
              <w:t>Directors and Executive Officers of the</w:t>
            </w:r>
          </w:p>
        </w:tc>
        <w:tc>
          <w:tcPr>
            <w:tcW w:w="3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Company as a Group</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8"/>
        </w:trPr>
        <w:tc>
          <w:tcPr>
            <w:tcW w:w="3020" w:type="dxa"/>
            <w:vAlign w:val="bottom"/>
            <w:shd w:val="clear" w:color="auto" w:fill="CCEEFF"/>
          </w:tcPr>
          <w:p>
            <w:pPr>
              <w:ind w:left="180"/>
              <w:spacing w:after="0" w:line="298" w:lineRule="exact"/>
              <w:rPr>
                <w:sz w:val="20"/>
                <w:szCs w:val="20"/>
                <w:color w:val="auto"/>
              </w:rPr>
            </w:pPr>
            <w:r>
              <w:rPr>
                <w:rFonts w:ascii="Arial" w:cs="Arial" w:eastAsia="Arial" w:hAnsi="Arial"/>
                <w:sz w:val="18"/>
                <w:szCs w:val="18"/>
                <w:b w:val="1"/>
                <w:bCs w:val="1"/>
                <w:color w:val="auto"/>
              </w:rPr>
              <w:t>(12 Individuals)</w:t>
            </w:r>
            <w:r>
              <w:rPr>
                <w:rFonts w:ascii="Arial" w:cs="Arial" w:eastAsia="Arial" w:hAnsi="Arial"/>
                <w:sz w:val="29"/>
                <w:szCs w:val="29"/>
                <w:b w:val="1"/>
                <w:bCs w:val="1"/>
                <w:color w:val="auto"/>
                <w:vertAlign w:val="superscript"/>
              </w:rPr>
              <w:t>(7)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5,445,308</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7.7%</w:t>
            </w: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54,726,788</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83.5%</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70"/>
        </w:trPr>
        <w:tc>
          <w:tcPr>
            <w:tcW w:w="3020" w:type="dxa"/>
            <w:vAlign w:val="bottom"/>
          </w:tcPr>
          <w:p>
            <w:pPr>
              <w:spacing w:after="0"/>
              <w:rPr>
                <w:sz w:val="20"/>
                <w:szCs w:val="20"/>
                <w:color w:val="auto"/>
              </w:rPr>
            </w:pPr>
            <w:r>
              <w:rPr>
                <w:rFonts w:ascii="Arial" w:cs="Arial" w:eastAsia="Arial" w:hAnsi="Arial"/>
                <w:sz w:val="18"/>
                <w:szCs w:val="18"/>
                <w:b w:val="1"/>
                <w:bCs w:val="1"/>
                <w:i w:val="1"/>
                <w:iCs w:val="1"/>
                <w:color w:val="auto"/>
              </w:rPr>
              <w:t>Five Percent Holders:</w:t>
            </w: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3020" w:type="dxa"/>
            <w:vAlign w:val="bottom"/>
            <w:shd w:val="clear" w:color="auto" w:fill="CCEEFF"/>
          </w:tcPr>
          <w:p>
            <w:pPr>
              <w:spacing w:after="0" w:line="324" w:lineRule="exact"/>
              <w:rPr>
                <w:sz w:val="20"/>
                <w:szCs w:val="20"/>
                <w:color w:val="auto"/>
              </w:rPr>
            </w:pPr>
            <w:r>
              <w:rPr>
                <w:rFonts w:ascii="Arial" w:cs="Arial" w:eastAsia="Arial" w:hAnsi="Arial"/>
                <w:sz w:val="18"/>
                <w:szCs w:val="18"/>
                <w:color w:val="auto"/>
              </w:rPr>
              <w:t>Ghost Media Group, LLC</w:t>
            </w:r>
            <w:r>
              <w:rPr>
                <w:rFonts w:ascii="Arial" w:cs="Arial" w:eastAsia="Arial" w:hAnsi="Arial"/>
                <w:sz w:val="29"/>
                <w:szCs w:val="29"/>
                <w:color w:val="auto"/>
                <w:vertAlign w:val="superscript"/>
              </w:rPr>
              <w:t>(5)(6)</w:t>
            </w:r>
          </w:p>
        </w:tc>
        <w:tc>
          <w:tcPr>
            <w:tcW w:w="3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8,469,191</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12.9%</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420"/>
        </w:trPr>
        <w:tc>
          <w:tcPr>
            <w:tcW w:w="3020" w:type="dxa"/>
            <w:vAlign w:val="bottom"/>
          </w:tcPr>
          <w:p>
            <w:pPr>
              <w:spacing w:after="0"/>
              <w:rPr>
                <w:sz w:val="20"/>
                <w:szCs w:val="20"/>
                <w:color w:val="auto"/>
              </w:rPr>
            </w:pPr>
            <w:r>
              <w:rPr>
                <w:rFonts w:ascii="Arial" w:cs="Arial" w:eastAsia="Arial" w:hAnsi="Arial"/>
                <w:sz w:val="18"/>
                <w:szCs w:val="18"/>
                <w:color w:val="auto"/>
              </w:rPr>
              <w:t>Luxor Capital Group, LP</w:t>
            </w:r>
            <w:r>
              <w:rPr>
                <w:rFonts w:ascii="Arial" w:cs="Arial" w:eastAsia="Arial" w:hAnsi="Arial"/>
                <w:sz w:val="29"/>
                <w:szCs w:val="29"/>
                <w:color w:val="auto"/>
                <w:vertAlign w:val="superscript"/>
              </w:rPr>
              <w:t>(8)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7,356,117</w:t>
            </w:r>
          </w:p>
        </w:tc>
        <w:tc>
          <w:tcPr>
            <w:tcW w:w="260" w:type="dxa"/>
            <w:vAlign w:val="bottom"/>
          </w:tcPr>
          <w:p>
            <w:pPr>
              <w:spacing w:after="0"/>
              <w:rPr>
                <w:sz w:val="24"/>
                <w:szCs w:val="24"/>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tcPr>
          <w:p>
            <w:pPr>
              <w:ind w:left="3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-3780790</wp:posOffset>
            </wp:positionV>
            <wp:extent cx="17145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-3780790</wp:posOffset>
            </wp:positionV>
            <wp:extent cx="17145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-3780790</wp:posOffset>
            </wp:positionV>
            <wp:extent cx="17145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-3780790</wp:posOffset>
            </wp:positionV>
            <wp:extent cx="17145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-3780790</wp:posOffset>
            </wp:positionV>
            <wp:extent cx="18859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85090</wp:posOffset>
            </wp:positionV>
            <wp:extent cx="8229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62" w:lineRule="exact"/>
        <w:rPr>
          <w:sz w:val="20"/>
          <w:szCs w:val="20"/>
          <w:color w:val="auto"/>
        </w:rPr>
      </w:pPr>
    </w:p>
    <w:p>
      <w:pPr>
        <w:ind w:left="640" w:hanging="348"/>
        <w:spacing w:after="0"/>
        <w:tabs>
          <w:tab w:leader="none" w:pos="6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Unless otherwise noted, the business address of each of the following entities or individuals is 41 Discovery, Irvine, California 92618.</w:t>
      </w:r>
    </w:p>
    <w:p>
      <w:pPr>
        <w:spacing w:after="0" w:line="53" w:lineRule="exact"/>
        <w:rPr>
          <w:rFonts w:ascii="Arial" w:cs="Arial" w:eastAsia="Arial" w:hAnsi="Arial"/>
          <w:sz w:val="13"/>
          <w:szCs w:val="13"/>
          <w:color w:val="auto"/>
        </w:rPr>
      </w:pPr>
    </w:p>
    <w:p>
      <w:pPr>
        <w:jc w:val="both"/>
        <w:ind w:left="640" w:right="299" w:hanging="348"/>
        <w:spacing w:after="0" w:line="255" w:lineRule="auto"/>
        <w:tabs>
          <w:tab w:leader="none" w:pos="6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Holders of Class A Common Stock and Class V Common Stock are entitled to one vote for each share of Class A Common Stock or Class V Common Stock, as the case may be, held by them. Each share of Class V Common Stock, together with a corresponding limited liability company interest in WMH LLC (together, a “Paired Interest”) is exchangeable for shares of Class A Common Stock on a one-for-one basis from time to time at and after December 13, 2021, unless we determine to pay cash consideration for such Paired Interests.</w:t>
      </w:r>
    </w:p>
    <w:p>
      <w:pPr>
        <w:sectPr>
          <w:pgSz w:w="11900" w:h="16838" w:orient="portrait"/>
          <w:cols w:equalWidth="0" w:num="1">
            <w:col w:w="9019"/>
          </w:cols>
          <w:pgMar w:left="1440" w:top="265" w:right="1440" w:bottom="1440" w:gutter="0" w:footer="0" w:header="0"/>
        </w:sectPr>
      </w:pP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5" w:name="page106"/>
    <w:bookmarkEnd w:id="10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640" w:right="299" w:hanging="348"/>
        <w:spacing w:after="0" w:line="253" w:lineRule="auto"/>
        <w:tabs>
          <w:tab w:leader="none" w:pos="6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Represents percentage of voting power of the holders of Class A Common Stock and Class V Common Stock voting together as a single class.</w:t>
      </w:r>
    </w:p>
    <w:p>
      <w:pPr>
        <w:spacing w:after="0" w:line="11" w:lineRule="exact"/>
        <w:rPr>
          <w:rFonts w:ascii="Arial" w:cs="Arial" w:eastAsia="Arial" w:hAnsi="Arial"/>
          <w:sz w:val="14"/>
          <w:szCs w:val="14"/>
          <w:color w:val="auto"/>
        </w:rPr>
      </w:pPr>
    </w:p>
    <w:p>
      <w:pPr>
        <w:jc w:val="both"/>
        <w:ind w:left="640" w:right="299" w:hanging="348"/>
        <w:spacing w:after="0" w:line="227" w:lineRule="auto"/>
        <w:tabs>
          <w:tab w:leader="none" w:pos="6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Includes 5,000,000 shares in the aggregate of shares of Class A Common Stock held by AFV Partners SPV-5 LLC (“AFV 5”), AFV Partners SPV-6 LLC (“AFV 6”) and a controlled affiliated entity of Tony Aquila upon the completion of the business combination pursuant to the PIPE subscription financing. Mr. Aquila is the Chairman and CEO of AFV Partners LLC, which exercises ultimate voting and investment power with respect to the shares held by AFV 5 and AFV 6. Furthermore, Mr. Aquila will personally hold a portion of the shares of Class A Common Stock and will be the sole member with ultimate voting and investment power with respect to the shares held by the controlled entity to be formed to hold the shares of Class A Common Stock. As such, Mr. Aquila may be deemed to be a beneficial owner of the shares held by AFV 5, AFV 6 and the controlled affiliated entity. The business address of the reporting person is 2126 Hamilton Road Suite 260, Argyle, TX 76226.</w:t>
      </w:r>
    </w:p>
    <w:p>
      <w:pPr>
        <w:spacing w:after="0" w:line="23" w:lineRule="exact"/>
        <w:rPr>
          <w:rFonts w:ascii="Arial" w:cs="Arial" w:eastAsia="Arial" w:hAnsi="Arial"/>
          <w:sz w:val="14"/>
          <w:szCs w:val="14"/>
          <w:color w:val="auto"/>
        </w:rPr>
      </w:pPr>
    </w:p>
    <w:p>
      <w:pPr>
        <w:jc w:val="both"/>
        <w:ind w:left="640" w:right="299" w:hanging="348"/>
        <w:spacing w:after="0" w:line="251" w:lineRule="auto"/>
        <w:tabs>
          <w:tab w:leader="none" w:pos="6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Includes 17,162,485 shares of Class V Common Stock held by Mr. Francis, 8,469,191 shares of Class V Common Stock held by Ghost Media Group, LLC, 600,618 shares of Class V Common Stock held by Genco Incentives, LLC and 1,468,555 shares of Class V Common Stock held by WM Founders Legacy I, LLC. Ghost Media Group, LLC is controlled by Messrs. Francis and Hartfield and WM Founders Legacy I, LLC and Genco Incentives, LLC are controlled by Mr. Francis. Accordingly, Mr. Francis may be deemed to be a beneficial owner of the Class A Units held by Ghost Media Group, LLC, Genco Incentives, LLC and WM Founders Legacy I, LLC.</w:t>
      </w:r>
    </w:p>
    <w:p>
      <w:pPr>
        <w:spacing w:after="0" w:line="14" w:lineRule="exact"/>
        <w:rPr>
          <w:rFonts w:ascii="Arial" w:cs="Arial" w:eastAsia="Arial" w:hAnsi="Arial"/>
          <w:sz w:val="13"/>
          <w:szCs w:val="13"/>
          <w:color w:val="auto"/>
        </w:rPr>
      </w:pPr>
    </w:p>
    <w:p>
      <w:pPr>
        <w:jc w:val="both"/>
        <w:ind w:left="640" w:right="299" w:hanging="348"/>
        <w:spacing w:after="0" w:line="255" w:lineRule="auto"/>
        <w:tabs>
          <w:tab w:leader="none" w:pos="6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Includes 19,288,160 shares of Class V Common Stock held by Mr. Hartfield, 8,469,191 shares of Class V Common Stock held by Ghost Media Group, LLC and 1,570,959 shares of Class V Common Stock held by WM Founders Legacy II, LLC. Ghost Media Group, LLC is controlled by Messrs. Hartfield and Francis and WM Founders Legacy II, LLC is controlled by Mr. Hartfield. Accordingly, Mr. Hartfield may be deemed to be a beneficial owner of the shares held by Ghost Media Group, LLC and WM Founders Legacy II, LLC.</w:t>
      </w:r>
    </w:p>
    <w:p>
      <w:pPr>
        <w:spacing w:after="0" w:line="12" w:lineRule="exact"/>
        <w:rPr>
          <w:rFonts w:ascii="Arial" w:cs="Arial" w:eastAsia="Arial" w:hAnsi="Arial"/>
          <w:sz w:val="13"/>
          <w:szCs w:val="13"/>
          <w:color w:val="auto"/>
        </w:rPr>
      </w:pPr>
    </w:p>
    <w:p>
      <w:pPr>
        <w:ind w:left="640" w:hanging="348"/>
        <w:spacing w:after="0"/>
        <w:tabs>
          <w:tab w:leader="none" w:pos="6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Consists of 54,726,788 shares of Class V Common Stock beneficially owned by our directors and executive officers.</w:t>
      </w:r>
    </w:p>
    <w:p>
      <w:pPr>
        <w:spacing w:after="0" w:line="41" w:lineRule="exact"/>
        <w:rPr>
          <w:rFonts w:ascii="Arial" w:cs="Arial" w:eastAsia="Arial" w:hAnsi="Arial"/>
          <w:sz w:val="14"/>
          <w:szCs w:val="14"/>
          <w:color w:val="auto"/>
        </w:rPr>
      </w:pPr>
    </w:p>
    <w:p>
      <w:pPr>
        <w:jc w:val="both"/>
        <w:ind w:left="640" w:right="299" w:hanging="348"/>
        <w:spacing w:after="0" w:line="244" w:lineRule="auto"/>
        <w:tabs>
          <w:tab w:leader="none" w:pos="6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Includes 7,244,585 shares of Class A Common Stock held by Lugard Road Capital Master Fund, LP (“Lugard”) beneficially owned by Luxor Capital Group, LP, the investment manager of Lugard, 36,888 shares of Class A Common Stock held by Luxor Capital Partners Offshore Master Fund, LP (“Luxor Offshore”) beneficially owned by Luxor Capital Group, LP, the investment manager of Luxor Offshore, 60,148 shares of Class A Common Stock held by Luxor Capital Partners, LP (“Luxor Capital”) beneficially owned by Luxor Capital Group, LP, the investment manager of Luxor Capital and 14,496 shares of Class A Common Stock held by Luxor Wavefront, LP (“Luxor Wavefront”) beneficially owned by Luxor Capital Group, LP, the investment manager of Luxor Wavefront. Christian Leone, in his position as Portfolio Manager at Luxor Capital Group, LP, may be deemed to have voting and investment power with respect to the securities owned by Luxor Offshore, Luxor Capital, and Luxor Wavefront. Jonathan Green, in his position as Portfolio Manager at Luxor Capital Group, LP, may be deemed to have voting and investment power with respect to the securities held by Lugard.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6" w:name="page107"/>
    <w:bookmarkEnd w:id="10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SELLING SECURITYHOLDERS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Selling Securityholders acquired 1,938,798 shares of Class A Common Stock (the “Shares”), consisting of</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  1,244,258  shares  of  Class A  Common  Stock  issued  pursuant  to  the  Asset  Purchase  Agreement  and</w:t>
      </w:r>
    </w:p>
    <w:p>
      <w:pPr>
        <w:spacing w:after="0" w:line="21" w:lineRule="exact"/>
        <w:rPr>
          <w:sz w:val="20"/>
          <w:szCs w:val="20"/>
          <w:color w:val="auto"/>
        </w:rPr>
      </w:pPr>
    </w:p>
    <w:p>
      <w:pPr>
        <w:jc w:val="both"/>
        <w:ind w:left="300" w:right="319" w:hanging="8"/>
        <w:spacing w:after="0" w:line="253" w:lineRule="auto"/>
        <w:tabs>
          <w:tab w:leader="none" w:pos="565" w:val="left"/>
        </w:tabs>
        <w:numPr>
          <w:ilvl w:val="0"/>
          <w:numId w:val="53"/>
        </w:numPr>
        <w:rPr>
          <w:rFonts w:ascii="Arial" w:cs="Arial" w:eastAsia="Arial" w:hAnsi="Arial"/>
          <w:sz w:val="18"/>
          <w:szCs w:val="18"/>
          <w:color w:val="auto"/>
        </w:rPr>
      </w:pPr>
      <w:r>
        <w:rPr>
          <w:rFonts w:ascii="Arial" w:cs="Arial" w:eastAsia="Arial" w:hAnsi="Arial"/>
          <w:sz w:val="18"/>
          <w:szCs w:val="18"/>
          <w:color w:val="auto"/>
        </w:rPr>
        <w:t>694,540 shares of Class A Common Stock issued pursuant to the Equity Interest Purchase Agreement. We agreed to file a registration statement with the SEC for the purposes of registering for resale such shares of Class A Common Stock. The shares of Common Stock were issued to the Selling Securityholders in reliance on the exemption from registration in Section 4(a)(2) under the Securities Act.</w:t>
      </w:r>
    </w:p>
    <w:p>
      <w:pPr>
        <w:spacing w:after="0" w:line="85"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shares of Class A Common Stock to be offered by the Selling Securityholders are “restricted” securities under applicable federal and state securities laws and are being registered under the Securities Act to give the Selling Securityholders the opportunity to sell these shares publicly. The registration of these shares does not require that any of the shares be offered or sold by the Selling Securityholders. Subject to these resale restrictions, the Selling Securityholders may from time to time offer and sell all or a portion of their shares indicated below in privately negotiated transactions or on the Nasdaq Global Select Market or any other market on which our common stock may subsequently be listed.</w:t>
      </w:r>
    </w:p>
    <w:p>
      <w:pPr>
        <w:spacing w:after="0" w:line="8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registered shares may be sold directly or through brokers or dealers, or in a distribution by one or more underwriters on a firm commitment or best effort basis. To the extent required, the names of any agent or broker-dealer and applicable commissions or discounts and any other required information with respect to any particular offering will be set forth in a prospectus supplement. See the section of this prospectus entitled “Plan of Distribution”. The Selling Securityholders and any agents or broker-dealers that participate with the Selling Securityholders in the distribution of registered shares may be deemed to be “underwriters” within the meaning of the Securities Act, and any commissions received by them and any profit on the resale of the registered shares may be deemed to be underwriting commissions or discounts under the Securities Act.</w:t>
      </w:r>
    </w:p>
    <w:p>
      <w:pPr>
        <w:spacing w:after="0" w:line="70"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No estimate can be given as to the amount or percentage of Class A Common Stock that will be held by the Selling Securityholders after any sales made pursuant to this prospectus because the Selling Securityholders are not required to sell any of the Shares being registered under this prospectus. The following table assumes that the Selling Securityholders will sell all of the Shares listed in this prospectus.</w:t>
      </w:r>
    </w:p>
    <w:p>
      <w:pPr>
        <w:spacing w:after="0" w:line="7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Unless otherwise indicated in the footnotes below, no Selling Stockholder has had any material relationship with us or any of our affiliates within the past three years other than as a security holder.</w:t>
      </w:r>
    </w:p>
    <w:p>
      <w:pPr>
        <w:spacing w:after="0" w:line="62"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Except as set forth in the footnotes below, the following table sets forth, based on written representations from the Selling Securityholders, certain information as of November 24, 2021 regarding the beneficial ownership of our Class A Common Stock by the Selling Securityholders and the shares of Class A Common Stock being offered by the Selling Securityholders (“Registrable Securities”). The applicable percentage ownership of Class A Common Stock is based on 65,677,361 shares of our Class A Common Stock issued and outstanding as of November 24, 2021.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7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Information with respect to shares of Class A Common Stock owned beneficially after the offering assumes the sale of all of the shares of Class A Common Stock offered and no other purchases or sales of our Class A Common Stock. The Selling Securityholders may offer and sell some, all or none of their shares of Class A Common Stock, as applicable.</w:t>
      </w:r>
    </w:p>
    <w:p>
      <w:pPr>
        <w:spacing w:after="0" w:line="79"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have determined beneficial ownership in accordance with the rules of the SEC. Except as indicated by the footnotes below, we believe, based on the information furnished to us, that the Selling Securityholders have sole voting and investment power with respect to all shares of Class A Common Stock that they beneficially own, subject to applicable community property laws. Except as otherwise described below, based on the information provided to us by the Selling Securityholders, no Selling Securityholder is a broker-dealer or an affiliate of a broker-dealer.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7" w:name="page108"/>
    <w:bookmarkEnd w:id="107"/>
    <w:tbl>
      <w:tblPr>
        <w:tblLayout w:type="fixed"/>
        <w:tblInd w:w="300" w:type="dxa"/>
        <w:tblCellMar>
          <w:top w:w="0" w:type="dxa"/>
          <w:left w:w="0" w:type="dxa"/>
          <w:bottom w:w="0" w:type="dxa"/>
          <w:right w:w="0" w:type="dxa"/>
        </w:tblCellMar>
      </w:tblPr>
      <w:tr>
        <w:trPr>
          <w:trHeight w:val="161"/>
        </w:trPr>
        <w:tc>
          <w:tcPr>
            <w:tcW w:w="4520" w:type="dxa"/>
            <w:vAlign w:val="bottom"/>
            <w:gridSpan w:val="3"/>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1540" w:type="dxa"/>
            <w:vAlign w:val="bottom"/>
            <w:tcBorders>
              <w:top w:val="single" w:sz="8" w:color="0000EE"/>
            </w:tcBorders>
          </w:tcPr>
          <w:p>
            <w:pPr>
              <w:spacing w:after="0"/>
              <w:rPr>
                <w:sz w:val="24"/>
                <w:szCs w:val="24"/>
                <w:color w:val="auto"/>
              </w:rPr>
            </w:pPr>
          </w:p>
        </w:tc>
        <w:tc>
          <w:tcPr>
            <w:tcW w:w="2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3"/>
          </w:tcPr>
          <w:p>
            <w:pPr>
              <w:jc w:val="right"/>
              <w:ind w:right="111"/>
              <w:spacing w:after="0"/>
              <w:rPr>
                <w:sz w:val="20"/>
                <w:szCs w:val="20"/>
                <w:color w:val="auto"/>
              </w:rPr>
            </w:pPr>
            <w:r>
              <w:rPr>
                <w:rFonts w:ascii="Arial" w:cs="Arial" w:eastAsia="Arial" w:hAnsi="Arial"/>
                <w:sz w:val="14"/>
                <w:szCs w:val="14"/>
                <w:b w:val="1"/>
                <w:bCs w:val="1"/>
                <w:color w:val="auto"/>
              </w:rPr>
              <w:t>Shares of ClassA</w:t>
            </w:r>
          </w:p>
        </w:tc>
        <w:tc>
          <w:tcPr>
            <w:tcW w:w="1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0"/>
              </w:rPr>
              <w:t>Shares of</w:t>
            </w:r>
          </w:p>
        </w:tc>
        <w:tc>
          <w:tcPr>
            <w:tcW w:w="200" w:type="dxa"/>
            <w:vAlign w:val="bottom"/>
          </w:tcPr>
          <w:p>
            <w:pPr>
              <w:spacing w:after="0"/>
              <w:rPr>
                <w:sz w:val="24"/>
                <w:szCs w:val="24"/>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Shares of Class A</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3"/>
          </w:tcPr>
          <w:p>
            <w:pPr>
              <w:jc w:val="right"/>
              <w:ind w:right="151"/>
              <w:spacing w:after="0" w:line="149" w:lineRule="exact"/>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12"/>
                <w:szCs w:val="12"/>
                <w:color w:val="auto"/>
              </w:rPr>
            </w:pP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Beneficially Owned</w:t>
            </w: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Common</w:t>
            </w:r>
          </w:p>
        </w:tc>
        <w:tc>
          <w:tcPr>
            <w:tcW w:w="200" w:type="dxa"/>
            <w:vAlign w:val="bottom"/>
          </w:tcPr>
          <w:p>
            <w:pPr>
              <w:spacing w:after="0"/>
              <w:rPr>
                <w:sz w:val="12"/>
                <w:szCs w:val="12"/>
                <w:color w:val="auto"/>
              </w:rPr>
            </w:pP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Beneficially Owned</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97"/>
              </w:rPr>
              <w:t>Prior to the Offering</w:t>
            </w: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2"/>
                <w:szCs w:val="12"/>
                <w:color w:val="auto"/>
              </w:rPr>
            </w:pP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After the Offering</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2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80" w:type="dxa"/>
            <w:vAlign w:val="bottom"/>
            <w:vMerge w:val="restart"/>
          </w:tcPr>
          <w:p>
            <w:pPr>
              <w:spacing w:after="0"/>
              <w:rPr>
                <w:sz w:val="7"/>
                <w:szCs w:val="7"/>
                <w:color w:val="auto"/>
              </w:rPr>
            </w:pPr>
          </w:p>
        </w:tc>
        <w:tc>
          <w:tcPr>
            <w:tcW w:w="7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Being</w:t>
            </w:r>
          </w:p>
        </w:tc>
        <w:tc>
          <w:tcPr>
            <w:tcW w:w="20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4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Selling Securityholder</w:t>
            </w: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Number</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Percent</w:t>
            </w:r>
          </w:p>
        </w:tc>
        <w:tc>
          <w:tcPr>
            <w:tcW w:w="1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Number</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line="20" w:lineRule="exact"/>
              <w:rPr>
                <w:sz w:val="1"/>
                <w:szCs w:val="1"/>
                <w:color w:val="auto"/>
              </w:rPr>
            </w:pPr>
          </w:p>
        </w:tc>
      </w:tr>
      <w:tr>
        <w:trPr>
          <w:trHeight w:val="186"/>
        </w:trPr>
        <w:tc>
          <w:tcPr>
            <w:tcW w:w="4520" w:type="dxa"/>
            <w:vAlign w:val="bottom"/>
            <w:gridSpan w:val="3"/>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Offered</w:t>
            </w: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54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4520" w:type="dxa"/>
            <w:vAlign w:val="bottom"/>
            <w:gridSpan w:val="3"/>
            <w:shd w:val="clear" w:color="auto" w:fill="CCEEFF"/>
          </w:tcPr>
          <w:p>
            <w:pPr>
              <w:spacing w:after="0" w:line="331" w:lineRule="exact"/>
              <w:rPr>
                <w:sz w:val="20"/>
                <w:szCs w:val="20"/>
                <w:color w:val="auto"/>
              </w:rPr>
            </w:pPr>
            <w:r>
              <w:rPr>
                <w:rFonts w:ascii="Arial" w:cs="Arial" w:eastAsia="Arial" w:hAnsi="Arial"/>
                <w:sz w:val="18"/>
                <w:szCs w:val="18"/>
                <w:color w:val="auto"/>
              </w:rPr>
              <w:t>Andrew &amp; Ellen Astrove</w:t>
            </w:r>
            <w:r>
              <w:rPr>
                <w:rFonts w:ascii="Arial" w:cs="Arial" w:eastAsia="Arial" w:hAnsi="Arial"/>
                <w:sz w:val="29"/>
                <w:szCs w:val="29"/>
                <w:color w:val="auto"/>
                <w:vertAlign w:val="superscript"/>
              </w:rPr>
              <w:t>(1)</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10,423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10,423</w:t>
            </w:r>
          </w:p>
        </w:tc>
        <w:tc>
          <w:tcPr>
            <w:tcW w:w="2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520" w:type="dxa"/>
            <w:vAlign w:val="bottom"/>
            <w:gridSpan w:val="3"/>
          </w:tcPr>
          <w:p>
            <w:pPr>
              <w:spacing w:after="0" w:line="324" w:lineRule="exact"/>
              <w:rPr>
                <w:sz w:val="20"/>
                <w:szCs w:val="20"/>
                <w:color w:val="auto"/>
              </w:rPr>
            </w:pPr>
            <w:r>
              <w:rPr>
                <w:rFonts w:ascii="Arial" w:cs="Arial" w:eastAsia="Arial" w:hAnsi="Arial"/>
                <w:sz w:val="18"/>
                <w:szCs w:val="18"/>
                <w:color w:val="auto"/>
              </w:rPr>
              <w:t>Ashwin Surajbali</w:t>
            </w:r>
            <w:r>
              <w:rPr>
                <w:rFonts w:ascii="Arial" w:cs="Arial" w:eastAsia="Arial" w:hAnsi="Arial"/>
                <w:sz w:val="29"/>
                <w:szCs w:val="29"/>
                <w:color w:val="auto"/>
                <w:vertAlign w:val="superscript"/>
              </w:rPr>
              <w:t>(2)</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197,843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197,843</w:t>
            </w: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520" w:type="dxa"/>
            <w:vAlign w:val="bottom"/>
            <w:gridSpan w:val="3"/>
            <w:shd w:val="clear" w:color="auto" w:fill="CCEEFF"/>
          </w:tcPr>
          <w:p>
            <w:pPr>
              <w:spacing w:after="0" w:line="324" w:lineRule="exact"/>
              <w:rPr>
                <w:sz w:val="20"/>
                <w:szCs w:val="20"/>
                <w:color w:val="auto"/>
              </w:rPr>
            </w:pPr>
            <w:r>
              <w:rPr>
                <w:rFonts w:ascii="Arial" w:cs="Arial" w:eastAsia="Arial" w:hAnsi="Arial"/>
                <w:sz w:val="18"/>
                <w:szCs w:val="18"/>
                <w:color w:val="auto"/>
              </w:rPr>
              <w:t>Bradley Nathan Albert</w:t>
            </w:r>
            <w:r>
              <w:rPr>
                <w:rFonts w:ascii="Arial" w:cs="Arial" w:eastAsia="Arial" w:hAnsi="Arial"/>
                <w:sz w:val="29"/>
                <w:szCs w:val="29"/>
                <w:color w:val="auto"/>
                <w:vertAlign w:val="superscript"/>
              </w:rPr>
              <w:t>(3)</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32,974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32,974</w:t>
            </w:r>
          </w:p>
        </w:tc>
        <w:tc>
          <w:tcPr>
            <w:tcW w:w="2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520" w:type="dxa"/>
            <w:vAlign w:val="bottom"/>
            <w:gridSpan w:val="3"/>
          </w:tcPr>
          <w:p>
            <w:pPr>
              <w:spacing w:after="0" w:line="324" w:lineRule="exact"/>
              <w:rPr>
                <w:sz w:val="20"/>
                <w:szCs w:val="20"/>
                <w:color w:val="auto"/>
              </w:rPr>
            </w:pPr>
            <w:r>
              <w:rPr>
                <w:rFonts w:ascii="Arial" w:cs="Arial" w:eastAsia="Arial" w:hAnsi="Arial"/>
                <w:sz w:val="18"/>
                <w:szCs w:val="18"/>
                <w:color w:val="auto"/>
              </w:rPr>
              <w:t>Diane Roskind</w:t>
            </w:r>
            <w:r>
              <w:rPr>
                <w:rFonts w:ascii="Arial" w:cs="Arial" w:eastAsia="Arial" w:hAnsi="Arial"/>
                <w:sz w:val="29"/>
                <w:szCs w:val="29"/>
                <w:color w:val="auto"/>
                <w:vertAlign w:val="superscript"/>
              </w:rPr>
              <w:t>(4)</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14,184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14,184</w:t>
            </w: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520" w:type="dxa"/>
            <w:vAlign w:val="bottom"/>
            <w:gridSpan w:val="3"/>
            <w:shd w:val="clear" w:color="auto" w:fill="CCEEFF"/>
          </w:tcPr>
          <w:p>
            <w:pPr>
              <w:spacing w:after="0" w:line="324" w:lineRule="exact"/>
              <w:rPr>
                <w:sz w:val="20"/>
                <w:szCs w:val="20"/>
                <w:color w:val="auto"/>
              </w:rPr>
            </w:pPr>
            <w:r>
              <w:rPr>
                <w:rFonts w:ascii="Arial" w:cs="Arial" w:eastAsia="Arial" w:hAnsi="Arial"/>
                <w:sz w:val="18"/>
                <w:szCs w:val="18"/>
                <w:color w:val="auto"/>
              </w:rPr>
              <w:t>DJK Morris Investments, LLC</w:t>
            </w:r>
            <w:r>
              <w:rPr>
                <w:rFonts w:ascii="Arial" w:cs="Arial" w:eastAsia="Arial" w:hAnsi="Arial"/>
                <w:sz w:val="29"/>
                <w:szCs w:val="29"/>
                <w:color w:val="auto"/>
                <w:vertAlign w:val="superscript"/>
              </w:rPr>
              <w:t>(5)</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395,760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395,760</w:t>
            </w:r>
          </w:p>
        </w:tc>
        <w:tc>
          <w:tcPr>
            <w:tcW w:w="2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520" w:type="dxa"/>
            <w:vAlign w:val="bottom"/>
            <w:gridSpan w:val="3"/>
          </w:tcPr>
          <w:p>
            <w:pPr>
              <w:spacing w:after="0" w:line="324" w:lineRule="exact"/>
              <w:rPr>
                <w:sz w:val="20"/>
                <w:szCs w:val="20"/>
                <w:color w:val="auto"/>
              </w:rPr>
            </w:pPr>
            <w:r>
              <w:rPr>
                <w:rFonts w:ascii="Arial" w:cs="Arial" w:eastAsia="Arial" w:hAnsi="Arial"/>
                <w:sz w:val="18"/>
                <w:szCs w:val="18"/>
                <w:color w:val="auto"/>
              </w:rPr>
              <w:t>Farzin Arsanjani</w:t>
            </w:r>
            <w:r>
              <w:rPr>
                <w:rFonts w:ascii="Arial" w:cs="Arial" w:eastAsia="Arial" w:hAnsi="Arial"/>
                <w:sz w:val="29"/>
                <w:szCs w:val="29"/>
                <w:color w:val="auto"/>
                <w:vertAlign w:val="superscript"/>
              </w:rPr>
              <w:t>(6)</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7,092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7,092</w:t>
            </w: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520" w:type="dxa"/>
            <w:vAlign w:val="bottom"/>
            <w:gridSpan w:val="3"/>
            <w:shd w:val="clear" w:color="auto" w:fill="CCEEFF"/>
          </w:tcPr>
          <w:p>
            <w:pPr>
              <w:spacing w:after="0" w:line="324" w:lineRule="exact"/>
              <w:rPr>
                <w:sz w:val="20"/>
                <w:szCs w:val="20"/>
                <w:color w:val="auto"/>
              </w:rPr>
            </w:pPr>
            <w:r>
              <w:rPr>
                <w:rFonts w:ascii="Arial" w:cs="Arial" w:eastAsia="Arial" w:hAnsi="Arial"/>
                <w:sz w:val="18"/>
                <w:szCs w:val="18"/>
                <w:color w:val="auto"/>
              </w:rPr>
              <w:t>Ian Cohen</w:t>
            </w:r>
            <w:r>
              <w:rPr>
                <w:rFonts w:ascii="Arial" w:cs="Arial" w:eastAsia="Arial" w:hAnsi="Arial"/>
                <w:sz w:val="29"/>
                <w:szCs w:val="29"/>
                <w:color w:val="auto"/>
                <w:vertAlign w:val="superscript"/>
              </w:rPr>
              <w:t>(7)</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2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520" w:type="dxa"/>
            <w:vAlign w:val="bottom"/>
            <w:gridSpan w:val="3"/>
          </w:tcPr>
          <w:p>
            <w:pPr>
              <w:spacing w:after="0" w:line="324" w:lineRule="exact"/>
              <w:rPr>
                <w:sz w:val="20"/>
                <w:szCs w:val="20"/>
                <w:color w:val="auto"/>
              </w:rPr>
            </w:pPr>
            <w:r>
              <w:rPr>
                <w:rFonts w:ascii="Arial" w:cs="Arial" w:eastAsia="Arial" w:hAnsi="Arial"/>
                <w:sz w:val="18"/>
                <w:szCs w:val="18"/>
                <w:color w:val="auto"/>
              </w:rPr>
              <w:t>Jennifer Goldman-Brisman</w:t>
            </w:r>
            <w:r>
              <w:rPr>
                <w:rFonts w:ascii="Arial" w:cs="Arial" w:eastAsia="Arial" w:hAnsi="Arial"/>
                <w:sz w:val="29"/>
                <w:szCs w:val="29"/>
                <w:color w:val="auto"/>
                <w:vertAlign w:val="superscript"/>
              </w:rPr>
              <w:t>(8)</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1,665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1,665</w:t>
            </w: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520" w:type="dxa"/>
            <w:vAlign w:val="bottom"/>
            <w:gridSpan w:val="3"/>
            <w:shd w:val="clear" w:color="auto" w:fill="CCEEFF"/>
          </w:tcPr>
          <w:p>
            <w:pPr>
              <w:spacing w:after="0" w:line="324" w:lineRule="exact"/>
              <w:rPr>
                <w:sz w:val="20"/>
                <w:szCs w:val="20"/>
                <w:color w:val="auto"/>
              </w:rPr>
            </w:pPr>
            <w:r>
              <w:rPr>
                <w:rFonts w:ascii="Arial" w:cs="Arial" w:eastAsia="Arial" w:hAnsi="Arial"/>
                <w:sz w:val="18"/>
                <w:szCs w:val="18"/>
                <w:color w:val="auto"/>
              </w:rPr>
              <w:t>LCP Group, L.P.</w:t>
            </w:r>
            <w:r>
              <w:rPr>
                <w:rFonts w:ascii="Arial" w:cs="Arial" w:eastAsia="Arial" w:hAnsi="Arial"/>
                <w:sz w:val="29"/>
                <w:szCs w:val="29"/>
                <w:color w:val="auto"/>
                <w:vertAlign w:val="superscript"/>
              </w:rPr>
              <w:t>(9)</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14,184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14,184</w:t>
            </w:r>
          </w:p>
        </w:tc>
        <w:tc>
          <w:tcPr>
            <w:tcW w:w="2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520" w:type="dxa"/>
            <w:vAlign w:val="bottom"/>
            <w:gridSpan w:val="3"/>
          </w:tcPr>
          <w:p>
            <w:pPr>
              <w:spacing w:after="0" w:line="324" w:lineRule="exact"/>
              <w:rPr>
                <w:sz w:val="20"/>
                <w:szCs w:val="20"/>
                <w:color w:val="auto"/>
              </w:rPr>
            </w:pPr>
            <w:r>
              <w:rPr>
                <w:rFonts w:ascii="Arial" w:cs="Arial" w:eastAsia="Arial" w:hAnsi="Arial"/>
                <w:sz w:val="18"/>
                <w:szCs w:val="18"/>
                <w:color w:val="auto"/>
              </w:rPr>
              <w:t>LeRoy Robinson</w:t>
            </w:r>
            <w:r>
              <w:rPr>
                <w:rFonts w:ascii="Arial" w:cs="Arial" w:eastAsia="Arial" w:hAnsi="Arial"/>
                <w:sz w:val="29"/>
                <w:szCs w:val="29"/>
                <w:color w:val="auto"/>
                <w:vertAlign w:val="superscript"/>
              </w:rPr>
              <w:t>(10)</w:t>
            </w:r>
          </w:p>
        </w:tc>
        <w:tc>
          <w:tcPr>
            <w:tcW w:w="620" w:type="dxa"/>
            <w:vAlign w:val="bottom"/>
          </w:tcPr>
          <w:p>
            <w:pPr>
              <w:jc w:val="right"/>
              <w:ind w:right="35"/>
              <w:spacing w:after="0"/>
              <w:rPr>
                <w:sz w:val="20"/>
                <w:szCs w:val="20"/>
                <w:color w:val="auto"/>
              </w:rPr>
            </w:pPr>
            <w:r>
              <w:rPr>
                <w:rFonts w:ascii="Arial" w:cs="Arial" w:eastAsia="Arial" w:hAnsi="Arial"/>
                <w:sz w:val="18"/>
                <w:szCs w:val="18"/>
                <w:color w:val="auto"/>
              </w:rPr>
              <w:t>1,510</w:t>
            </w:r>
          </w:p>
        </w:tc>
        <w:tc>
          <w:tcPr>
            <w:tcW w:w="180" w:type="dxa"/>
            <w:vAlign w:val="bottom"/>
          </w:tcPr>
          <w:p>
            <w:pPr>
              <w:spacing w:after="0"/>
              <w:rPr>
                <w:sz w:val="24"/>
                <w:szCs w:val="24"/>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1,665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3,175</w:t>
            </w: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520" w:type="dxa"/>
            <w:vAlign w:val="bottom"/>
            <w:gridSpan w:val="3"/>
            <w:shd w:val="clear" w:color="auto" w:fill="CCEEFF"/>
          </w:tcPr>
          <w:p>
            <w:pPr>
              <w:spacing w:after="0" w:line="324" w:lineRule="exact"/>
              <w:rPr>
                <w:sz w:val="20"/>
                <w:szCs w:val="20"/>
                <w:color w:val="auto"/>
              </w:rPr>
            </w:pPr>
            <w:r>
              <w:rPr>
                <w:rFonts w:ascii="Arial" w:cs="Arial" w:eastAsia="Arial" w:hAnsi="Arial"/>
                <w:sz w:val="18"/>
                <w:szCs w:val="18"/>
                <w:color w:val="auto"/>
              </w:rPr>
              <w:t>M&amp;S Investment Group, LLC</w:t>
            </w:r>
            <w:r>
              <w:rPr>
                <w:rFonts w:ascii="Arial" w:cs="Arial" w:eastAsia="Arial" w:hAnsi="Arial"/>
                <w:sz w:val="29"/>
                <w:szCs w:val="29"/>
                <w:color w:val="auto"/>
                <w:vertAlign w:val="superscript"/>
              </w:rPr>
              <w:t>(11)</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2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520" w:type="dxa"/>
            <w:vAlign w:val="bottom"/>
            <w:gridSpan w:val="3"/>
          </w:tcPr>
          <w:p>
            <w:pPr>
              <w:spacing w:after="0" w:line="324" w:lineRule="exact"/>
              <w:rPr>
                <w:sz w:val="20"/>
                <w:szCs w:val="20"/>
                <w:color w:val="auto"/>
              </w:rPr>
            </w:pPr>
            <w:r>
              <w:rPr>
                <w:rFonts w:ascii="Arial" w:cs="Arial" w:eastAsia="Arial" w:hAnsi="Arial"/>
                <w:sz w:val="18"/>
                <w:szCs w:val="18"/>
                <w:color w:val="auto"/>
              </w:rPr>
              <w:t>MembersRSVP, LLC</w:t>
            </w:r>
            <w:r>
              <w:rPr>
                <w:rFonts w:ascii="Arial" w:cs="Arial" w:eastAsia="Arial" w:hAnsi="Arial"/>
                <w:sz w:val="29"/>
                <w:szCs w:val="29"/>
                <w:color w:val="auto"/>
                <w:vertAlign w:val="superscript"/>
              </w:rPr>
              <w:t>(12)</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1,244,258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1,244,258</w:t>
            </w: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24"/>
        </w:trPr>
        <w:tc>
          <w:tcPr>
            <w:tcW w:w="4520" w:type="dxa"/>
            <w:vAlign w:val="bottom"/>
            <w:gridSpan w:val="3"/>
            <w:shd w:val="clear" w:color="auto" w:fill="CCEEFF"/>
          </w:tcPr>
          <w:p>
            <w:pPr>
              <w:spacing w:after="0" w:line="324" w:lineRule="exact"/>
              <w:rPr>
                <w:sz w:val="20"/>
                <w:szCs w:val="20"/>
                <w:color w:val="auto"/>
              </w:rPr>
            </w:pPr>
            <w:r>
              <w:rPr>
                <w:rFonts w:ascii="Arial" w:cs="Arial" w:eastAsia="Arial" w:hAnsi="Arial"/>
                <w:sz w:val="18"/>
                <w:szCs w:val="18"/>
                <w:color w:val="auto"/>
              </w:rPr>
              <w:t>Michael Schlaefer</w:t>
            </w:r>
            <w:r>
              <w:rPr>
                <w:rFonts w:ascii="Arial" w:cs="Arial" w:eastAsia="Arial" w:hAnsi="Arial"/>
                <w:sz w:val="29"/>
                <w:szCs w:val="29"/>
                <w:color w:val="auto"/>
                <w:vertAlign w:val="superscript"/>
              </w:rPr>
              <w:t>(13)</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2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0"/>
        </w:trPr>
        <w:tc>
          <w:tcPr>
            <w:tcW w:w="4520" w:type="dxa"/>
            <w:vAlign w:val="bottom"/>
            <w:gridSpan w:val="3"/>
          </w:tcPr>
          <w:p>
            <w:pPr>
              <w:spacing w:after="0"/>
              <w:rPr>
                <w:sz w:val="20"/>
                <w:szCs w:val="20"/>
                <w:color w:val="auto"/>
              </w:rPr>
            </w:pPr>
            <w:r>
              <w:rPr>
                <w:rFonts w:ascii="Arial" w:cs="Arial" w:eastAsia="Arial" w:hAnsi="Arial"/>
                <w:sz w:val="18"/>
                <w:szCs w:val="18"/>
                <w:color w:val="auto"/>
              </w:rPr>
              <w:t>Yael Morris</w:t>
            </w:r>
            <w:r>
              <w:rPr>
                <w:rFonts w:ascii="Arial" w:cs="Arial" w:eastAsia="Arial" w:hAnsi="Arial"/>
                <w:sz w:val="29"/>
                <w:szCs w:val="29"/>
                <w:color w:val="auto"/>
                <w:vertAlign w:val="superscript"/>
              </w:rPr>
              <w:t>(14)</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6,662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6,662</w:t>
            </w: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-2957830</wp:posOffset>
            </wp:positionV>
            <wp:extent cx="12001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-2957830</wp:posOffset>
            </wp:positionV>
            <wp:extent cx="12001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-2957830</wp:posOffset>
            </wp:positionV>
            <wp:extent cx="12890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-2957830</wp:posOffset>
            </wp:positionV>
            <wp:extent cx="12001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-2957830</wp:posOffset>
            </wp:positionV>
            <wp:extent cx="12001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127635</wp:posOffset>
            </wp:positionV>
            <wp:extent cx="8229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30" w:lineRule="exact"/>
        <w:rPr>
          <w:sz w:val="20"/>
          <w:szCs w:val="20"/>
          <w:color w:val="auto"/>
        </w:rPr>
      </w:pPr>
    </w:p>
    <w:p>
      <w:pPr>
        <w:ind w:left="640" w:hanging="348"/>
        <w:spacing w:after="0"/>
        <w:tabs>
          <w:tab w:leader="none" w:pos="6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Denotes less than one percent.</w:t>
      </w:r>
    </w:p>
    <w:p>
      <w:pPr>
        <w:spacing w:after="0" w:line="42" w:lineRule="exact"/>
        <w:rPr>
          <w:sz w:val="20"/>
          <w:szCs w:val="20"/>
          <w:color w:val="auto"/>
        </w:rPr>
      </w:pPr>
    </w:p>
    <w:p>
      <w:pPr>
        <w:ind w:left="640" w:hanging="348"/>
        <w:spacing w:after="0"/>
        <w:tabs>
          <w:tab w:leader="none" w:pos="6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Each of Andrew Astrove and Ellen Astrove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Ashwin Surajbali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Bradley Nathan Albert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Diane Roskind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Keith E. Morris is deemed to have power to vote or dispose of the Registrable Securities. Keith E. Morris is our Vice President.</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Farzin Arsanjani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Ian Cohen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Jennifer Goldman-Brisman is deemed to have power to vote or dispose of the Registrable Securities.</w:t>
      </w:r>
    </w:p>
    <w:p>
      <w:pPr>
        <w:spacing w:after="0" w:line="41"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E. Robert Roskind, in his capacity as Founder and Chairman of LCP Group, L.P., is deemed to have investment discretion and voting power over the Registrable Securities held by LCP Group, L.P.</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LeRoy Robinson is deemed to have power to vote or dispose of the Registrable Securities.</w:t>
      </w:r>
    </w:p>
    <w:p>
      <w:pPr>
        <w:spacing w:after="0" w:line="41" w:lineRule="exact"/>
        <w:rPr>
          <w:rFonts w:ascii="Arial" w:cs="Arial" w:eastAsia="Arial" w:hAnsi="Arial"/>
          <w:sz w:val="14"/>
          <w:szCs w:val="14"/>
          <w:color w:val="auto"/>
        </w:rPr>
      </w:pPr>
    </w:p>
    <w:p>
      <w:pPr>
        <w:ind w:left="640" w:right="319" w:hanging="348"/>
        <w:spacing w:after="0" w:line="281" w:lineRule="auto"/>
        <w:tabs>
          <w:tab w:leader="none" w:pos="6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Mehran Aliakbar serves as the managing member of M&amp;S Investment Group, LLC. By virtue of this relationship, Mehran Aliakbar may be deemed to have voting and dispositive power with respect to the Registrable Securities held by M&amp;S Investment Group, LLC.</w:t>
      </w:r>
    </w:p>
    <w:p>
      <w:pPr>
        <w:jc w:val="both"/>
        <w:ind w:left="640" w:right="299" w:hanging="348"/>
        <w:spacing w:after="0" w:line="238" w:lineRule="auto"/>
        <w:tabs>
          <w:tab w:leader="none" w:pos="6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Jaret Christopher serves as the Chief Executive Officer of MembersRSVP, LLC. By virtue of this relationship, Jaret Christopher may be deemed to have voting and dispositive power with respect to the Registrable Securities held by MembersRSVP, LLC. Jaret Christopher is our Vice President and General Manager of Customer Relationship Management.</w:t>
      </w:r>
    </w:p>
    <w:p>
      <w:pPr>
        <w:spacing w:after="0" w:line="20" w:lineRule="exact"/>
        <w:rPr>
          <w:rFonts w:ascii="Arial" w:cs="Arial" w:eastAsia="Arial" w:hAnsi="Arial"/>
          <w:sz w:val="14"/>
          <w:szCs w:val="14"/>
          <w:color w:val="auto"/>
        </w:rPr>
      </w:pPr>
    </w:p>
    <w:p>
      <w:pPr>
        <w:ind w:left="640" w:hanging="348"/>
        <w:spacing w:after="0"/>
        <w:tabs>
          <w:tab w:leader="none" w:pos="6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Michael Schlaefer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Yael Morris is deemed to have power to vote or dispose of the Registrable Securities.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08" w:name="page109"/>
    <w:bookmarkEnd w:id="10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following summary of the material terms of our securities is not intended to be a complete summary of the rights and preferences of such securities, and is qualified by reference to our Certificate of Incorporation, our Bylaws and the Warrant-related documents described herein, which are exhibits to the registration statement of which this prospectus is a part. We urge you to read each of our Certificate of Incorporation, our Bylaws and the Warrant-related documents described herein in their entirety for a complete description of the rights and preferences of our securities.</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Authorized and Outstanding Stock</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Our Certificate of Incorporation authorizes the issuance of 2,075,000,000 shares of capital stock, consisting of (x) 1,500,000,000 shares of Class A Common Stock, par value $0.0001 per share, (y) 500,000,000 shares of Class V Common Stock, par value $0.0001 per share and 75,000,000 shares of preferred stock, par value $0.0001 per share. All of our issued and outstanding shares of capital stock are duly authorized, validly issued, fully paid and non-assessable. As of February 18, 2022, there were (1) 70,399,067 shares of Class A Common Stock, (2) 65,502,347 shares of Class V Common Stock and no shares of preferred stock outstanding.</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Subject to preferences that may be applicable to any outstanding preferred stock, the holders of shares of Class A Common Stock are entitled to receive ratably such dividends, if any, as may be declared from time to time by our board of directors out of funds legally available therefor.</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Rights upon Liquidation, Dissolution and Winding-Up</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In the event of any voluntary or involuntary liquidation, dissolution or winding up of our affairs, the holders of the shares of Class A Common Stock are entitled to share ratably in all assets remaining after payment of our debts and other liabilities, subject to prior distribution rights of preferred stock or any class or series of stock having a preference over the shares of Class A Common Stock, then outstanding, if any.</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Preemptive or Other Rights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we may issue in the future.</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Class V Common Stock</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w:t>
      </w:r>
    </w:p>
    <w:p>
      <w:pPr>
        <w:sectPr>
          <w:pgSz w:w="11900" w:h="16838" w:orient="portrait"/>
          <w:cols w:equalWidth="0" w:num="1">
            <w:col w:w="9019"/>
          </w:cols>
          <w:pgMar w:left="1440" w:top="265" w:right="1440"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9" w:name="page110"/>
    <w:bookmarkEnd w:id="10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together as a single class. Notwithstanding the foregoing, the holders of the outstanding shares of Class V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holders of the Class V Common Stock will not participate in any dividends declared by our board of directors.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Rights upon Liquidation, Dissolution and Winding-Up</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In the event of any voluntary or involuntary liquidation, dissolution or winding up of our affairs, the holders of Class V Common Stock are not entitled to receive any of our assets.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Preemptive or Other Rights</w:t>
      </w:r>
    </w:p>
    <w:p>
      <w:pPr>
        <w:spacing w:after="0" w:line="117"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The holders of shares of Class V Common Stock do not have preemptive, subscription, redemption or conversion rights. There will be no redemption or sinking fund provisions applicable to the Class V Common Stock.</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Issuance and Retirement of Class V Common Stock</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In the event that any outstanding share of Class V Common Stock ceases to be held directly or indirectly by a holder of Class A Units, such share will automatically be transferred to us for no consideration and thereupon will be retired. We will not issue additional shares of Class V Common Stock other than in connection with the valid issuance or transfer of Units in accordance with the governing documents of WMH LLC.</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 xml:space="preserve">There are no shares of preferred stock outstanding. Our Certificate of Incorporation authorizes our board of directors to establish one or more series of preferred stock. Unless required by law or any stock exchange, the authorized shares of preferred stock will be available for issuance without further action by the holders of the common stock. Shares of preferred stock may be issued from time to time in one or more series of any number of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aggregate number of shares issued and not retired of any and all such series shall not exceed the total number of shares of preferred stock authorized, and with such powers, including voting powers, if any, and the designations, preferences and relative, participating, optional or other special rights, if any, and any qualifications, limitations or restrictions thereof, all as shall be stated and expressed in the resolution or resolutions providing for the designation and issue of such shares of preferred stock from time to time adopted by our board of directors pursuant to authority so to do which is expressly vested in the board of directors. The powers, including voting powers, if any,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78"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issuance of preferred stock may have the effect of delaying, deferring or preventing a change in control of the Company without further action by our stockholders. Additionally, the issuance of preferred stock may adversely affect the holders of our common stock by restricting dividends on the shares of Class A Common Stock, diluting the voting power of the shares of Class A Common Stock and the shares of Class V Common Stock or subordinating the liquidation rights of the shares of Class A Common Stock. As a result of these or other factors, the issuance of preferred stock could have an adverse impact on the market price of the shares of Class A Common Stock. At present, we have no plans to issue any preferred stock.</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Warrants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Public Warrants</w:t>
      </w:r>
    </w:p>
    <w:p>
      <w:pPr>
        <w:spacing w:after="0" w:line="117"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Each whole Public Warrant entitles the registered holder to purchase one share of Class A Common Stock at a price of $11.50 per share, subject to adjustment as discussed below, at any time commencing 30 days after the Closing, provided that we have an effective registration statement under the Securities Act covering the issuance of the shares of Class A Common Stock issuable upon exercise of the Public Warrants and a current prospectus relating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0" w:name="page111"/>
    <w:bookmarkEnd w:id="11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to them is available and such shares are registered, qualified or exempt from registration under the securities, or blue sky laws of the state of residence of the holder (or we permits holders to exercise their Public Warrants on a cashless basis under the circumstances specified in the Warrant Agreement). A holder of Public Warrants may exercise its Public Warrants only for a whole number of shares of Class A Common Stock. This means only a whole Public Warrant may be exercised at a given time by a holder of Public Warrants. The Public Warrants will expire five years after the Closing, at 5:00 p.m., New York City time, or earlier upon redemption or liquidation.</w:t>
      </w:r>
    </w:p>
    <w:p>
      <w:pPr>
        <w:spacing w:after="0" w:line="56"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We will not be obligated to deliver any shares of Class A Common Stock pursuant to the exercise of a Public Warrant and will have no obligation to settle such Public Warrant exercise unless a registration statement under the Securities Act covering the issuance of the shares of Class A Common Stock issuable upon exercise is then effective and a prospectus relating thereto is current, subject to us satisfying our obligations described below with respect to registration. No Public Warrant will be exercisable for cash or on a cashless basis, and we will not be obligated to issue any shares of Class A Common Stock to holders of Public Warrants seeking to exercise their Public Warrants, unless the issuance of the shares of Class A Common Stock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shares of Class A Common Stock underlying such unit.</w:t>
      </w:r>
    </w:p>
    <w:p>
      <w:pPr>
        <w:spacing w:after="0" w:line="66"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filed with the SEC and have an effective registration statement for covering the issuance, under the Securities Act, of the shares of Class A Common Stock issuable upon exercise of the Public Warrants, until the expiration of the Public Warrants in accordance with the provisions of the Warrant Agreement. Notwithstanding the above, if the shares of Class A Common Stock are,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on a “cashless basis” in accordance with Section 3(a)(9) of the Securities Act and, in the event we so elects, we will not be required to file or maintain in effect a registration statement, but will use our reasonable best efforts to qualify the shares under applicable blue sky laws to the extent an exemption is not available.</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redeem the Public Warrants for redemption:</w:t>
      </w:r>
    </w:p>
    <w:p>
      <w:pPr>
        <w:spacing w:after="0" w:line="117" w:lineRule="exact"/>
        <w:rPr>
          <w:sz w:val="20"/>
          <w:szCs w:val="20"/>
          <w:color w:val="auto"/>
        </w:rPr>
      </w:pPr>
    </w:p>
    <w:p>
      <w:pPr>
        <w:ind w:left="1000" w:hanging="348"/>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upon not less than 30 days’ prior written notice of redemption to each holder of Public Warrants; and</w:t>
      </w:r>
    </w:p>
    <w:p>
      <w:pPr>
        <w:spacing w:after="0" w:line="128" w:lineRule="exact"/>
        <w:rPr>
          <w:rFonts w:ascii="Arial" w:cs="Arial" w:eastAsia="Arial" w:hAnsi="Arial"/>
          <w:sz w:val="17"/>
          <w:szCs w:val="17"/>
          <w:color w:val="auto"/>
        </w:rPr>
      </w:pPr>
    </w:p>
    <w:p>
      <w:pPr>
        <w:jc w:val="both"/>
        <w:ind w:left="1000" w:right="319" w:hanging="348"/>
        <w:spacing w:after="0" w:line="257"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and only if, the reported last sales price of the shares of Class A Common Stock equals or exceeds $18.00 per share (as adjusted for share splits, share dividends, rights issuances, subdivisions, reorganizations, recapitalizations and the like) for any 20 trading days within a 30-trading day period ending on the third trading day prior to the date we send the notice of redemption to the holders of Public Warrants.</w:t>
      </w:r>
    </w:p>
    <w:p>
      <w:pPr>
        <w:spacing w:after="0" w:line="80"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If and when the Public Warrants become redeemable by us, we may exercise our redemption right even if we are unable to register or qualify the underlying securities for sale under all applicable state securities laws.</w:t>
      </w:r>
    </w:p>
    <w:p>
      <w:pPr>
        <w:spacing w:after="0" w:line="38"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If the foregoing conditions are satisfied and we issue a notice of redemption of the Public Warrants, each holder of Public Warrants will be entitled to exercise his, her or its Public Warrant prior to the scheduled redemption date. However, the price of the shares of Class A Common Stock may fall below the $18.00 redemption trigger price as well as the $11.50 Public Warrant exercise price after the redemption notice is issued.</w:t>
      </w:r>
    </w:p>
    <w:p>
      <w:pPr>
        <w:spacing w:after="0" w:line="49"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If we call the Public Warrants for redemption as described above, our management will have the option to require any holder that wishes to exercise his, her or its Public Warrant to do so on a “cashless basis.” In determining whether to require any holders to exercise their Public Warrants on a “cashless basis,” our management will consider, among other factors, our cash position, the number of Public Warrants that are outstanding and the dilutive effect on our stockholders of issuing the maximum number of shares of Class A Common Stock issuable upon exercise of the Public Warrants. If our management takes advantage of this option, all holders of Public Warrants would pay the exercise price by surrendering their Public Warrants for that number of shares of Class A Common Stock equal to</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1" w:name="page112"/>
    <w:bookmarkEnd w:id="11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the quotient obtained by dividing (x) the product of the number of shares of Class A Common Stock underlying the Public Warrants, multiplied by the excess of the “fair market value” (defined below) over the exercise price of the Public Warrants by (y) the fair market value. The “fair market value” will mean the average last reported sale price of the shares of Class A Common Stock for the 10 trading days ending on the third trading day prior to the date on which the notice of redemption is sent to the holders of Public Warrant. If our management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Public Warrant redemption. If we calls the Public Warrants for redemption and our management does not take advantage of this option, Silver Spike Sponsor and its permitted transferees would still be entitled to exercise their Private Placement Warrants for cash or on a cashless basis using the same formula described above that other holders of Public Warrants would have been required to use had all warrant holders been required to exercise their warrants on a cashless basis, as described in more detail below.</w:t>
      </w:r>
    </w:p>
    <w:p>
      <w:pPr>
        <w:spacing w:after="0" w:line="66"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A holder of Public Warrants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Class A Common Stock issued and outstanding immediately after giving effect to such exercise.</w:t>
      </w:r>
    </w:p>
    <w:p>
      <w:pPr>
        <w:spacing w:after="0" w:line="68"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If the number of issued and outstanding shares of Class A Common Stock is increased by a capitalization or share dividend payable in shares of Class A Common Stock, or by a split-up of shares of Class A Common Stock or other similar event, then, on the effective date of such share dividend, split-up or similar event, the number of shares of Class A Common Stock issuable on exercise of each Public Warrant will be increased in proportion to such increase in the issued and outstanding shares of Class A Common Stock. A rights offering to holders of shares of Class A Common Stock entitling holders to purchase shares of Class A Common Stock at a price less than the fair market value will be deemed a share dividend of a number of shares of Class A Common Stock equal to the product of (1) the number of shares of Class A Common Stock actually sold in such rights offering (or issuable under any other equity securities sold in such rights offering that are convertible into or exercisable for common stock) multiplied by (2) one minus the quotient of (x) the price per shares of Class A Common Stock paid in such rights offering divided by (y) the fair market value. For these purposes, (1) if the rights offering is for securities convertible into or exercisable for shares of Class A Common Stock, in determining the price payable for shares of Class A Common Stock, there will be taken into account any consideration received for such rights, as well as any additional amount payable upon exercise or conversion and (2) fair market value means the volume weighted average price of shares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66"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In addition, if we, at any time while the Public Warrants are outstanding and unexpired, pay a dividend or make a distribution in cash, securities or other assets to the holders of the shares of Class A Common Stock on account of such shares of Class A Common Stock (or other securities into which the Public Warrants are convertible), other than (a) as described above or (b) certain ordinary cash dividends, then the Public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56"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If the number of issued and outstanding shares of Class A Common Stock is decreased by a consolidation, combination, reverse share split or reclassification of the shares of Class A Common Stock or other similar event, then, on the effective date of such consolidation, combination, reverse share split, reclassification or similar event, the number of shares of Class A Common Stock issuable on exercise of each Public Warrant will be decreased in proportion to such decrease in issued and outstanding shares of Class A Common Stock.</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Whenever the number of shares of Class A Common Stock purchasable upon exercise of the Public Warrants is adjusted, as described above, the Public Warrant exercise price will be adjusted by multiplying the Public Warrant exercise price immediately prior to such adjustment by a fraction (x) the numerator of which will be the number of shares of Class A Common Stock purchasable upon exercise of the Public Warrants immediately prior to such adjustment, and (y) the denominator of which will be the number of shares of Class A Common Stock so purchasable immediately thereafter.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2" w:name="page113"/>
    <w:bookmarkEnd w:id="11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issued and outstanding shares of Class A Common Stock), or in the case of any sale or conveyance to another corporation or entity of our assets or other property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Class A Common Stock immediately theretofore purchasable and receivable upon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receivable by the holders of shares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6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Public Warrants are issued in registered form under the Warrant Agreement. You should review a copy of the Warrant Agreement, which is filed as an exhibit to the registration statement of which this prospectus is a part,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65% of then issued and outstanding Public Warrants to make any change that adversely affects the interests of the registered holders of Public Warrants.</w:t>
      </w:r>
    </w:p>
    <w:p>
      <w:pPr>
        <w:spacing w:after="0" w:line="87"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shares of Class A Common Stock and any voting rights until they exercise their Public Warrants and receive shares of Class A Common Stock. After the issuance of the shares of Class A Common Stock upon exercise of the Public Warrants, each holder will be entitled to one vote for each share held of record on all matters to be voted on by holders of shares of Class A Common Stock.</w:t>
      </w: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The Private Placement Warrants (including the shares of Class A Common Stock issuable upon exercise of the Private Placement Warrants) will not be transferable, assignable or salable until 30 days after the Closing, subject to certain exceptions and they will not be redeemable by Silver Spike so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us and exercisable by the holders on the same basis as the Public Warrants.</w:t>
      </w:r>
    </w:p>
    <w:p>
      <w:pPr>
        <w:spacing w:after="0" w:line="73"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If holders of the Private Placement Warrants elect to exercise them on a cashless basis, they would pay the exercise price by surrendering his, her or its warrants for that number of Class A Common Stock equal to the quotient obtained by dividing (x) the product of the number of Class A Common Stock underlying the warrants, multiplied by the excess of the “fair market value” (defined below) over the exercise price of the warrants by (y) the fair market value. The “fair market value” will mean the average last reported sale price of the shares of Class A Common Stock for the 10 trading days ending on the third trading day prior to the date on which the notice of warrant exercise is sent to the Warrant Agent.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3" w:name="page114"/>
    <w:bookmarkEnd w:id="11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have not paid any cash dividends on the Class A Ordinary Shares,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that we or our subsidiaries incur. We do not anticipate declaring any cash dividends to holders of Common Stock in the foreseeable future.</w:t>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Lock-Up Restrictions</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Pursuant to the letter agreement entered into between Silver Spike and Silver Spike Sponsor, after the completion of the Business Combination and subject to certain exceptions, the Sponsor is contractually restricted from selling or transferring any of its shares of Class A Common Stock until the earlier of (A) one year after the completion of the Business Combination or (B) subsequent to the Business Combination, (x) if the last reported sale price of the Class A Common Stock equals or exceeds $12.00 per share (as adjusted for share splits, share dividends, rights issuances, subdivisions, reorganizations, recapitalizations and the like) for any 20 trading days within any 30-trading day period commencing at least 150 days after the Business Combination or (y) the date following the completion of the Business Combination on which we complete a liquidation, merger, amalgamation, share exchange, reorganization or other similar transaction that results in all of our stockholders having the right to exchange their Class A Common Stock for cash, securities or other property.</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Certain Anti-Takeover Provisions of Delaware Law</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1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Our Certificate of Incorporation provides that special meetings of our stockholders may be called by such persons as provided in the Bylaws. The Bylaws provide that special meetings of our stockholders may be called only, for any purpose as is a proper matter for stockholder action under Delaware, by (i) our Chairperson of the Board of Directors, (ii) our Chief Executive Officer or the President if the Chairperson of the Board of Directors is unavailable,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117" w:lineRule="exact"/>
        <w:rPr>
          <w:sz w:val="20"/>
          <w:szCs w:val="20"/>
          <w:color w:val="auto"/>
        </w:rPr>
      </w:pPr>
    </w:p>
    <w:p>
      <w:pPr>
        <w:jc w:val="both"/>
        <w:ind w:left="300" w:right="299" w:firstLine="360"/>
        <w:spacing w:after="0" w:line="228" w:lineRule="auto"/>
        <w:rPr>
          <w:sz w:val="20"/>
          <w:szCs w:val="20"/>
          <w:color w:val="auto"/>
        </w:rPr>
      </w:pPr>
      <w:r>
        <w:rPr>
          <w:rFonts w:ascii="Arial" w:cs="Arial" w:eastAsia="Arial" w:hAnsi="Arial"/>
          <w:sz w:val="16"/>
          <w:szCs w:val="16"/>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under the Bylaws, a stockholder’s notice will need to be received by the company secretary at our principal executive offices not later than the close of business on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nor earlier than the open of business on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the first anniversary of the preceding year’s annual meeting of stockholders; provided, however, that in the event that no annual meeting was held in the previous year or the annual meeting is called for a date that is more than 30 days before or after the anniversary date of the previous year’s annual meeting, notice by the stockholder must be received by the secretary no earlier than the close of business on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such annual meeting and no later than the close of business on the latter of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such annual meeting or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day on which public announcement of the date of such meeting is first made. Our Certificate of Incorporation and the Bylaws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1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Our authorized but unissued Class A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us by means of a proxy contest, tender offer, merger or otherwise.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4" w:name="page115"/>
    <w:bookmarkEnd w:id="11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Exclusive Forum Selection</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7"/>
          <w:szCs w:val="17"/>
          <w:color w:val="auto"/>
        </w:rPr>
        <w:t>Our Certificate of Incorporation requires, to the fullest extent permitted by law, that derivative actions brought in our name, actions against current or former directors, officers and employees for breach of fiduciary duty, other similar actions, any other action as to which the DGCL confers jurisdiction to the Court of Chancery of the State of Delaware and any action or proceeding concerning the validity of our Certificate of Incorporation or the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Although we believe this provision benefits us by providing increased consistency in the application of Delaware law in the types of lawsuits to which it applies, the provision may limit a stockholder’s ability to bring a claim in a judicial forum that it finds favorable for disputes with us and our directors, officers or other employees and may have the effect of discouraging lawsuits against our directors and officers. This provision would not apply to claims brought to enforce a duty or liability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However, our Certificate of Incorporation provides that the federal district courts of the United States shall be the exclusive forum for the resolution of any complaint asserting a cause of action arising under the Securities Act. Stockholders may be subject to increased costs to bring these claims, and the exclusive forum provision could have the effect of discouraging claims or limiting investors’ ability to bring claims in a judicial forum that they find favorable. 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w:t>
      </w:r>
    </w:p>
    <w:p>
      <w:pPr>
        <w:spacing w:after="0" w:line="3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opt out of Section 203 of the DGCL under our Certificate of Incorporation.</w:t>
      </w:r>
    </w:p>
    <w:p>
      <w:pPr>
        <w:spacing w:after="0" w:line="37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Limitation on Liability and Indemnification of Directors and Officers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76" w:lineRule="exact"/>
        <w:rPr>
          <w:sz w:val="20"/>
          <w:szCs w:val="20"/>
          <w:color w:val="auto"/>
        </w:rPr>
      </w:pPr>
    </w:p>
    <w:p>
      <w:pPr>
        <w:ind w:left="1000" w:hanging="348"/>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for any act or omission not in good faith or that involves intentional misconduct or a knowing violation of law;</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for any unlawful payment of dividends or redemption of shares;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for any breach of a director’s duty of loyalty to the corporation or its stockholders.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Delaware law and our Certificate of Incorporation and Bylaws provide that we will, in certain situations, indemnify our directors and officers and may indemnify other employees and other agents, to the fullest extent permitted by law. Any indemnified person is also entitled, subject to certain limitations, to advancement of reasonable expenses (including attorneys’ fees and disbursements) in advance of the final disposition of the proceeding.</w:t>
      </w:r>
    </w:p>
    <w:p>
      <w:pPr>
        <w:spacing w:after="0" w:line="8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ectPr>
          <w:pgSz w:w="11900" w:h="16838" w:orient="portrait"/>
          <w:cols w:equalWidth="0" w:num="1">
            <w:col w:w="9019"/>
          </w:cols>
          <w:pgMar w:left="1440" w:top="265" w:right="1440"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147955</wp:posOffset>
            </wp:positionV>
            <wp:extent cx="699516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15" w:name="page116"/>
    <w:bookmarkEnd w:id="11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maintain a directors’ and officers’ insurance policy pursuant to which our directors and officers are insured against liability for actions taken in their capacities as directors and officers. We believe these provisions in our Certificate of Incorporation and the Bylaws and these indemnification agreements are necessary to attract and retain qualified persons as directors and officers.</w:t>
      </w:r>
    </w:p>
    <w:p>
      <w:pPr>
        <w:spacing w:after="0" w:line="7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such as the Company. However, Rule 144 also includes an important exception to this prohibition if the following conditions are met:</w:t>
      </w:r>
    </w:p>
    <w:p>
      <w:pPr>
        <w:spacing w:after="0" w:line="79" w:lineRule="exact"/>
        <w:rPr>
          <w:sz w:val="20"/>
          <w:szCs w:val="20"/>
          <w:color w:val="auto"/>
        </w:rPr>
      </w:pPr>
    </w:p>
    <w:p>
      <w:pPr>
        <w:ind w:left="1000" w:hanging="348"/>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Closing, we ceased to be a shell company.</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When, and if, Rule 144 becomes available for the resale of our securities, a person who has beneficially owned restricted shares of our Class A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87"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Persons who have beneficially owned restricted shares of our Class A Common Stock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79" w:lineRule="exact"/>
        <w:rPr>
          <w:sz w:val="20"/>
          <w:szCs w:val="20"/>
          <w:color w:val="auto"/>
        </w:rPr>
      </w:pPr>
    </w:p>
    <w:p>
      <w:pPr>
        <w:ind w:left="1000" w:hanging="348"/>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one percent (1%) of the total number of shares of Class A Common Stock then outstanding; or</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Class A Common Stock during the four calendar weeks preceding the filing of a notice on Form 144 with respect to the sale.</w:t>
      </w:r>
    </w:p>
    <w:p>
      <w:pPr>
        <w:spacing w:after="0" w:line="62"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Sales by our affiliates under Rule 144 will also be limited by manner of sale provisions and notice requirements and to the availability of current public information about us.</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Agent, Warrant Agent and Registrar</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The transfer agent, warrant agent and registrar for our Class A Common Stock, Class V Common Stock and Warrants is Continental Stock Transfer &amp; Trust Company.</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Listing of Securities</w:t>
      </w:r>
    </w:p>
    <w:p>
      <w:pPr>
        <w:spacing w:after="0" w:line="12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Our Class A Common Stock and Public Warrants are listed on Nasdaq under the symbols “MAPS” and “MAPW,”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6" w:name="page117"/>
    <w:bookmarkEnd w:id="11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UNITED STATES FEDERAL INCOME TAX CONSEQUENCES</w:t>
      </w:r>
    </w:p>
    <w:p>
      <w:pPr>
        <w:spacing w:after="0" w:line="121"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The following discussion is a summary of material U.S. federal income tax considerations generally applicable to the purchase, ownership and disposition of our Class A Common Stock. The Class A Common Stock is referred to herein as our securities. All prospective holders of our securities should consult their tax advisors with respect to the U.S. federal, state, local and non-U.S. tax consequences of the purchase, ownership and disposition of our securities.</w:t>
      </w:r>
    </w:p>
    <w:p>
      <w:pPr>
        <w:spacing w:after="0" w:line="49"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This discussion is not a complete analysis of all potential U.S. federal income tax consequences relating to the purchase, ownership and disposition of our securities. This summary is based upon current provisions of the U.S. Internal Revenue Code of 1986, as amended, which we refer to as the Code, existing U.S. Treasury Regulations promulgated thereunder, published administrative pronouncements and rulings of the U.S. Internal Revenue Service, which we refer to as the IRS, and judicial decisions, all as in effect as of the date of this prospectus. These authorities are subject to change and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purchase, ownership or disposition of our securities. We assume in this discussion that a holder holds our securities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the special tax accounting rules under Section 451(b) of the Code, any alternative minimum, Medicare contribution, estate or gift tax consequences, or any aspects of U.S. state, local or non-U.S. taxes or any other U.S. federal tax laws. This discussion also does not address consequences relevant to holders subject to special tax rules, such as holders that own, or are deemed to own, more than 5% of our capital stock (except to the extent specifically set forth below), corporations that accumulate earnings to avoid U.S. federal income tax, tax-exempt organizations, governmental organizations, banks, financial institutions, investment funds, insurance companies, brokers, dealers or traders in securities, commodities or currencies, regulated investment companies or real estate investment trusts, persons that have a “functional currency” other than the U.S. dollar, tax- qualified retirement plans, holders who hold or receive our securities pursuant to the exercise of employee stock options or otherwise as compensation, holders holding our securities as part of a hedge, straddle or other risk reduction strategy, conversion transaction or other integrated investment, holders deemed to sell our securities under the constructive sale provisions of the Code, passive foreign investment companies, controlled foreign corporations, and certain former U.S. citizens or long-term residents.</w:t>
      </w:r>
    </w:p>
    <w:p>
      <w:pPr>
        <w:spacing w:after="0" w:line="65"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In addition, this discussion does not address the tax treatment of partnerships (or entities or arrangements that are treated as partnerships for U.S. federal income tax purposes) or persons that hold our securities through such partnerships. If a partnership, including any entity or arrangement treated as a partnership for U.S. federal income tax purposes, holds our securities, the U.S. federal income tax treatment of a partner in such partnership will generally depend upon the status of the partner and the activities of the partnership. Such partners and partnerships should consult their tax advisors regarding the tax consequences of the purchase, ownership and disposition of our securities.</w:t>
      </w:r>
    </w:p>
    <w:p>
      <w:pPr>
        <w:spacing w:after="0" w:line="8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For purposes of this discussion, a “U.S. Holder” means a beneficial owner of our securities (other than a partnership or an entity or arrangement treated as a partnership for U.S. federal income tax purposes) that is, for U.S. federal income tax purposes:</w:t>
      </w:r>
    </w:p>
    <w:p>
      <w:pPr>
        <w:spacing w:after="0" w:line="76" w:lineRule="exact"/>
        <w:rPr>
          <w:sz w:val="20"/>
          <w:szCs w:val="20"/>
          <w:color w:val="auto"/>
        </w:rPr>
      </w:pPr>
    </w:p>
    <w:p>
      <w:pPr>
        <w:ind w:left="1000" w:hanging="348"/>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7" w:lineRule="exact"/>
        <w:rPr>
          <w:rFonts w:ascii="Arial" w:cs="Arial" w:eastAsia="Arial" w:hAnsi="Arial"/>
          <w:sz w:val="18"/>
          <w:szCs w:val="18"/>
          <w:color w:val="auto"/>
        </w:rPr>
      </w:pPr>
    </w:p>
    <w:p>
      <w:pPr>
        <w:jc w:val="both"/>
        <w:ind w:left="1000" w:right="319" w:hanging="348"/>
        <w:spacing w:after="0" w:line="311" w:lineRule="auto"/>
        <w:tabs>
          <w:tab w:leader="none" w:pos="10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 trust if (a) a U.S. court can exercise primary supervision over the trust’s administration and one or more U.S. persons have the authority to control all of the trust’s substantial decisions or (b) the trust has a valid election in effect under applicable U.S. Treasury Regulations to be treated as a U.S. person.</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purposes of this discussion, a “non-U.S. Holder” is a beneficial owner of our securities that is neither a U.S.</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Holder nor a partnership or an entity or arrangement treated as a partnership for U.S. federal income tax purposes.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7" w:name="page118"/>
    <w:bookmarkEnd w:id="11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Tax Considerations Applicable to U.S. Holders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If we pay distributions or make constructive distributions (other than certain 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Class A Common Stock. Any remaining excess will be treated as gain realized on the sale or other disposition of the Class A Common Stock and will be treated as described under “U.S. Holders—Gain or Loss on Sale, Taxable Exchange or Other Taxable Disposition of Class A Common Stock” below.</w:t>
      </w:r>
    </w:p>
    <w:p>
      <w:pPr>
        <w:spacing w:after="0" w:line="88"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Dividends we pay to a U.S. Holder that is a taxable corporation will generally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we pay to a non-corporate U.S. Holder will generally constitute “qualified dividends” that will be subject to tax at the maximum tax rate accorded to long-term capital gains.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Gain or Loss on Sale, Taxable Exchange or Other Taxable Disposition of Class A Common Stock</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A U.S. Holder generally will recognize gain or loss on the sale, taxable exchange or other taxable disposition of our Class A Common Stock. Any such gain or loss will be capital gain or loss, and will be long-term capital gain or loss if the U.S. Holder’s holding period for the Class A Common Stock so disposed of exceeds one year. The amount of gain or loss recognized will generally be equal to the difference between (1) the sum of the amount of cash and the fair market value of any property received in such disposition and (2) the U.S. Holder’s adjusted tax basis in its Class A Common Stock so disposed of. A U.S. Holder’s adjusted tax basis in its Class A Common Stock will generally equal the U.S. Holder’s acquisition cost for such Class A Common Stock (or, in the case of Class A Common Stock received upon exercise of a Warrant, the U.S. Holder’s initial basis for such Class A Common Stock, as discussed below), less any prior distributions treated as a return of capital. Long-term capital gains recognized by non-corporate U.S. Holders are generally eligible for reduced rates of tax. If the U.S. Holder’s holding period for the Class A Common Stock so disposed of is one year or less, any gain on a sale or other taxable disposition of the shares would be subject to short-term capital gain treatment and would be taxed at ordinary income tax rates. The deductibility of capital losses is subject to limitations.</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In general, information reporting requirements may apply to dividends paid to a U.S. Holder and to the proceeds of the sale or other disposition of our shares of Class A Common Stock, unless the U.S. Holder is an exempt recipient. Backup withholding may apply to such payments if the U.S. Holder fails to provide a taxpayer identification number (or furnishes an incorrect taxpayer identification number) or a certification of exempt status, or has been notified by the IRS that it is subject to backup withholding (and such notification has not been withdrawn).</w:t>
      </w:r>
    </w:p>
    <w:p>
      <w:pPr>
        <w:spacing w:after="0" w:line="84"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 Taxpayers should consult their tax advisors regarding their qualification for an exemption from backup withholding and the procedures for obtaining such an exemption.</w:t>
      </w:r>
    </w:p>
    <w:p>
      <w:pPr>
        <w:spacing w:after="0" w:line="25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Tax Considerations Applicable to Non-U.S. Holders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In general, any distributions (including constructive distributions) we make to a non-U.S. Holder of shares on our Class A Common Stock, to the extent paid out of our current or accumulated earnings and profits (as determined under U.S. federal income tax principles), will constitute dividends for U.S. federal income tax purposes and,</w:t>
      </w:r>
    </w:p>
    <w:p>
      <w:pPr>
        <w:sectPr>
          <w:pgSz w:w="11900" w:h="16838" w:orient="portrait"/>
          <w:cols w:equalWidth="0" w:num="1">
            <w:col w:w="9019"/>
          </w:cols>
          <w:pgMar w:left="1440" w:top="265"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147955</wp:posOffset>
            </wp:positionV>
            <wp:extent cx="699516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18" w:name="page119"/>
    <w:bookmarkEnd w:id="11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(as described below under “Non-U.S. Holders— Possible Constructive Distributions”), it is possible that this tax would be withheld from any amount owed to a non-U.S. Holder by the applicable withholding agent, including cash distributions on other property or sale proceeds from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“Non-U.S. Holders—Gain on Sale, Taxable Exchange or Other Taxable Disposition of Class A Common” below. In addition, if we determine that we are likely to be classified as a “United States real property holding corporation” (see the section entitled “Non-U.S. Holders—Gain on Sale, Exchange or Other Taxable Disposition of Class A Common Stock” below), we will withhold 15% of any distribution that exceeds our current and accumulated earnings and profits.</w:t>
      </w:r>
    </w:p>
    <w:p>
      <w:pPr>
        <w:spacing w:after="0" w:line="72"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Dividends we pay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Gain on Sale, Exchange or Other Taxable Disposition of Class A Common Stock</w:t>
      </w:r>
    </w:p>
    <w:p>
      <w:pPr>
        <w:spacing w:after="0" w:line="117"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A non-U.S. Holder generally will not be subject to U.S. federal income or withholding tax in respect of gain recognized on a sale, taxable exchange or other taxable disposition of our Class A Common Stock, unless:</w:t>
      </w:r>
    </w:p>
    <w:p>
      <w:pPr>
        <w:spacing w:after="0" w:line="38" w:lineRule="exact"/>
        <w:rPr>
          <w:sz w:val="20"/>
          <w:szCs w:val="20"/>
          <w:color w:val="auto"/>
        </w:rPr>
      </w:pPr>
    </w:p>
    <w:p>
      <w:pPr>
        <w:jc w:val="both"/>
        <w:ind w:left="1000" w:right="319" w:hanging="348"/>
        <w:spacing w:after="0" w:line="263"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disposition and certain other conditions are met; or</w:t>
      </w:r>
    </w:p>
    <w:p>
      <w:pPr>
        <w:spacing w:after="0" w:line="62" w:lineRule="exact"/>
        <w:rPr>
          <w:rFonts w:ascii="Arial" w:cs="Arial" w:eastAsia="Arial" w:hAnsi="Arial"/>
          <w:sz w:val="18"/>
          <w:szCs w:val="18"/>
          <w:color w:val="auto"/>
        </w:rPr>
      </w:pPr>
    </w:p>
    <w:p>
      <w:pPr>
        <w:jc w:val="both"/>
        <w:ind w:left="1000" w:right="299" w:hanging="348"/>
        <w:spacing w:after="0" w:line="270" w:lineRule="auto"/>
        <w:tabs>
          <w:tab w:leader="none" w:pos="10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is disposing of our Class A Common Stock and has owned, directly or constructively, more than 5% of our Class A Common Stock at any time within the shorter of the five-year period preceding the disposition or such Non-U.S. Holder’s holding period for the shares of our Class A Common Stock. There can be no assurance that our Class A Common Stock will be treated as regularly traded or not regularly traded on an established securities market for this purpose.</w:t>
      </w:r>
    </w:p>
    <w:p>
      <w:pPr>
        <w:spacing w:after="0" w:line="73"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84"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If the third bullet point above applies to a non-U.S. Holder and applicable exceptions are not available, gain recognized by such holder on the sale, exchange or other disposition of our Class A Common Stock, as applicable, will be subject to tax at generally applicable U.S. federal income tax rates. In addition, a buyer of our Class A Common Stock from such holder may be required to withhold U.S. income tax at a rate of 15% of the amount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9" w:name="page120"/>
    <w:bookmarkEnd w:id="11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Foreign Account Tax Compliance Act</w:t>
      </w:r>
    </w:p>
    <w:p>
      <w:pPr>
        <w:spacing w:after="0" w:line="121"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Provisions of the Code and Treasury Regulations and administrative guidance promulgated thereunder commonly referred as the “Foreign Account Tax Compliance Act” (“FATCA”) generally impose withholding at a rate of 30% in certain circumstances on dividends (including constructive dividends) in respect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w:t>
      </w:r>
    </w:p>
    <w:p>
      <w:pPr>
        <w:spacing w:after="0" w:line="2" w:lineRule="exact"/>
        <w:rPr>
          <w:sz w:val="20"/>
          <w:szCs w:val="20"/>
          <w:color w:val="auto"/>
        </w:rPr>
      </w:pPr>
    </w:p>
    <w:p>
      <w:pPr>
        <w:jc w:val="both"/>
        <w:ind w:left="300" w:right="299" w:hanging="8"/>
        <w:spacing w:after="0" w:line="267" w:lineRule="auto"/>
        <w:tabs>
          <w:tab w:leader="none" w:pos="566" w:val="left"/>
        </w:tabs>
        <w:numPr>
          <w:ilvl w:val="0"/>
          <w:numId w:val="62"/>
        </w:numPr>
        <w:rPr>
          <w:rFonts w:ascii="Arial" w:cs="Arial" w:eastAsia="Arial" w:hAnsi="Arial"/>
          <w:sz w:val="17"/>
          <w:szCs w:val="17"/>
          <w:color w:val="auto"/>
        </w:rPr>
      </w:pPr>
      <w:r>
        <w:rPr>
          <w:rFonts w:ascii="Arial" w:cs="Arial" w:eastAsia="Arial" w:hAnsi="Arial"/>
          <w:sz w:val="17"/>
          <w:szCs w:val="17"/>
          <w:color w:val="auto"/>
        </w:rPr>
        <w:t>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our securities are held will affect the determination of whether such withholding is required. Similarly, dividends in respect of our securities held by an investor that is a non-financial non-U.S.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Withholding under FATCA was scheduled to apply to payments of gross proceeds from the sale or other disposition of property that produces U.S.-source interest or dividends, however, the IRS released proposed regulations that, if finalized in their proposed form, would eliminate the obligation to withhold on such gross proceeds. Although these proposed Treasury Regulations are not final, taxpayers generally may rely on them until final Treasury Regulations are issued. Prospective investors should consult their tax advisors regarding the possible implications of FATCA on their investment in our securities.</w:t>
      </w:r>
    </w:p>
    <w:p>
      <w:pPr>
        <w:spacing w:after="0" w:line="32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Information returns will be filed with the IRS in connection with payments of dividends and the proceeds from a sale or other disposition of our Class A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0" w:name="page121"/>
    <w:bookmarkEnd w:id="12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We are registering the resale by the Selling Securityholders or their permitted transferees from time to time of up to 1,938,798 shares of Class A Common Stock. We are required to pay all fees and expenses incident to the registration of the securities to be offered and sold pursuant to this prospectus. The Selling Securityholders will pay any underwriting discounts, selling commissions or transfer taxes incurred in disposing of the Shares and the expenses of any attorney or other advisor they decide to employ. We will bear all other costs, fees and expenses incurred in effecting the registration of the Shares covered by this prospectus. These may include, without limitation, all registration, filing, stock exchange fees, printing expenses, all fees and expenses of complying with applicable securities laws and the fees and disbursements of our counsel and of our independent accountants and reasonable fees.</w:t>
      </w:r>
    </w:p>
    <w:p>
      <w:pPr>
        <w:spacing w:after="0" w:line="88"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will not receive any of the proceeds from the sale of the securities by the Selling Securityholders. The aggregate proceeds to the Selling Securityholders will be the purchase price of the securities less any discounts and commissions borne by the Selling Securityholders.</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shares of Class A Common Stock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w:t>
      </w:r>
    </w:p>
    <w:p>
      <w:pPr>
        <w:spacing w:after="0" w:line="84"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Selling Securityholders may sell their securities by one or more of, or a combination of, the following methods:</w:t>
      </w:r>
    </w:p>
    <w:p>
      <w:pPr>
        <w:spacing w:after="0" w:line="49" w:lineRule="exact"/>
        <w:rPr>
          <w:sz w:val="20"/>
          <w:szCs w:val="20"/>
          <w:color w:val="auto"/>
        </w:rPr>
      </w:pPr>
    </w:p>
    <w:p>
      <w:pPr>
        <w:ind w:left="1000" w:right="319" w:hanging="348"/>
        <w:spacing w:after="0" w:line="277"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such broker-dealer for its own account pursuant to this prospectus;</w:t>
      </w:r>
    </w:p>
    <w:p>
      <w:pPr>
        <w:spacing w:after="0" w:line="48" w:lineRule="exact"/>
        <w:rPr>
          <w:rFonts w:ascii="Arial" w:cs="Arial" w:eastAsia="Arial" w:hAnsi="Arial"/>
          <w:sz w:val="18"/>
          <w:szCs w:val="18"/>
          <w:color w:val="auto"/>
        </w:rPr>
      </w:pPr>
    </w:p>
    <w:p>
      <w:pPr>
        <w:ind w:left="1000" w:hanging="348"/>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90"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block trades in which the broker-dealer so engaged will attempt to sell the shares as agent but may position and resell a portion of the block as principal to facilitate the transaction;</w:t>
      </w:r>
    </w:p>
    <w:p>
      <w:pPr>
        <w:spacing w:after="0" w:line="48" w:lineRule="exact"/>
        <w:rPr>
          <w:rFonts w:ascii="Arial" w:cs="Arial" w:eastAsia="Arial" w:hAnsi="Arial"/>
          <w:sz w:val="18"/>
          <w:szCs w:val="18"/>
          <w:color w:val="auto"/>
        </w:rPr>
      </w:pPr>
    </w:p>
    <w:p>
      <w:pPr>
        <w:ind w:left="1000" w:hanging="348"/>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over-the-counter distribution in accordance with the rules of Nasdaq;</w:t>
      </w:r>
    </w:p>
    <w:p>
      <w:pPr>
        <w:spacing w:after="0" w:line="103"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51" w:lineRule="exact"/>
        <w:rPr>
          <w:rFonts w:ascii="Arial" w:cs="Arial" w:eastAsia="Arial" w:hAnsi="Arial"/>
          <w:sz w:val="18"/>
          <w:szCs w:val="18"/>
          <w:color w:val="auto"/>
        </w:rPr>
      </w:pPr>
    </w:p>
    <w:p>
      <w:pPr>
        <w:ind w:left="1000" w:hanging="348"/>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distribution to employees, members, limited partners or stockholders of the Selling Securityholders;</w:t>
      </w:r>
    </w:p>
    <w:p>
      <w:pPr>
        <w:spacing w:after="0" w:line="115"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 whether through an options exchange or otherwise;</w:t>
      </w:r>
    </w:p>
    <w:p>
      <w:pPr>
        <w:spacing w:after="0" w:line="35" w:lineRule="exact"/>
        <w:rPr>
          <w:rFonts w:ascii="Arial" w:cs="Arial" w:eastAsia="Arial" w:hAnsi="Arial"/>
          <w:sz w:val="18"/>
          <w:szCs w:val="18"/>
          <w:color w:val="auto"/>
        </w:rPr>
      </w:pPr>
    </w:p>
    <w:p>
      <w:pPr>
        <w:ind w:left="1000" w:hanging="348"/>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by pledge to secured debts and other obligations;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delayed delivery arrangements;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or through underwriters or broker-dealers;</w:t>
      </w:r>
    </w:p>
    <w:p>
      <w:pPr>
        <w:spacing w:after="0" w:line="90" w:lineRule="exact"/>
        <w:rPr>
          <w:rFonts w:ascii="Arial" w:cs="Arial" w:eastAsia="Arial" w:hAnsi="Arial"/>
          <w:sz w:val="18"/>
          <w:szCs w:val="18"/>
          <w:color w:val="auto"/>
        </w:rPr>
      </w:pPr>
    </w:p>
    <w:p>
      <w:pPr>
        <w:jc w:val="both"/>
        <w:ind w:left="1000" w:right="299" w:hanging="348"/>
        <w:spacing w:after="0" w:line="259"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65" w:lineRule="exact"/>
        <w:rPr>
          <w:rFonts w:ascii="Arial" w:cs="Arial" w:eastAsia="Arial" w:hAnsi="Arial"/>
          <w:sz w:val="18"/>
          <w:szCs w:val="18"/>
          <w:color w:val="auto"/>
        </w:rPr>
      </w:pPr>
    </w:p>
    <w:p>
      <w:pPr>
        <w:ind w:left="1000" w:hanging="348"/>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options transactions;</w:t>
      </w:r>
    </w:p>
    <w:p>
      <w:pPr>
        <w:spacing w:after="0" w:line="90" w:lineRule="exact"/>
        <w:rPr>
          <w:rFonts w:ascii="Arial" w:cs="Arial" w:eastAsia="Arial" w:hAnsi="Arial"/>
          <w:sz w:val="18"/>
          <w:szCs w:val="18"/>
          <w:color w:val="auto"/>
        </w:rPr>
      </w:pPr>
    </w:p>
    <w:p>
      <w:pPr>
        <w:ind w:left="1000" w:hanging="348"/>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 or</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1" w:name="page122"/>
    <w:bookmarkEnd w:id="12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In addition, any securities that qualify for sale pursuant to Rule 144 or another exemption from registration under the Securities Act or other such exemption may be sold under Rule 144 rather than pursuant to this prospectus.</w:t>
      </w:r>
    </w:p>
    <w:p>
      <w:pPr>
        <w:spacing w:after="0" w:line="76"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6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76"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w:t>
      </w:r>
    </w:p>
    <w:p>
      <w:pPr>
        <w:spacing w:after="0" w:line="6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79"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We have advised the Selling Securityholders that the anti-manipulation rules of Regulation M under the Exchange Act may apply to sales of securities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spacing w:after="0" w:line="7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2" w:name="page123"/>
    <w:bookmarkEnd w:id="12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validity of any securities offered by this prospectus will be passed upon for us by Cooley LLP.</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r>
        <w:rPr>
          <w:rFonts w:ascii="Arial" w:cs="Arial" w:eastAsia="Arial" w:hAnsi="Arial"/>
          <w:sz w:val="29"/>
          <w:szCs w:val="29"/>
          <w:b w:val="1"/>
          <w:bCs w:val="1"/>
          <w:color w:val="auto"/>
          <w:vertAlign w:val="superscript"/>
        </w:rPr>
        <w:t>21</w:t>
      </w:r>
    </w:p>
    <w:p>
      <w:pPr>
        <w:spacing w:after="0" w:line="20" w:lineRule="exact"/>
        <w:rPr>
          <w:sz w:val="20"/>
          <w:szCs w:val="20"/>
          <w:color w:val="auto"/>
        </w:rPr>
      </w:pPr>
    </w:p>
    <w:p>
      <w:pPr>
        <w:jc w:val="both"/>
        <w:ind w:left="300" w:right="299" w:firstLine="360"/>
        <w:spacing w:after="0" w:line="252" w:lineRule="auto"/>
        <w:rPr>
          <w:sz w:val="20"/>
          <w:szCs w:val="20"/>
          <w:color w:val="auto"/>
        </w:rPr>
      </w:pPr>
      <w:r>
        <w:rPr>
          <w:rFonts w:ascii="Arial" w:cs="Arial" w:eastAsia="Arial" w:hAnsi="Arial"/>
          <w:sz w:val="18"/>
          <w:szCs w:val="18"/>
          <w:color w:val="auto"/>
        </w:rPr>
        <w:t>The consolidated financial statements of the Company as of December 31, 2021, 2020 and 2019 and for each of the years in periods ended December 31, 2021, 2020, 2019, and 2018 have been audited by Baker Tilly US, LLP (“Baker Tilly”), an independent registered public accounting firm, as stated in their report thereon which report expresses an unqualified opinion and includes an emphasis of matter paragraph relating to the industry in which WMTI operates, have been included in this prospectus in reliance upon such reports and upon the authority of such firm as experts in accounting and auditing.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27940</wp:posOffset>
            </wp:positionV>
            <wp:extent cx="8229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 w:lineRule="exact"/>
        <w:rPr>
          <w:sz w:val="20"/>
          <w:szCs w:val="20"/>
          <w:color w:val="auto"/>
        </w:rPr>
      </w:pPr>
    </w:p>
    <w:p>
      <w:pPr>
        <w:ind w:left="460" w:hanging="168"/>
        <w:spacing w:after="0"/>
        <w:tabs>
          <w:tab w:leader="none" w:pos="460" w:val="left"/>
        </w:tabs>
        <w:numPr>
          <w:ilvl w:val="0"/>
          <w:numId w:val="64"/>
        </w:numPr>
        <w:rPr>
          <w:rFonts w:ascii="Arial" w:cs="Arial" w:eastAsia="Arial" w:hAnsi="Arial"/>
          <w:sz w:val="22"/>
          <w:szCs w:val="22"/>
          <w:color w:val="auto"/>
          <w:vertAlign w:val="superscript"/>
        </w:rPr>
      </w:pPr>
      <w:r>
        <w:rPr>
          <w:rFonts w:ascii="Arial" w:cs="Arial" w:eastAsia="Arial" w:hAnsi="Arial"/>
          <w:sz w:val="14"/>
          <w:szCs w:val="14"/>
          <w:color w:val="auto"/>
        </w:rPr>
        <w:t>BT to review.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3" w:name="page124"/>
    <w:bookmarkEnd w:id="12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 xml:space="preserve">We are required to file annual, quarterly and current reports, proxy statements and other information with the SEC as required by the Exchange Act. You can read our SEC filings, including this prospectus, over the Internet at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76"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 xml:space="preserve">Our website address is </w:t>
      </w:r>
      <w:r>
        <w:rPr>
          <w:rFonts w:ascii="Arial" w:cs="Arial" w:eastAsia="Arial" w:hAnsi="Arial"/>
          <w:sz w:val="17"/>
          <w:szCs w:val="17"/>
          <w:i w:val="1"/>
          <w:iCs w:val="1"/>
          <w:color w:val="auto"/>
        </w:rPr>
        <w:t>www.weedmaps.com</w:t>
      </w:r>
      <w:r>
        <w:rPr>
          <w:rFonts w:ascii="Arial" w:cs="Arial" w:eastAsia="Arial" w:hAnsi="Arial"/>
          <w:sz w:val="17"/>
          <w:szCs w:val="17"/>
          <w:color w:val="auto"/>
        </w:rPr>
        <w:t>. Through our website, we make available, free of charge, the following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4" w:name="page125"/>
    <w:bookmarkEnd w:id="124"/>
    <w:p>
      <w:pPr>
        <w:ind w:left="1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640" w:type="dxa"/>
            <w:vAlign w:val="bottom"/>
            <w:gridSpan w:val="3"/>
          </w:tcPr>
          <w:p>
            <w:pPr>
              <w:jc w:val="right"/>
              <w:ind w:right="1320"/>
              <w:spacing w:after="0"/>
              <w:rPr>
                <w:sz w:val="20"/>
                <w:szCs w:val="20"/>
                <w:color w:val="auto"/>
              </w:rPr>
            </w:pPr>
            <w:r>
              <w:rPr>
                <w:rFonts w:ascii="Arial" w:cs="Arial" w:eastAsia="Arial" w:hAnsi="Arial"/>
                <w:sz w:val="14"/>
                <w:szCs w:val="14"/>
                <w:b w:val="1"/>
                <w:bCs w:val="1"/>
                <w:color w:val="auto"/>
                <w:w w:val="89"/>
              </w:rPr>
              <w:t>Page</w:t>
            </w:r>
          </w:p>
        </w:tc>
      </w:tr>
      <w:tr>
        <w:trPr>
          <w:trHeight w:val="53"/>
        </w:trPr>
        <w:tc>
          <w:tcPr>
            <w:tcW w:w="1300" w:type="dxa"/>
            <w:vAlign w:val="bottom"/>
          </w:tcPr>
          <w:p>
            <w:pPr>
              <w:spacing w:after="0"/>
              <w:rPr>
                <w:sz w:val="4"/>
                <w:szCs w:val="4"/>
                <w:color w:val="auto"/>
              </w:rPr>
            </w:pPr>
          </w:p>
        </w:tc>
        <w:tc>
          <w:tcPr>
            <w:tcW w:w="208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2000" w:type="dxa"/>
            <w:vAlign w:val="bottom"/>
            <w:tcBorders>
              <w:bottom w:val="single" w:sz="8" w:color="CCEEFF"/>
            </w:tcBorders>
          </w:tcPr>
          <w:p>
            <w:pPr>
              <w:spacing w:after="0"/>
              <w:rPr>
                <w:sz w:val="4"/>
                <w:szCs w:val="4"/>
                <w:color w:val="auto"/>
              </w:rPr>
            </w:pPr>
          </w:p>
        </w:tc>
        <w:tc>
          <w:tcPr>
            <w:tcW w:w="18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31"/>
        </w:trPr>
        <w:tc>
          <w:tcPr>
            <w:tcW w:w="1300" w:type="dxa"/>
            <w:vAlign w:val="bottom"/>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tcBorders>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29"/>
        </w:trPr>
        <w:tc>
          <w:tcPr>
            <w:tcW w:w="1300" w:type="dxa"/>
            <w:vAlign w:val="bottom"/>
          </w:tcPr>
          <w:p>
            <w:pPr>
              <w:spacing w:after="0"/>
              <w:rPr>
                <w:sz w:val="19"/>
                <w:szCs w:val="19"/>
                <w:color w:val="auto"/>
              </w:rPr>
            </w:pPr>
          </w:p>
        </w:tc>
        <w:tc>
          <w:tcPr>
            <w:tcW w:w="6200" w:type="dxa"/>
            <w:vAlign w:val="bottom"/>
            <w:gridSpan w:val="7"/>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Report of Independent Registered Public Accounting Firm</w:t>
              </w:r>
            </w:hyperlink>
          </w:p>
        </w:tc>
        <w:tc>
          <w:tcPr>
            <w:tcW w:w="1880" w:type="dxa"/>
            <w:vAlign w:val="bottom"/>
          </w:tcPr>
          <w:p>
            <w:pPr>
              <w:spacing w:after="0"/>
              <w:rPr>
                <w:sz w:val="19"/>
                <w:szCs w:val="19"/>
                <w:color w:val="auto"/>
              </w:rPr>
            </w:pPr>
          </w:p>
        </w:tc>
        <w:tc>
          <w:tcPr>
            <w:tcW w:w="1640" w:type="dxa"/>
            <w:vAlign w:val="bottom"/>
            <w:gridSpan w:val="3"/>
          </w:tcPr>
          <w:p>
            <w:pPr>
              <w:jc w:val="right"/>
              <w:ind w:right="1320"/>
              <w:spacing w:after="0"/>
              <w:rPr>
                <w:rFonts w:ascii="Arial" w:cs="Arial" w:eastAsia="Arial" w:hAnsi="Arial"/>
                <w:sz w:val="18"/>
                <w:szCs w:val="18"/>
                <w:color w:val="0000EE"/>
              </w:rPr>
            </w:pPr>
            <w:hyperlink w:anchor="page126">
              <w:r>
                <w:rPr>
                  <w:rFonts w:ascii="Arial" w:cs="Arial" w:eastAsia="Arial" w:hAnsi="Arial"/>
                  <w:sz w:val="18"/>
                  <w:szCs w:val="18"/>
                  <w:color w:val="0000EE"/>
                </w:rPr>
                <w:t>F-2</w:t>
              </w:r>
            </w:hyperlink>
          </w:p>
        </w:tc>
      </w:tr>
      <w:tr>
        <w:trPr>
          <w:trHeight w:val="74"/>
        </w:trPr>
        <w:tc>
          <w:tcPr>
            <w:tcW w:w="1300" w:type="dxa"/>
            <w:vAlign w:val="bottom"/>
          </w:tcPr>
          <w:p>
            <w:pPr>
              <w:spacing w:after="0"/>
              <w:rPr>
                <w:sz w:val="6"/>
                <w:szCs w:val="6"/>
                <w:color w:val="auto"/>
              </w:rPr>
            </w:pPr>
          </w:p>
        </w:tc>
        <w:tc>
          <w:tcPr>
            <w:tcW w:w="208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6200" w:type="dxa"/>
            <w:vAlign w:val="bottom"/>
            <w:gridSpan w:val="7"/>
            <w:shd w:val="clear" w:color="auto" w:fill="CCEEFF"/>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Consolidated Balance Sheets</w:t>
              </w:r>
            </w:hyperlink>
          </w:p>
        </w:tc>
        <w:tc>
          <w:tcPr>
            <w:tcW w:w="1880" w:type="dxa"/>
            <w:vAlign w:val="bottom"/>
            <w:shd w:val="clear" w:color="auto" w:fill="CCEEFF"/>
          </w:tcPr>
          <w:p>
            <w:pPr>
              <w:spacing w:after="0"/>
              <w:rPr>
                <w:sz w:val="19"/>
                <w:szCs w:val="19"/>
                <w:color w:val="auto"/>
              </w:rPr>
            </w:pPr>
          </w:p>
        </w:tc>
        <w:tc>
          <w:tcPr>
            <w:tcW w:w="340" w:type="dxa"/>
            <w:vAlign w:val="bottom"/>
            <w:tcBorders>
              <w:right w:val="single" w:sz="8" w:color="CCEEFF"/>
            </w:tcBorders>
            <w:gridSpan w:val="2"/>
            <w:shd w:val="clear" w:color="auto" w:fill="CCEEFF"/>
          </w:tcPr>
          <w:p>
            <w:pPr>
              <w:jc w:val="right"/>
              <w:ind w:right="20"/>
              <w:spacing w:after="0"/>
              <w:rPr>
                <w:rFonts w:ascii="Arial" w:cs="Arial" w:eastAsia="Arial" w:hAnsi="Arial"/>
                <w:sz w:val="18"/>
                <w:szCs w:val="18"/>
                <w:color w:val="0000EE"/>
              </w:rPr>
            </w:pPr>
            <w:hyperlink w:anchor="page130">
              <w:r>
                <w:rPr>
                  <w:rFonts w:ascii="Arial" w:cs="Arial" w:eastAsia="Arial" w:hAnsi="Arial"/>
                  <w:sz w:val="18"/>
                  <w:szCs w:val="18"/>
                  <w:color w:val="0000EE"/>
                </w:rPr>
                <w:t>F-6</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208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2000" w:type="dxa"/>
            <w:vAlign w:val="bottom"/>
            <w:tcBorders>
              <w:top w:val="single" w:sz="8" w:color="CCEEFF"/>
            </w:tcBorders>
            <w:shd w:val="clear" w:color="auto" w:fill="CCEEFF"/>
          </w:tcPr>
          <w:p>
            <w:pPr>
              <w:spacing w:after="0"/>
              <w:rPr>
                <w:sz w:val="6"/>
                <w:szCs w:val="6"/>
                <w:color w:val="auto"/>
              </w:rPr>
            </w:pPr>
          </w:p>
        </w:tc>
        <w:tc>
          <w:tcPr>
            <w:tcW w:w="1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6200" w:type="dxa"/>
            <w:vAlign w:val="bottom"/>
            <w:gridSpan w:val="7"/>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Consolidated Statements of Operations</w:t>
              </w:r>
            </w:hyperlink>
          </w:p>
        </w:tc>
        <w:tc>
          <w:tcPr>
            <w:tcW w:w="1880" w:type="dxa"/>
            <w:vAlign w:val="bottom"/>
          </w:tcPr>
          <w:p>
            <w:pPr>
              <w:spacing w:after="0"/>
              <w:rPr>
                <w:sz w:val="19"/>
                <w:szCs w:val="19"/>
                <w:color w:val="auto"/>
              </w:rPr>
            </w:pPr>
          </w:p>
        </w:tc>
        <w:tc>
          <w:tcPr>
            <w:tcW w:w="1640" w:type="dxa"/>
            <w:vAlign w:val="bottom"/>
            <w:gridSpan w:val="3"/>
          </w:tcPr>
          <w:p>
            <w:pPr>
              <w:jc w:val="right"/>
              <w:ind w:right="1320"/>
              <w:spacing w:after="0"/>
              <w:rPr>
                <w:rFonts w:ascii="Arial" w:cs="Arial" w:eastAsia="Arial" w:hAnsi="Arial"/>
                <w:sz w:val="18"/>
                <w:szCs w:val="18"/>
                <w:color w:val="0000EE"/>
              </w:rPr>
            </w:pPr>
            <w:hyperlink w:anchor="page132">
              <w:r>
                <w:rPr>
                  <w:rFonts w:ascii="Arial" w:cs="Arial" w:eastAsia="Arial" w:hAnsi="Arial"/>
                  <w:sz w:val="18"/>
                  <w:szCs w:val="18"/>
                  <w:color w:val="0000EE"/>
                </w:rPr>
                <w:t>F-7</w:t>
              </w:r>
            </w:hyperlink>
          </w:p>
        </w:tc>
      </w:tr>
      <w:tr>
        <w:trPr>
          <w:trHeight w:val="74"/>
        </w:trPr>
        <w:tc>
          <w:tcPr>
            <w:tcW w:w="1300" w:type="dxa"/>
            <w:vAlign w:val="bottom"/>
          </w:tcPr>
          <w:p>
            <w:pPr>
              <w:spacing w:after="0"/>
              <w:rPr>
                <w:sz w:val="6"/>
                <w:szCs w:val="6"/>
                <w:color w:val="auto"/>
              </w:rPr>
            </w:pPr>
          </w:p>
        </w:tc>
        <w:tc>
          <w:tcPr>
            <w:tcW w:w="208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6200" w:type="dxa"/>
            <w:vAlign w:val="bottom"/>
            <w:gridSpan w:val="7"/>
            <w:shd w:val="clear" w:color="auto" w:fill="CCEEFF"/>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Consolidated Statements of Equity</w:t>
              </w:r>
            </w:hyperlink>
          </w:p>
        </w:tc>
        <w:tc>
          <w:tcPr>
            <w:tcW w:w="1880" w:type="dxa"/>
            <w:vAlign w:val="bottom"/>
            <w:shd w:val="clear" w:color="auto" w:fill="CCEEFF"/>
          </w:tcPr>
          <w:p>
            <w:pPr>
              <w:spacing w:after="0"/>
              <w:rPr>
                <w:sz w:val="19"/>
                <w:szCs w:val="19"/>
                <w:color w:val="auto"/>
              </w:rPr>
            </w:pPr>
          </w:p>
        </w:tc>
        <w:tc>
          <w:tcPr>
            <w:tcW w:w="340" w:type="dxa"/>
            <w:vAlign w:val="bottom"/>
            <w:tcBorders>
              <w:right w:val="single" w:sz="8" w:color="CCEEFF"/>
            </w:tcBorders>
            <w:gridSpan w:val="2"/>
            <w:shd w:val="clear" w:color="auto" w:fill="CCEEFF"/>
          </w:tcPr>
          <w:p>
            <w:pPr>
              <w:jc w:val="right"/>
              <w:ind w:right="20"/>
              <w:spacing w:after="0"/>
              <w:rPr>
                <w:rFonts w:ascii="Arial" w:cs="Arial" w:eastAsia="Arial" w:hAnsi="Arial"/>
                <w:sz w:val="18"/>
                <w:szCs w:val="18"/>
                <w:color w:val="0000EE"/>
              </w:rPr>
            </w:pPr>
            <w:hyperlink w:anchor="page133">
              <w:r>
                <w:rPr>
                  <w:rFonts w:ascii="Arial" w:cs="Arial" w:eastAsia="Arial" w:hAnsi="Arial"/>
                  <w:sz w:val="18"/>
                  <w:szCs w:val="18"/>
                  <w:color w:val="0000EE"/>
                </w:rPr>
                <w:t>F-8</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208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2000" w:type="dxa"/>
            <w:vAlign w:val="bottom"/>
            <w:tcBorders>
              <w:top w:val="single" w:sz="8" w:color="CCEEFF"/>
            </w:tcBorders>
            <w:shd w:val="clear" w:color="auto" w:fill="CCEEFF"/>
          </w:tcPr>
          <w:p>
            <w:pPr>
              <w:spacing w:after="0"/>
              <w:rPr>
                <w:sz w:val="6"/>
                <w:szCs w:val="6"/>
                <w:color w:val="auto"/>
              </w:rPr>
            </w:pPr>
          </w:p>
        </w:tc>
        <w:tc>
          <w:tcPr>
            <w:tcW w:w="1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6200" w:type="dxa"/>
            <w:vAlign w:val="bottom"/>
            <w:gridSpan w:val="7"/>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Consolidated Statements of Cash Flows</w:t>
              </w:r>
            </w:hyperlink>
          </w:p>
        </w:tc>
        <w:tc>
          <w:tcPr>
            <w:tcW w:w="3520" w:type="dxa"/>
            <w:vAlign w:val="bottom"/>
            <w:gridSpan w:val="4"/>
          </w:tcPr>
          <w:p>
            <w:pPr>
              <w:ind w:left="1880"/>
              <w:spacing w:after="0"/>
              <w:rPr>
                <w:rFonts w:ascii="Arial" w:cs="Arial" w:eastAsia="Arial" w:hAnsi="Arial"/>
                <w:sz w:val="18"/>
                <w:szCs w:val="18"/>
                <w:color w:val="0000EE"/>
              </w:rPr>
            </w:pPr>
            <w:hyperlink w:anchor="page134">
              <w:r>
                <w:rPr>
                  <w:rFonts w:ascii="Arial" w:cs="Arial" w:eastAsia="Arial" w:hAnsi="Arial"/>
                  <w:sz w:val="18"/>
                  <w:szCs w:val="18"/>
                  <w:color w:val="0000EE"/>
                </w:rPr>
                <w:t>F-10</w:t>
              </w:r>
            </w:hyperlink>
          </w:p>
        </w:tc>
      </w:tr>
      <w:tr>
        <w:trPr>
          <w:trHeight w:val="75"/>
        </w:trPr>
        <w:tc>
          <w:tcPr>
            <w:tcW w:w="1300" w:type="dxa"/>
            <w:vAlign w:val="bottom"/>
          </w:tcPr>
          <w:p>
            <w:pPr>
              <w:spacing w:after="0"/>
              <w:rPr>
                <w:sz w:val="6"/>
                <w:szCs w:val="6"/>
                <w:color w:val="auto"/>
              </w:rPr>
            </w:pPr>
          </w:p>
        </w:tc>
        <w:tc>
          <w:tcPr>
            <w:tcW w:w="208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6200" w:type="dxa"/>
            <w:vAlign w:val="bottom"/>
            <w:gridSpan w:val="7"/>
            <w:shd w:val="clear" w:color="auto" w:fill="CCEEFF"/>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Notes to Consolidated Financial Statements</w:t>
              </w:r>
            </w:hyperlink>
          </w:p>
        </w:tc>
        <w:tc>
          <w:tcPr>
            <w:tcW w:w="2220" w:type="dxa"/>
            <w:vAlign w:val="bottom"/>
            <w:tcBorders>
              <w:right w:val="single" w:sz="8" w:color="CCEEFF"/>
            </w:tcBorders>
            <w:gridSpan w:val="3"/>
            <w:shd w:val="clear" w:color="auto" w:fill="CCEEFF"/>
          </w:tcPr>
          <w:p>
            <w:pPr>
              <w:jc w:val="right"/>
              <w:spacing w:after="0"/>
              <w:rPr>
                <w:rFonts w:ascii="Arial" w:cs="Arial" w:eastAsia="Arial" w:hAnsi="Arial"/>
                <w:sz w:val="18"/>
                <w:szCs w:val="18"/>
                <w:color w:val="0000EE"/>
              </w:rPr>
            </w:pPr>
            <w:hyperlink w:anchor="page136">
              <w:r>
                <w:rPr>
                  <w:rFonts w:ascii="Arial" w:cs="Arial" w:eastAsia="Arial" w:hAnsi="Arial"/>
                  <w:sz w:val="18"/>
                  <w:szCs w:val="18"/>
                  <w:color w:val="0000EE"/>
                </w:rPr>
                <w:t>F-11</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208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2000" w:type="dxa"/>
            <w:vAlign w:val="bottom"/>
            <w:tcBorders>
              <w:top w:val="single" w:sz="8" w:color="CCEEFF"/>
            </w:tcBorders>
            <w:shd w:val="clear" w:color="auto" w:fill="CCEEFF"/>
          </w:tcPr>
          <w:p>
            <w:pPr>
              <w:spacing w:after="0"/>
              <w:rPr>
                <w:sz w:val="6"/>
                <w:szCs w:val="6"/>
                <w:color w:val="auto"/>
              </w:rPr>
            </w:pPr>
          </w:p>
        </w:tc>
        <w:tc>
          <w:tcPr>
            <w:tcW w:w="1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432"/>
        </w:trPr>
        <w:tc>
          <w:tcPr>
            <w:tcW w:w="13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60" w:type="dxa"/>
            <w:vAlign w:val="bottom"/>
            <w:gridSpan w:val="2"/>
          </w:tcPr>
          <w:p>
            <w:pPr>
              <w:ind w:left="940"/>
              <w:spacing w:after="0"/>
              <w:rPr>
                <w:sz w:val="20"/>
                <w:szCs w:val="20"/>
                <w:color w:val="auto"/>
              </w:rPr>
            </w:pPr>
            <w:r>
              <w:rPr>
                <w:rFonts w:ascii="Arial" w:cs="Arial" w:eastAsia="Arial" w:hAnsi="Arial"/>
                <w:sz w:val="18"/>
                <w:szCs w:val="18"/>
                <w:color w:val="auto"/>
              </w:rPr>
              <w:t>F-1</w:t>
            </w: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5920740</wp:posOffset>
            </wp:positionH>
            <wp:positionV relativeFrom="paragraph">
              <wp:posOffset>-1859280</wp:posOffset>
            </wp:positionV>
            <wp:extent cx="342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25" w:name="page126"/>
    <w:bookmarkEnd w:id="12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To The Stockholders and Board of Directors of WM Technology, Inc.</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We have audited the accompanying consolidated balance sheets of WM Technology, Inc. (the Company) as of December 31, 2021 and 2020, the related consolidated statements of operations, changes in stockholders’ equity and cash flows for the three years in the period ended December 31, 2021, and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Adoption of ASU No. 2016-02</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As discussed in Note 2 to the consolidated financial statements, effective January 1, 2021, the Company adopted Accounting Standards Codification Topic 842, Leases (Topic 842).</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53"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58"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Emphasis of Matter Related to the Company’s Operations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Company is an organization that provides online directory services to legalized cannabis companies. As discussed in Note 2, the Company operates in an industry where laws and regulations vary significantly by jurisdiction. Currently, several states permit medicinal or recreational use of cannabis; however, the use of cannabis is prohibited on a federal level in the United States. If any of the states that permit use of cannabis were to change their laws or the federal government was to actively enforce such prohibition, the Company’s business could be adversely affected.</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Critical Audit Matters</w:t>
      </w:r>
    </w:p>
    <w:p>
      <w:pPr>
        <w:spacing w:after="0" w:line="121"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w:t>
      </w:r>
    </w:p>
    <w:p>
      <w:pPr>
        <w:spacing w:after="0" w:line="2" w:lineRule="exact"/>
        <w:rPr>
          <w:sz w:val="20"/>
          <w:szCs w:val="20"/>
          <w:color w:val="auto"/>
        </w:rPr>
      </w:pPr>
    </w:p>
    <w:p>
      <w:pPr>
        <w:jc w:val="both"/>
        <w:ind w:left="300" w:right="319" w:hanging="8"/>
        <w:spacing w:after="0" w:line="253" w:lineRule="auto"/>
        <w:tabs>
          <w:tab w:leader="none" w:pos="589"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6" w:name="page127"/>
    <w:bookmarkEnd w:id="12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Revenue Recognition</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Critical Audit Matter Description</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As discussed in Note 2 to the consolidated financial statements, the Company generates revenue derived primarily from monthly subscriptions and additional offerings for access to the Company’s software platform and other software as a service solutions. The Company’s contracts with customers can involve multiple performance obligations and rights. The Company recognized $193.1 million of revenue for the year ended December 31, 2021 related to such contracts.</w:t>
      </w:r>
    </w:p>
    <w:p>
      <w:pPr>
        <w:spacing w:after="0" w:line="8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identified the evaluation of the Company’s analysis of terms and conditions in contracts with customers and their effect on revenue recognition as a critical audit matter. Complex auditor judgment was required to assess the Company’s determination of the performance obligations in such contracts and recognition of such items as over time or point-in-time.</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How We Addressed the Matter in Our Audit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117" w:lineRule="exact"/>
        <w:rPr>
          <w:sz w:val="20"/>
          <w:szCs w:val="20"/>
          <w:color w:val="auto"/>
        </w:rPr>
      </w:pPr>
    </w:p>
    <w:p>
      <w:pPr>
        <w:ind w:left="1000" w:right="319" w:hanging="348"/>
        <w:spacing w:after="0" w:line="277"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Obtaining an understanding of the Company’s revenue recognition policy and evaluated for appropriateness.</w:t>
      </w:r>
    </w:p>
    <w:p>
      <w:pPr>
        <w:spacing w:after="0" w:line="62"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Evaluating the design and implementation of certain internal controls related to the Company’s revenue recognition process, including controls related to the Company’s analysis of terms and conditions review of contracts with customers and their effect on revenue recognition.</w:t>
      </w:r>
    </w:p>
    <w:p>
      <w:pPr>
        <w:spacing w:after="0" w:line="75"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Inquiring of personnel outside of the accounting function to corroborate our understanding of certain terms and conditions for a selection of revenue transactions.</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Testing a sample of revenue transactions by inspecting the underlying customer agreements and invoices, and evaluating the Company’s recognition in accordance with revenue recognition policies.</w:t>
      </w:r>
    </w:p>
    <w:p>
      <w:pPr>
        <w:spacing w:after="0" w:line="3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Tested a sample of revenue contracts to ensure appropriate identification of performance obligations and recognition of either point-in-time or over-time.</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Valuation of Intangible Assets in the Sprout and Transportation Logistics Holding Acquisitions</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Critical Audit Matter Description</w:t>
      </w:r>
    </w:p>
    <w:p>
      <w:pPr>
        <w:spacing w:after="0" w:line="11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As discussed in Note 7 to the consolidated financial statements, on September 3, 2021 and September 29, 2021, the Company acquired certain businesses of Sprout and Transportation Logistics Holding, LLC, respectively. The transactions were accounted for as business combinations and the assets acquired and liabilities assumed have been recorded based on preliminary estimates of fair value and are subject to change based on the finalization of their fair values of the assets acquired and liabilities assumed.</w:t>
      </w:r>
    </w:p>
    <w:p>
      <w:pPr>
        <w:spacing w:after="0" w:line="68"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Auditing management’s preliminary valuation of the software technology assets in the acquisitions was complex and judgmental due to the significant estimation uncertainty in the Company’s determination of the preliminary fair values of software technology assets. In addition, a large portion of the consideration transferred was allocated to goodwill and thus the identification of other potential intangible assets in the acquisition requires complex judgment. The significant estimation uncertainty was primarily due to the sensitivity of the fair value to underlying assumptions including forecasted revenue growth rates, forecasted profit margin, and the discount rate. These significant assumptions are forward looking and could be affected by future economic and market conditions.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7" w:name="page128"/>
    <w:bookmarkEnd w:id="12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How We Addressed the Matter in Our Audit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117" w:lineRule="exact"/>
        <w:rPr>
          <w:sz w:val="20"/>
          <w:szCs w:val="20"/>
          <w:color w:val="auto"/>
        </w:rPr>
      </w:pPr>
    </w:p>
    <w:p>
      <w:pPr>
        <w:jc w:val="both"/>
        <w:ind w:left="1000" w:right="299" w:hanging="348"/>
        <w:spacing w:after="0" w:line="259"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Obtained an understanding and evaluated the design and implementation of the Company's controls over its estimation process supporting the recognition and measurement of the customer and vendor relationships intangible assets, including controls over management’s evaluation of the methodology and underlying assumptions used in determining the fair value.</w:t>
      </w:r>
    </w:p>
    <w:p>
      <w:pPr>
        <w:spacing w:after="0" w:line="78" w:lineRule="exact"/>
        <w:rPr>
          <w:rFonts w:ascii="Arial" w:cs="Arial" w:eastAsia="Arial" w:hAnsi="Arial"/>
          <w:sz w:val="18"/>
          <w:szCs w:val="18"/>
          <w:color w:val="auto"/>
        </w:rPr>
      </w:pPr>
    </w:p>
    <w:p>
      <w:pPr>
        <w:jc w:val="both"/>
        <w:ind w:left="1000" w:right="299" w:hanging="348"/>
        <w:spacing w:after="0" w:line="275" w:lineRule="auto"/>
        <w:tabs>
          <w:tab w:leader="none" w:pos="10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Evaluated the Company's selection of the valuation methodology and significant assumptions used by the Company in the valuation of the intangible assets, and the reasonableness of significant assumptions and estimates. For example, we performed analyses to evaluate the sensitivity of changes in assumptions to the fair value of the customer relationships intangible asset and compared the significant assumptions to current industry and market and economic trends.</w:t>
      </w:r>
    </w:p>
    <w:p>
      <w:pPr>
        <w:spacing w:after="0" w:line="68" w:lineRule="exact"/>
        <w:rPr>
          <w:rFonts w:ascii="Arial" w:cs="Arial" w:eastAsia="Arial" w:hAnsi="Arial"/>
          <w:sz w:val="17"/>
          <w:szCs w:val="17"/>
          <w:color w:val="auto"/>
        </w:rPr>
      </w:pPr>
    </w:p>
    <w:p>
      <w:pPr>
        <w:ind w:left="1000" w:right="319" w:hanging="348"/>
        <w:spacing w:after="0" w:line="308" w:lineRule="auto"/>
        <w:tabs>
          <w:tab w:leader="none" w:pos="10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Involved auditor engaged valuation specialist to assist with our evaluation of the methodologies used by the Company and significant assumptions included in the preliminary fair value estimates.</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Tested the clerical accuracy of the models.</w:t>
      </w:r>
    </w:p>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Measurement of the Tax Receivable Agreement Asset and Liability</w:t>
      </w:r>
    </w:p>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Critical Audit Matter Description</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As discussed in Note 2 and Note 14 of the consolidated financial statements, the Company entered into a Tax Receivable Agreement (the “TRA”) with certain current and historical holders of LLC units of WM Holding Company, LLC (“WMH LLC”), which is a contractual commitment to distribute 85% of any tax benefits (the “TRA liability”), realized or deemed to be realized by the Company to the parties to the TRA. In connection with such potential future tax benefits, the Company has established a deferred tax asset for the additional tax basis and a corresponding TRA liability for 85% of the expected benefit. The TRA payments are contingent upon, among other things, the generation of future taxable income over the term of the TRA and future changes in tax laws. At December 31, 2021, the Company’s deferred tax asset associated with the TRA is approximately $151.3 million (the “TRA asset”), which is included as a component of the overall deferred tax asset of approximately $152.1 million. The liability due to the holders of WMH LLC interests under the TRA was approximately $128.6 million as of December 31, 2021.</w:t>
      </w:r>
    </w:p>
    <w:p>
      <w:pPr>
        <w:spacing w:after="0" w:line="74"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Auditing management’s accounting for the TRA asset and liability is especially complex and judgmental as the Company’s calculation of the TRA asset and liability requires estimates of its future qualified taxable income over the term of the TRA as a basis to determine if the related tax benefits are expected to be realized. Significant changes in estimates could have a material effect on the Company’s results of operations.</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How We Addressed the Matter in Our Audit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117" w:lineRule="exact"/>
        <w:rPr>
          <w:sz w:val="20"/>
          <w:szCs w:val="20"/>
          <w:color w:val="auto"/>
        </w:rPr>
      </w:pPr>
    </w:p>
    <w:p>
      <w:pPr>
        <w:ind w:left="1000" w:right="319" w:hanging="348"/>
        <w:spacing w:after="0" w:line="277"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Obtained an understanding and evaluated the design and implementation of controls over the Company’s process for determining the measurement of the TRA asset and liability.</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Tested the completeness and accuracy of the deferred tax asset related to the basis difference in the investment in WMH LLC.</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Recalculated the change in tax basis resulting from the transaction, including the determination of fair value.</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Tested the measurement of the Company’s TRA liability by recalculating the Company’s share of the tax basis in the net assets of WMH LLC.</w:t>
      </w:r>
    </w:p>
    <w:p>
      <w:pPr>
        <w:spacing w:after="0" w:line="62" w:lineRule="exact"/>
        <w:rPr>
          <w:rFonts w:ascii="Arial" w:cs="Arial" w:eastAsia="Arial" w:hAnsi="Arial"/>
          <w:sz w:val="18"/>
          <w:szCs w:val="18"/>
          <w:color w:val="auto"/>
        </w:rPr>
      </w:pPr>
    </w:p>
    <w:p>
      <w:pPr>
        <w:jc w:val="both"/>
        <w:ind w:left="1000" w:right="299" w:hanging="348"/>
        <w:spacing w:after="0" w:line="257"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Tested the Company’s position that there will be sufficient future taxable income to realize the tax benefits related to the redemptions discussed above, and we evaluated the assumptions used by management to develop the projections of future taxable income. For example, we compared management’s projections of future taxable income with the actual results of prior periods, as well as management’s consideration of current industry and economic trends.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8" w:name="page129"/>
    <w:bookmarkEnd w:id="12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308" w:lineRule="auto"/>
        <w:tabs>
          <w:tab w:leader="none" w:pos="10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We also assessed the historical accuracy of management’s projections and reconciled the projections of future taxable income with other forecasted financial information prepared by the Company.</w:t>
      </w:r>
    </w:p>
    <w:p>
      <w:pPr>
        <w:spacing w:after="0" w:line="3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Recalculated the TRA liability and verified the calculation of the TRA liability was in accordance with the terms set out in the TRA.</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Involved auditor engaged tax specialists to assist with the performance of such audit procedures listed above.</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 Baker Tilly US, LLP</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have served as the Company's auditor since 2014.</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February 25, 2022</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9" w:name="page130"/>
    <w:bookmarkEnd w:id="12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175" w:lineRule="exact"/>
        <w:rPr>
          <w:sz w:val="20"/>
          <w:szCs w:val="20"/>
          <w:color w:val="auto"/>
        </w:rPr>
      </w:pPr>
    </w:p>
    <w:p>
      <w:pPr>
        <w:ind w:left="75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49530</wp:posOffset>
            </wp:positionV>
            <wp:extent cx="102044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98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2021</w:t>
            </w:r>
          </w:p>
        </w:tc>
        <w:tc>
          <w:tcPr>
            <w:tcW w:w="9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2020</w:t>
            </w:r>
          </w:p>
        </w:tc>
      </w:tr>
      <w:tr>
        <w:trPr>
          <w:trHeight w:val="53"/>
        </w:trPr>
        <w:tc>
          <w:tcPr>
            <w:tcW w:w="650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311"/>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right w:val="single" w:sz="8" w:color="CCEEFF"/>
            </w:tcBorders>
            <w:shd w:val="clear" w:color="auto" w:fill="CCEEFF"/>
          </w:tcPr>
          <w:p>
            <w:pPr>
              <w:spacing w:after="0"/>
              <w:rPr>
                <w:sz w:val="24"/>
                <w:szCs w:val="24"/>
                <w:color w:val="auto"/>
              </w:rPr>
            </w:pPr>
          </w:p>
        </w:tc>
      </w:tr>
      <w:tr>
        <w:trPr>
          <w:trHeight w:val="270"/>
        </w:trPr>
        <w:tc>
          <w:tcPr>
            <w:tcW w:w="650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54"/>
        </w:trPr>
        <w:tc>
          <w:tcPr>
            <w:tcW w:w="6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304"/>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$ 67,777</w:t>
            </w:r>
          </w:p>
        </w:tc>
        <w:tc>
          <w:tcPr>
            <w:tcW w:w="9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$19,919</w:t>
            </w:r>
          </w:p>
        </w:tc>
      </w:tr>
      <w:tr>
        <w:trPr>
          <w:trHeight w:val="270"/>
        </w:trPr>
        <w:tc>
          <w:tcPr>
            <w:tcW w:w="650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17,550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9,428</w:t>
            </w:r>
          </w:p>
        </w:tc>
      </w:tr>
      <w:tr>
        <w:trPr>
          <w:trHeight w:val="54"/>
        </w:trPr>
        <w:tc>
          <w:tcPr>
            <w:tcW w:w="6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57"/>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13,607</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4,820</w:t>
            </w:r>
          </w:p>
        </w:tc>
      </w:tr>
      <w:tr>
        <w:trPr>
          <w:trHeight w:val="61"/>
        </w:trPr>
        <w:tc>
          <w:tcPr>
            <w:tcW w:w="65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right w:val="single" w:sz="8" w:color="CCEEFF"/>
            </w:tcBorders>
            <w:shd w:val="clear" w:color="auto" w:fill="CCEEFF"/>
          </w:tcPr>
          <w:p>
            <w:pPr>
              <w:spacing w:after="0"/>
              <w:rPr>
                <w:sz w:val="5"/>
                <w:szCs w:val="5"/>
                <w:color w:val="auto"/>
              </w:rPr>
            </w:pPr>
          </w:p>
        </w:tc>
      </w:tr>
      <w:tr>
        <w:trPr>
          <w:trHeight w:val="283"/>
        </w:trPr>
        <w:tc>
          <w:tcPr>
            <w:tcW w:w="650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98,934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34,167</w:t>
            </w:r>
          </w:p>
        </w:tc>
      </w:tr>
      <w:tr>
        <w:trPr>
          <w:trHeight w:val="54"/>
        </w:trPr>
        <w:tc>
          <w:tcPr>
            <w:tcW w:w="6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304"/>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13,283</w:t>
            </w:r>
          </w:p>
        </w:tc>
        <w:tc>
          <w:tcPr>
            <w:tcW w:w="9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7,387</w:t>
            </w:r>
          </w:p>
        </w:tc>
      </w:tr>
      <w:tr>
        <w:trPr>
          <w:trHeight w:val="270"/>
        </w:trPr>
        <w:tc>
          <w:tcPr>
            <w:tcW w:w="6500" w:type="dxa"/>
            <w:vAlign w:val="bottom"/>
          </w:tcPr>
          <w:p>
            <w:pPr>
              <w:spacing w:after="0"/>
              <w:rPr>
                <w:sz w:val="20"/>
                <w:szCs w:val="20"/>
                <w:color w:val="auto"/>
              </w:rPr>
            </w:pPr>
            <w:r>
              <w:rPr>
                <w:rFonts w:ascii="Arial" w:cs="Arial" w:eastAsia="Arial" w:hAnsi="Arial"/>
                <w:sz w:val="18"/>
                <w:szCs w:val="18"/>
                <w:color w:val="auto"/>
              </w:rPr>
              <w:t>Goodwill</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45,295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3,961</w:t>
            </w:r>
          </w:p>
        </w:tc>
      </w:tr>
      <w:tr>
        <w:trPr>
          <w:trHeight w:val="54"/>
        </w:trPr>
        <w:tc>
          <w:tcPr>
            <w:tcW w:w="6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304"/>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8,299</w:t>
            </w:r>
          </w:p>
        </w:tc>
        <w:tc>
          <w:tcPr>
            <w:tcW w:w="9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4,505</w:t>
            </w:r>
          </w:p>
        </w:tc>
      </w:tr>
      <w:tr>
        <w:trPr>
          <w:trHeight w:val="270"/>
        </w:trPr>
        <w:tc>
          <w:tcPr>
            <w:tcW w:w="6500" w:type="dxa"/>
            <w:vAlign w:val="bottom"/>
          </w:tcPr>
          <w:p>
            <w:pPr>
              <w:spacing w:after="0"/>
              <w:rPr>
                <w:sz w:val="20"/>
                <w:szCs w:val="20"/>
                <w:color w:val="auto"/>
              </w:rPr>
            </w:pPr>
            <w:r>
              <w:rPr>
                <w:rFonts w:ascii="Arial" w:cs="Arial" w:eastAsia="Arial" w:hAnsi="Arial"/>
                <w:sz w:val="18"/>
                <w:szCs w:val="18"/>
                <w:color w:val="auto"/>
              </w:rPr>
              <w:t>Right-of-use assets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36,549</w:t>
            </w:r>
          </w:p>
        </w:tc>
        <w:tc>
          <w:tcPr>
            <w:tcW w:w="3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6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304"/>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152,097</w:t>
            </w:r>
          </w:p>
        </w:tc>
        <w:tc>
          <w:tcPr>
            <w:tcW w:w="3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6500" w:type="dxa"/>
            <w:vAlign w:val="bottom"/>
          </w:tcPr>
          <w:p>
            <w:pPr>
              <w:spacing w:after="0"/>
              <w:rPr>
                <w:sz w:val="20"/>
                <w:szCs w:val="20"/>
                <w:color w:val="auto"/>
              </w:rPr>
            </w:pPr>
            <w:r>
              <w:rPr>
                <w:rFonts w:ascii="Arial" w:cs="Arial" w:eastAsia="Arial" w:hAnsi="Arial"/>
                <w:sz w:val="18"/>
                <w:szCs w:val="18"/>
                <w:color w:val="auto"/>
              </w:rPr>
              <w:t>Other assets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10,687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3,874</w:t>
            </w:r>
          </w:p>
        </w:tc>
      </w:tr>
      <w:tr>
        <w:trPr>
          <w:trHeight w:val="61"/>
        </w:trPr>
        <w:tc>
          <w:tcPr>
            <w:tcW w:w="6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r>
      <w:tr>
        <w:trPr>
          <w:trHeight w:val="358"/>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365,144</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53,894</w:t>
            </w:r>
          </w:p>
        </w:tc>
      </w:tr>
      <w:tr>
        <w:trPr>
          <w:trHeight w:val="311"/>
        </w:trPr>
        <w:tc>
          <w:tcPr>
            <w:tcW w:w="65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Liabilities and Equity</w:t>
            </w:r>
          </w:p>
        </w:tc>
        <w:tc>
          <w:tcPr>
            <w:tcW w:w="30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r>
      <w:tr>
        <w:trPr>
          <w:trHeight w:val="54"/>
        </w:trPr>
        <w:tc>
          <w:tcPr>
            <w:tcW w:w="6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304"/>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right w:val="single" w:sz="8" w:color="CCEEFF"/>
            </w:tcBorders>
            <w:shd w:val="clear" w:color="auto" w:fill="CCEEFF"/>
          </w:tcPr>
          <w:p>
            <w:pPr>
              <w:spacing w:after="0"/>
              <w:rPr>
                <w:sz w:val="24"/>
                <w:szCs w:val="24"/>
                <w:color w:val="auto"/>
              </w:rPr>
            </w:pPr>
          </w:p>
        </w:tc>
      </w:tr>
      <w:tr>
        <w:trPr>
          <w:trHeight w:val="270"/>
        </w:trPr>
        <w:tc>
          <w:tcPr>
            <w:tcW w:w="650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$ 23,155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$12,651</w:t>
            </w:r>
          </w:p>
        </w:tc>
      </w:tr>
      <w:tr>
        <w:trPr>
          <w:trHeight w:val="54"/>
        </w:trPr>
        <w:tc>
          <w:tcPr>
            <w:tcW w:w="6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304"/>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8,057</w:t>
            </w:r>
          </w:p>
        </w:tc>
        <w:tc>
          <w:tcPr>
            <w:tcW w:w="9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5,264</w:t>
            </w:r>
          </w:p>
        </w:tc>
      </w:tr>
      <w:tr>
        <w:trPr>
          <w:trHeight w:val="270"/>
        </w:trPr>
        <w:tc>
          <w:tcPr>
            <w:tcW w:w="6500" w:type="dxa"/>
            <w:vAlign w:val="bottom"/>
          </w:tcPr>
          <w:p>
            <w:pPr>
              <w:ind w:left="180"/>
              <w:spacing w:after="0"/>
              <w:rPr>
                <w:sz w:val="20"/>
                <w:szCs w:val="20"/>
                <w:color w:val="auto"/>
              </w:rPr>
            </w:pPr>
            <w:r>
              <w:rPr>
                <w:rFonts w:ascii="Arial" w:cs="Arial" w:eastAsia="Arial" w:hAnsi="Arial"/>
                <w:sz w:val="18"/>
                <w:szCs w:val="18"/>
                <w:color w:val="auto"/>
              </w:rPr>
              <w:t>Deferred rent</w:t>
            </w:r>
          </w:p>
        </w:tc>
        <w:tc>
          <w:tcPr>
            <w:tcW w:w="3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5,129</w:t>
            </w:r>
          </w:p>
        </w:tc>
      </w:tr>
      <w:tr>
        <w:trPr>
          <w:trHeight w:val="54"/>
        </w:trPr>
        <w:tc>
          <w:tcPr>
            <w:tcW w:w="6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304"/>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liabilities, current</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5,463</w:t>
            </w:r>
          </w:p>
        </w:tc>
        <w:tc>
          <w:tcPr>
            <w:tcW w:w="3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500" w:type="dxa"/>
            <w:vAlign w:val="bottom"/>
          </w:tcPr>
          <w:p>
            <w:pPr>
              <w:ind w:left="180"/>
              <w:spacing w:after="0"/>
              <w:rPr>
                <w:sz w:val="20"/>
                <w:szCs w:val="20"/>
                <w:color w:val="auto"/>
              </w:rPr>
            </w:pPr>
            <w:r>
              <w:rPr>
                <w:rFonts w:ascii="Arial" w:cs="Arial" w:eastAsia="Arial" w:hAnsi="Arial"/>
                <w:sz w:val="18"/>
                <w:szCs w:val="18"/>
                <w:color w:val="auto"/>
              </w:rPr>
              <w:t>Notes payable to members</w:t>
            </w:r>
          </w:p>
        </w:tc>
        <w:tc>
          <w:tcPr>
            <w:tcW w:w="3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205</w:t>
            </w:r>
          </w:p>
        </w:tc>
      </w:tr>
      <w:tr>
        <w:trPr>
          <w:trHeight w:val="54"/>
        </w:trPr>
        <w:tc>
          <w:tcPr>
            <w:tcW w:w="6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57"/>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320" w:type="dxa"/>
            <w:vAlign w:val="bottom"/>
            <w:shd w:val="clear" w:color="auto" w:fill="CCEEFF"/>
          </w:tcPr>
          <w:p>
            <w:pPr>
              <w:spacing w:after="0"/>
              <w:rPr>
                <w:sz w:val="22"/>
                <w:szCs w:val="22"/>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61"/>
        </w:trPr>
        <w:tc>
          <w:tcPr>
            <w:tcW w:w="65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right w:val="single" w:sz="8" w:color="CCEEFF"/>
            </w:tcBorders>
            <w:shd w:val="clear" w:color="auto" w:fill="CCEEFF"/>
          </w:tcPr>
          <w:p>
            <w:pPr>
              <w:spacing w:after="0"/>
              <w:rPr>
                <w:sz w:val="5"/>
                <w:szCs w:val="5"/>
                <w:color w:val="auto"/>
              </w:rPr>
            </w:pPr>
          </w:p>
        </w:tc>
      </w:tr>
      <w:tr>
        <w:trPr>
          <w:trHeight w:val="284"/>
        </w:trPr>
        <w:tc>
          <w:tcPr>
            <w:tcW w:w="650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37,800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23,249</w:t>
            </w:r>
          </w:p>
        </w:tc>
      </w:tr>
      <w:tr>
        <w:trPr>
          <w:trHeight w:val="54"/>
        </w:trPr>
        <w:tc>
          <w:tcPr>
            <w:tcW w:w="6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304"/>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39,377</w:t>
            </w:r>
          </w:p>
        </w:tc>
        <w:tc>
          <w:tcPr>
            <w:tcW w:w="3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500" w:type="dxa"/>
            <w:vAlign w:val="bottom"/>
          </w:tcPr>
          <w:p>
            <w:pPr>
              <w:spacing w:after="0"/>
              <w:rPr>
                <w:sz w:val="20"/>
                <w:szCs w:val="20"/>
                <w:color w:val="auto"/>
              </w:rPr>
            </w:pPr>
            <w:r>
              <w:rPr>
                <w:rFonts w:ascii="Arial" w:cs="Arial" w:eastAsia="Arial" w:hAnsi="Arial"/>
                <w:sz w:val="18"/>
                <w:szCs w:val="18"/>
                <w:color w:val="auto"/>
              </w:rPr>
              <w:t>Tax receivable agreement liability</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128,567</w:t>
            </w:r>
          </w:p>
        </w:tc>
        <w:tc>
          <w:tcPr>
            <w:tcW w:w="3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6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304"/>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27,460</w:t>
            </w:r>
          </w:p>
        </w:tc>
        <w:tc>
          <w:tcPr>
            <w:tcW w:w="3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5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1,374</w:t>
            </w:r>
          </w:p>
        </w:tc>
      </w:tr>
      <w:tr>
        <w:trPr>
          <w:trHeight w:val="61"/>
        </w:trPr>
        <w:tc>
          <w:tcPr>
            <w:tcW w:w="6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r>
      <w:tr>
        <w:trPr>
          <w:trHeight w:val="318"/>
        </w:trPr>
        <w:tc>
          <w:tcPr>
            <w:tcW w:w="6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233,204</w:t>
            </w:r>
          </w:p>
        </w:tc>
        <w:tc>
          <w:tcPr>
            <w:tcW w:w="9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24,623</w:t>
            </w:r>
          </w:p>
        </w:tc>
      </w:tr>
      <w:tr>
        <w:trPr>
          <w:trHeight w:val="270"/>
        </w:trPr>
        <w:tc>
          <w:tcPr>
            <w:tcW w:w="6500" w:type="dxa"/>
            <w:vAlign w:val="bottom"/>
          </w:tcPr>
          <w:p>
            <w:pPr>
              <w:spacing w:after="0"/>
              <w:rPr>
                <w:sz w:val="20"/>
                <w:szCs w:val="20"/>
                <w:color w:val="auto"/>
              </w:rPr>
            </w:pPr>
            <w:r>
              <w:rPr>
                <w:rFonts w:ascii="Arial" w:cs="Arial" w:eastAsia="Arial" w:hAnsi="Arial"/>
                <w:sz w:val="18"/>
                <w:szCs w:val="18"/>
                <w:color w:val="auto"/>
              </w:rPr>
              <w:t>Commitments and contingencies (Note 4)</w:t>
            </w: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54"/>
        </w:trPr>
        <w:tc>
          <w:tcPr>
            <w:tcW w:w="6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304"/>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equity/Members’ equity</w:t>
            </w: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right w:val="single" w:sz="8" w:color="CCEEFF"/>
            </w:tcBorders>
            <w:shd w:val="clear" w:color="auto" w:fill="CCEEFF"/>
          </w:tcPr>
          <w:p>
            <w:pPr>
              <w:spacing w:after="0"/>
              <w:rPr>
                <w:sz w:val="24"/>
                <w:szCs w:val="24"/>
                <w:color w:val="auto"/>
              </w:rPr>
            </w:pPr>
          </w:p>
        </w:tc>
      </w:tr>
      <w:tr>
        <w:trPr>
          <w:trHeight w:val="256"/>
        </w:trPr>
        <w:tc>
          <w:tcPr>
            <w:tcW w:w="6500" w:type="dxa"/>
            <w:vAlign w:val="bottom"/>
          </w:tcPr>
          <w:p>
            <w:pPr>
              <w:ind w:left="180"/>
              <w:spacing w:after="0"/>
              <w:rPr>
                <w:sz w:val="20"/>
                <w:szCs w:val="20"/>
                <w:color w:val="auto"/>
              </w:rPr>
            </w:pPr>
            <w:r>
              <w:rPr>
                <w:rFonts w:ascii="Arial" w:cs="Arial" w:eastAsia="Arial" w:hAnsi="Arial"/>
                <w:sz w:val="18"/>
                <w:szCs w:val="18"/>
                <w:color w:val="auto"/>
                <w:w w:val="92"/>
              </w:rPr>
              <w:t>Preferred Stock - $0.0001 par value; 75,000,000 shares authorized; no shares issued</w:t>
            </w: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30"/>
        </w:trPr>
        <w:tc>
          <w:tcPr>
            <w:tcW w:w="6500" w:type="dxa"/>
            <w:vAlign w:val="bottom"/>
          </w:tcPr>
          <w:p>
            <w:pPr>
              <w:ind w:left="360"/>
              <w:spacing w:after="0"/>
              <w:rPr>
                <w:sz w:val="20"/>
                <w:szCs w:val="20"/>
                <w:color w:val="auto"/>
              </w:rPr>
            </w:pPr>
            <w:r>
              <w:rPr>
                <w:rFonts w:ascii="Arial" w:cs="Arial" w:eastAsia="Arial" w:hAnsi="Arial"/>
                <w:sz w:val="18"/>
                <w:szCs w:val="18"/>
                <w:color w:val="auto"/>
              </w:rPr>
              <w:t>and outstanding at December 31, 2021 and December 31, 2020</w:t>
            </w: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6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56"/>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A Common Stock - $0.0001 par value; 1,500,000,000 shares authorized;</w:t>
            </w:r>
          </w:p>
        </w:tc>
        <w:tc>
          <w:tcPr>
            <w:tcW w:w="3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20" w:type="dxa"/>
            <w:vAlign w:val="bottom"/>
            <w:tcBorders>
              <w:right w:val="single" w:sz="8" w:color="CCEEFF"/>
            </w:tcBorders>
            <w:shd w:val="clear" w:color="auto" w:fill="CCEEFF"/>
          </w:tcPr>
          <w:p>
            <w:pPr>
              <w:spacing w:after="0"/>
              <w:rPr>
                <w:sz w:val="22"/>
                <w:szCs w:val="22"/>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65,677,361 shares issued and outstanding at December 31, 2021 and no shares</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r>
      <w:tr>
        <w:trPr>
          <w:trHeight w:val="264"/>
        </w:trPr>
        <w:tc>
          <w:tcPr>
            <w:tcW w:w="6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issued and outstanding at December 31, 2020</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6500" w:type="dxa"/>
            <w:vAlign w:val="bottom"/>
          </w:tcPr>
          <w:p>
            <w:pPr>
              <w:ind w:left="180"/>
              <w:spacing w:after="0"/>
              <w:rPr>
                <w:sz w:val="20"/>
                <w:szCs w:val="20"/>
                <w:color w:val="auto"/>
              </w:rPr>
            </w:pPr>
            <w:r>
              <w:rPr>
                <w:rFonts w:ascii="Arial" w:cs="Arial" w:eastAsia="Arial" w:hAnsi="Arial"/>
                <w:sz w:val="18"/>
                <w:szCs w:val="18"/>
                <w:color w:val="auto"/>
              </w:rPr>
              <w:t>Class V Common Stock - $0.0001 par value; 500,000,000 shares authorized,</w:t>
            </w: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w w:val="95"/>
              </w:rPr>
              <w:t>65,502,347 shares issued and outstanding at December 31, 2021 and no shares</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0"/>
        </w:trPr>
        <w:tc>
          <w:tcPr>
            <w:tcW w:w="6500" w:type="dxa"/>
            <w:vAlign w:val="bottom"/>
          </w:tcPr>
          <w:p>
            <w:pPr>
              <w:ind w:left="360"/>
              <w:spacing w:after="0"/>
              <w:rPr>
                <w:sz w:val="20"/>
                <w:szCs w:val="20"/>
                <w:color w:val="auto"/>
              </w:rPr>
            </w:pPr>
            <w:r>
              <w:rPr>
                <w:rFonts w:ascii="Arial" w:cs="Arial" w:eastAsia="Arial" w:hAnsi="Arial"/>
                <w:sz w:val="18"/>
                <w:szCs w:val="18"/>
                <w:color w:val="auto"/>
              </w:rPr>
              <w:t>issued and outstanding at December 31, 2020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6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304"/>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3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650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61,369</w:t>
            </w:r>
          </w:p>
        </w:tc>
        <w:tc>
          <w:tcPr>
            <w:tcW w:w="3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1"/>
        </w:trPr>
        <w:tc>
          <w:tcPr>
            <w:tcW w:w="6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r>
      <w:tr>
        <w:trPr>
          <w:trHeight w:val="317"/>
        </w:trPr>
        <w:tc>
          <w:tcPr>
            <w:tcW w:w="6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WM Technology, Inc. stockholders’ equity</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63,556</w:t>
            </w:r>
          </w:p>
        </w:tc>
        <w:tc>
          <w:tcPr>
            <w:tcW w:w="3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50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68,384</w:t>
            </w:r>
          </w:p>
        </w:tc>
        <w:tc>
          <w:tcPr>
            <w:tcW w:w="3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6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56"/>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Members’ equity</w:t>
            </w:r>
          </w:p>
        </w:tc>
        <w:tc>
          <w:tcPr>
            <w:tcW w:w="3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29,271</w:t>
            </w:r>
          </w:p>
        </w:tc>
      </w:tr>
      <w:tr>
        <w:trPr>
          <w:trHeight w:val="61"/>
        </w:trPr>
        <w:tc>
          <w:tcPr>
            <w:tcW w:w="65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right w:val="single" w:sz="8" w:color="CCEEFF"/>
            </w:tcBorders>
            <w:shd w:val="clear" w:color="auto" w:fill="CCEEFF"/>
          </w:tcPr>
          <w:p>
            <w:pPr>
              <w:spacing w:after="0"/>
              <w:rPr>
                <w:sz w:val="5"/>
                <w:szCs w:val="5"/>
                <w:color w:val="auto"/>
              </w:rPr>
            </w:pPr>
          </w:p>
        </w:tc>
      </w:tr>
      <w:tr>
        <w:trPr>
          <w:trHeight w:val="270"/>
        </w:trPr>
        <w:tc>
          <w:tcPr>
            <w:tcW w:w="6500" w:type="dxa"/>
            <w:vAlign w:val="bottom"/>
          </w:tcPr>
          <w:p>
            <w:pPr>
              <w:ind w:left="360"/>
              <w:spacing w:after="0"/>
              <w:rPr>
                <w:sz w:val="20"/>
                <w:szCs w:val="20"/>
                <w:color w:val="auto"/>
              </w:rPr>
            </w:pPr>
            <w:r>
              <w:rPr>
                <w:rFonts w:ascii="Arial" w:cs="Arial" w:eastAsia="Arial" w:hAnsi="Arial"/>
                <w:sz w:val="18"/>
                <w:szCs w:val="18"/>
                <w:color w:val="auto"/>
              </w:rPr>
              <w:t>Total equity</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131,940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29,271</w:t>
            </w:r>
          </w:p>
        </w:tc>
      </w:tr>
      <w:tr>
        <w:trPr>
          <w:trHeight w:val="61"/>
        </w:trPr>
        <w:tc>
          <w:tcPr>
            <w:tcW w:w="6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r>
      <w:tr>
        <w:trPr>
          <w:trHeight w:val="290"/>
        </w:trPr>
        <w:tc>
          <w:tcPr>
            <w:tcW w:w="65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liabilities and stockholders’ equity/members’ equity</w:t>
            </w:r>
          </w:p>
        </w:tc>
        <w:tc>
          <w:tcPr>
            <w:tcW w:w="3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365,144</w:t>
            </w:r>
          </w:p>
        </w:tc>
        <w:tc>
          <w:tcPr>
            <w:tcW w:w="320" w:type="dxa"/>
            <w:vAlign w:val="bottom"/>
            <w:shd w:val="clear" w:color="auto" w:fill="CCEEFF"/>
          </w:tcPr>
          <w:p>
            <w:pPr>
              <w:spacing w:after="0"/>
              <w:rPr>
                <w:sz w:val="24"/>
                <w:szCs w:val="24"/>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53,894</w:t>
            </w:r>
          </w:p>
        </w:tc>
      </w:tr>
      <w:tr>
        <w:trPr>
          <w:trHeight w:val="27"/>
        </w:trPr>
        <w:tc>
          <w:tcPr>
            <w:tcW w:w="65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auto"/>
              <w:right w:val="single" w:sz="8" w:color="CCEEFF"/>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-8897620</wp:posOffset>
            </wp:positionV>
            <wp:extent cx="20574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-8897620</wp:posOffset>
            </wp:positionV>
            <wp:extent cx="10287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ectPr>
          <w:pgSz w:w="11900" w:h="16838" w:orient="portrait"/>
          <w:cols w:equalWidth="0" w:num="1">
            <w:col w:w="9019"/>
          </w:cols>
          <w:pgMar w:left="1440" w:top="265" w:right="1440" w:bottom="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9019"/>
          </w:cols>
          <w:pgMar w:left="1440" w:top="265" w:right="1440" w:bottom="0" w:gutter="0" w:footer="0" w:header="0"/>
          <w:type w:val="continuous"/>
        </w:sectPr>
      </w:pPr>
    </w:p>
    <w:bookmarkStart w:id="130" w:name="page131"/>
    <w:bookmarkEnd w:id="130"/>
    <w:p>
      <w:pPr>
        <w:jc w:val="center"/>
        <w:ind w:right="19"/>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147955</wp:posOffset>
            </wp:positionV>
            <wp:extent cx="699516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1" w:name="page132"/>
    <w:bookmarkEnd w:id="13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17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gridSpan w:val="10"/>
          </w:tcPr>
          <w:p>
            <w:pPr>
              <w:jc w:val="right"/>
              <w:ind w:right="560"/>
              <w:spacing w:after="0"/>
              <w:rPr>
                <w:sz w:val="20"/>
                <w:szCs w:val="20"/>
                <w:color w:val="auto"/>
              </w:rPr>
            </w:pPr>
            <w:r>
              <w:rPr>
                <w:rFonts w:ascii="Arial" w:cs="Arial" w:eastAsia="Arial" w:hAnsi="Arial"/>
                <w:sz w:val="14"/>
                <w:szCs w:val="14"/>
                <w:b w:val="1"/>
                <w:bCs w:val="1"/>
                <w:color w:val="auto"/>
              </w:rPr>
              <w:t>Years Ended December 31,</w:t>
            </w:r>
          </w:p>
        </w:tc>
      </w:tr>
      <w:tr>
        <w:trPr>
          <w:trHeight w:val="53"/>
        </w:trPr>
        <w:tc>
          <w:tcPr>
            <w:tcW w:w="56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4"/>
        </w:trPr>
        <w:tc>
          <w:tcPr>
            <w:tcW w:w="5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ind w:right="7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7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9"/>
                <w:szCs w:val="19"/>
                <w:color w:val="auto"/>
              </w:rPr>
            </w:pPr>
          </w:p>
        </w:tc>
      </w:tr>
      <w:tr>
        <w:trPr>
          <w:trHeight w:val="53"/>
        </w:trPr>
        <w:tc>
          <w:tcPr>
            <w:tcW w:w="56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1"/>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193,146</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$161,791</w:t>
            </w:r>
          </w:p>
        </w:tc>
        <w:tc>
          <w:tcPr>
            <w:tcW w:w="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$144,232</w:t>
            </w:r>
          </w:p>
        </w:tc>
        <w:tc>
          <w:tcPr>
            <w:tcW w:w="80" w:type="dxa"/>
            <w:vAlign w:val="bottom"/>
            <w:tcBorders>
              <w:bottom w:val="single" w:sz="8" w:color="CCEEFF"/>
            </w:tcBorders>
            <w:shd w:val="clear" w:color="auto" w:fill="CCEEFF"/>
          </w:tcPr>
          <w:p>
            <w:pPr>
              <w:spacing w:after="0"/>
              <w:rPr>
                <w:sz w:val="24"/>
                <w:szCs w:val="24"/>
                <w:color w:val="auto"/>
              </w:rPr>
            </w:pPr>
          </w:p>
        </w:tc>
      </w:tr>
      <w:tr>
        <w:trPr>
          <w:trHeight w:val="324"/>
        </w:trPr>
        <w:tc>
          <w:tcPr>
            <w:tcW w:w="5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4"/>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5640" w:type="dxa"/>
            <w:vAlign w:val="bottom"/>
          </w:tcPr>
          <w:p>
            <w:pPr>
              <w:ind w:left="180"/>
              <w:spacing w:after="0"/>
              <w:rPr>
                <w:sz w:val="20"/>
                <w:szCs w:val="20"/>
                <w:color w:val="auto"/>
              </w:rPr>
            </w:pPr>
            <w:r>
              <w:rPr>
                <w:rFonts w:ascii="Arial" w:cs="Arial" w:eastAsia="Arial" w:hAnsi="Arial"/>
                <w:sz w:val="18"/>
                <w:szCs w:val="18"/>
                <w:color w:val="auto"/>
              </w:rPr>
              <w:t>Cost of revenues</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7,938</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7,630</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7,074</w:t>
            </w:r>
          </w:p>
        </w:tc>
        <w:tc>
          <w:tcPr>
            <w:tcW w:w="80" w:type="dxa"/>
            <w:vAlign w:val="bottom"/>
          </w:tcPr>
          <w:p>
            <w:pPr>
              <w:spacing w:after="0"/>
              <w:rPr>
                <w:sz w:val="23"/>
                <w:szCs w:val="23"/>
                <w:color w:val="auto"/>
              </w:rPr>
            </w:pPr>
          </w:p>
        </w:tc>
      </w:tr>
      <w:tr>
        <w:trPr>
          <w:trHeight w:val="54"/>
        </w:trPr>
        <w:tc>
          <w:tcPr>
            <w:tcW w:w="5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5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56,119</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30,716</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39,746</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564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20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35,395</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27,142</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29,497</w:t>
            </w:r>
          </w:p>
        </w:tc>
        <w:tc>
          <w:tcPr>
            <w:tcW w:w="80" w:type="dxa"/>
            <w:vAlign w:val="bottom"/>
          </w:tcPr>
          <w:p>
            <w:pPr>
              <w:spacing w:after="0"/>
              <w:rPr>
                <w:sz w:val="23"/>
                <w:szCs w:val="23"/>
                <w:color w:val="auto"/>
              </w:rPr>
            </w:pPr>
          </w:p>
        </w:tc>
      </w:tr>
      <w:tr>
        <w:trPr>
          <w:trHeight w:val="54"/>
        </w:trPr>
        <w:tc>
          <w:tcPr>
            <w:tcW w:w="5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5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97,447</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51,127</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56,466</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7"/>
        </w:trPr>
        <w:tc>
          <w:tcPr>
            <w:tcW w:w="56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4,425</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3,978</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5,162</w:t>
            </w:r>
          </w:p>
        </w:tc>
        <w:tc>
          <w:tcPr>
            <w:tcW w:w="80" w:type="dxa"/>
            <w:vAlign w:val="bottom"/>
          </w:tcPr>
          <w:p>
            <w:pPr>
              <w:spacing w:after="0"/>
              <w:rPr>
                <w:sz w:val="22"/>
                <w:szCs w:val="22"/>
                <w:color w:val="auto"/>
              </w:rPr>
            </w:pPr>
          </w:p>
        </w:tc>
      </w:tr>
      <w:tr>
        <w:trPr>
          <w:trHeight w:val="61"/>
        </w:trPr>
        <w:tc>
          <w:tcPr>
            <w:tcW w:w="5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270"/>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201,324</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120,593</w:t>
            </w:r>
          </w:p>
        </w:tc>
        <w:tc>
          <w:tcPr>
            <w:tcW w:w="80" w:type="dxa"/>
            <w:vAlign w:val="bottom"/>
            <w:shd w:val="clear" w:color="auto" w:fill="CCEEFF"/>
          </w:tcPr>
          <w:p>
            <w:pPr>
              <w:spacing w:after="0"/>
              <w:rPr>
                <w:sz w:val="23"/>
                <w:szCs w:val="23"/>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137,945</w:t>
            </w:r>
          </w:p>
        </w:tc>
        <w:tc>
          <w:tcPr>
            <w:tcW w:w="80" w:type="dxa"/>
            <w:vAlign w:val="bottom"/>
            <w:shd w:val="clear" w:color="auto" w:fill="CCEEFF"/>
          </w:tcPr>
          <w:p>
            <w:pPr>
              <w:spacing w:after="0"/>
              <w:rPr>
                <w:sz w:val="23"/>
                <w:szCs w:val="23"/>
                <w:color w:val="auto"/>
              </w:rPr>
            </w:pPr>
          </w:p>
        </w:tc>
      </w:tr>
      <w:tr>
        <w:trPr>
          <w:trHeight w:val="61"/>
        </w:trPr>
        <w:tc>
          <w:tcPr>
            <w:tcW w:w="56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84"/>
        </w:trPr>
        <w:tc>
          <w:tcPr>
            <w:tcW w:w="5640" w:type="dxa"/>
            <w:vAlign w:val="bottom"/>
          </w:tcPr>
          <w:p>
            <w:pPr>
              <w:spacing w:after="0"/>
              <w:rPr>
                <w:sz w:val="20"/>
                <w:szCs w:val="20"/>
                <w:color w:val="auto"/>
              </w:rPr>
            </w:pPr>
            <w:r>
              <w:rPr>
                <w:rFonts w:ascii="Arial" w:cs="Arial" w:eastAsia="Arial" w:hAnsi="Arial"/>
                <w:sz w:val="18"/>
                <w:szCs w:val="18"/>
                <w:color w:val="auto"/>
              </w:rPr>
              <w:t>Operating (loss) income</w:t>
            </w:r>
          </w:p>
        </w:tc>
        <w:tc>
          <w:tcPr>
            <w:tcW w:w="20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(8,178)</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41,198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6,287</w:t>
            </w:r>
          </w:p>
        </w:tc>
        <w:tc>
          <w:tcPr>
            <w:tcW w:w="80" w:type="dxa"/>
            <w:vAlign w:val="bottom"/>
          </w:tcPr>
          <w:p>
            <w:pPr>
              <w:spacing w:after="0"/>
              <w:rPr>
                <w:sz w:val="24"/>
                <w:szCs w:val="24"/>
                <w:color w:val="auto"/>
              </w:rPr>
            </w:pPr>
          </w:p>
        </w:tc>
      </w:tr>
      <w:tr>
        <w:trPr>
          <w:trHeight w:val="54"/>
        </w:trPr>
        <w:tc>
          <w:tcPr>
            <w:tcW w:w="5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2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564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20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166,518</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54"/>
        </w:trPr>
        <w:tc>
          <w:tcPr>
            <w:tcW w:w="5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7"/>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20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(6,723)</w:t>
            </w:r>
          </w:p>
        </w:tc>
        <w:tc>
          <w:tcPr>
            <w:tcW w:w="1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(2,368)</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(5,341)</w:t>
            </w:r>
          </w:p>
        </w:tc>
      </w:tr>
      <w:tr>
        <w:trPr>
          <w:trHeight w:val="61"/>
        </w:trPr>
        <w:tc>
          <w:tcPr>
            <w:tcW w:w="56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83"/>
        </w:trPr>
        <w:tc>
          <w:tcPr>
            <w:tcW w:w="564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151,617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38,830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946</w:t>
            </w:r>
          </w:p>
        </w:tc>
        <w:tc>
          <w:tcPr>
            <w:tcW w:w="80" w:type="dxa"/>
            <w:vAlign w:val="bottom"/>
          </w:tcPr>
          <w:p>
            <w:pPr>
              <w:spacing w:after="0"/>
              <w:rPr>
                <w:sz w:val="24"/>
                <w:szCs w:val="24"/>
                <w:color w:val="auto"/>
              </w:rPr>
            </w:pPr>
          </w:p>
        </w:tc>
      </w:tr>
      <w:tr>
        <w:trPr>
          <w:trHeight w:val="54"/>
        </w:trPr>
        <w:tc>
          <w:tcPr>
            <w:tcW w:w="5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20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80" w:type="dxa"/>
            <w:vAlign w:val="bottom"/>
            <w:shd w:val="clear" w:color="auto" w:fill="CCEEFF"/>
          </w:tcPr>
          <w:p>
            <w:pPr>
              <w:spacing w:after="0"/>
              <w:rPr>
                <w:sz w:val="22"/>
                <w:szCs w:val="22"/>
                <w:color w:val="auto"/>
              </w:rPr>
            </w:pPr>
          </w:p>
        </w:tc>
      </w:tr>
      <w:tr>
        <w:trPr>
          <w:trHeight w:val="61"/>
        </w:trPr>
        <w:tc>
          <w:tcPr>
            <w:tcW w:w="56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83"/>
        </w:trPr>
        <w:tc>
          <w:tcPr>
            <w:tcW w:w="564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152,218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38,830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(375)</w:t>
            </w:r>
          </w:p>
        </w:tc>
      </w:tr>
      <w:tr>
        <w:trPr>
          <w:trHeight w:val="54"/>
        </w:trPr>
        <w:tc>
          <w:tcPr>
            <w:tcW w:w="5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91,835</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61"/>
        </w:trPr>
        <w:tc>
          <w:tcPr>
            <w:tcW w:w="56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70"/>
        </w:trPr>
        <w:tc>
          <w:tcPr>
            <w:tcW w:w="5640" w:type="dxa"/>
            <w:vAlign w:val="bottom"/>
          </w:tcPr>
          <w:p>
            <w:pPr>
              <w:ind w:left="180"/>
              <w:spacing w:after="0"/>
              <w:rPr>
                <w:sz w:val="20"/>
                <w:szCs w:val="20"/>
                <w:color w:val="auto"/>
              </w:rPr>
            </w:pPr>
            <w:r>
              <w:rPr>
                <w:rFonts w:ascii="Arial" w:cs="Arial" w:eastAsia="Arial" w:hAnsi="Arial"/>
                <w:sz w:val="18"/>
                <w:szCs w:val="18"/>
                <w:color w:val="auto"/>
              </w:rPr>
              <w:t>Net income (loss) attributable to WM Technology, Inc.</w:t>
            </w: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60,383</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4"/>
              </w:rPr>
              <w:t>$ 38,830</w:t>
            </w:r>
          </w:p>
        </w:tc>
        <w:tc>
          <w:tcPr>
            <w:tcW w:w="80" w:type="dxa"/>
            <w:vAlign w:val="bottom"/>
          </w:tcPr>
          <w:p>
            <w:pPr>
              <w:spacing w:after="0"/>
              <w:rPr>
                <w:sz w:val="23"/>
                <w:szCs w:val="23"/>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(375)</w:t>
            </w:r>
          </w:p>
        </w:tc>
      </w:tr>
      <w:tr>
        <w:trPr>
          <w:trHeight w:val="20"/>
        </w:trPr>
        <w:tc>
          <w:tcPr>
            <w:tcW w:w="5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
        </w:trPr>
        <w:tc>
          <w:tcPr>
            <w:tcW w:w="5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64"/>
        </w:trPr>
        <w:tc>
          <w:tcPr>
            <w:tcW w:w="56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70"/>
        </w:trPr>
        <w:tc>
          <w:tcPr>
            <w:tcW w:w="5640" w:type="dxa"/>
            <w:vAlign w:val="bottom"/>
          </w:tcPr>
          <w:p>
            <w:pPr>
              <w:spacing w:after="0"/>
              <w:rPr>
                <w:sz w:val="20"/>
                <w:szCs w:val="20"/>
                <w:color w:val="auto"/>
              </w:rPr>
            </w:pPr>
            <w:r>
              <w:rPr>
                <w:rFonts w:ascii="Arial" w:cs="Arial" w:eastAsia="Arial" w:hAnsi="Arial"/>
                <w:sz w:val="18"/>
                <w:szCs w:val="18"/>
                <w:color w:val="auto"/>
              </w:rPr>
              <w:t>Class A Common Stock:</w:t>
            </w: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54"/>
        </w:trPr>
        <w:tc>
          <w:tcPr>
            <w:tcW w:w="5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24"/>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income per share</w:t>
            </w: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60"/>
              <w:spacing w:after="0" w:line="324" w:lineRule="exact"/>
              <w:rPr>
                <w:sz w:val="20"/>
                <w:szCs w:val="20"/>
                <w:color w:val="auto"/>
              </w:rPr>
            </w:pPr>
            <w:r>
              <w:rPr>
                <w:rFonts w:ascii="Arial" w:cs="Arial" w:eastAsia="Arial" w:hAnsi="Arial"/>
                <w:sz w:val="18"/>
                <w:szCs w:val="18"/>
                <w:color w:val="auto"/>
              </w:rPr>
              <w:t>N/A</w:t>
            </w:r>
            <w:r>
              <w:rPr>
                <w:rFonts w:ascii="Arial" w:cs="Arial" w:eastAsia="Arial" w:hAnsi="Arial"/>
                <w:sz w:val="29"/>
                <w:szCs w:val="29"/>
                <w:color w:val="auto"/>
                <w:vertAlign w:val="superscript"/>
              </w:rPr>
              <w:t>1</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60"/>
              <w:spacing w:after="0" w:line="324" w:lineRule="exact"/>
              <w:rPr>
                <w:sz w:val="20"/>
                <w:szCs w:val="20"/>
                <w:color w:val="auto"/>
              </w:rPr>
            </w:pPr>
            <w:r>
              <w:rPr>
                <w:rFonts w:ascii="Arial" w:cs="Arial" w:eastAsia="Arial" w:hAnsi="Arial"/>
                <w:sz w:val="18"/>
                <w:szCs w:val="18"/>
                <w:color w:val="auto"/>
              </w:rPr>
              <w:t>N/A</w:t>
            </w:r>
            <w:r>
              <w:rPr>
                <w:rFonts w:ascii="Arial" w:cs="Arial" w:eastAsia="Arial" w:hAnsi="Arial"/>
                <w:sz w:val="29"/>
                <w:szCs w:val="29"/>
                <w:color w:val="auto"/>
                <w:vertAlign w:val="superscript"/>
              </w:rPr>
              <w:t>1</w:t>
            </w:r>
          </w:p>
        </w:tc>
      </w:tr>
      <w:tr>
        <w:trPr>
          <w:trHeight w:val="324"/>
        </w:trPr>
        <w:tc>
          <w:tcPr>
            <w:tcW w:w="5640" w:type="dxa"/>
            <w:vAlign w:val="bottom"/>
          </w:tcPr>
          <w:p>
            <w:pPr>
              <w:ind w:left="180"/>
              <w:spacing w:after="0"/>
              <w:rPr>
                <w:sz w:val="20"/>
                <w:szCs w:val="20"/>
                <w:color w:val="auto"/>
              </w:rPr>
            </w:pPr>
            <w:r>
              <w:rPr>
                <w:rFonts w:ascii="Arial" w:cs="Arial" w:eastAsia="Arial" w:hAnsi="Arial"/>
                <w:sz w:val="18"/>
                <w:szCs w:val="18"/>
                <w:color w:val="auto"/>
              </w:rPr>
              <w:t>Diluted loss per share</w:t>
            </w: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(0.18)</w:t>
            </w:r>
          </w:p>
        </w:tc>
        <w:tc>
          <w:tcPr>
            <w:tcW w:w="160" w:type="dxa"/>
            <w:vAlign w:val="bottom"/>
          </w:tcPr>
          <w:p>
            <w:pPr>
              <w:spacing w:after="0"/>
              <w:rPr>
                <w:sz w:val="24"/>
                <w:szCs w:val="24"/>
                <w:color w:val="auto"/>
              </w:rPr>
            </w:pPr>
          </w:p>
        </w:tc>
        <w:tc>
          <w:tcPr>
            <w:tcW w:w="760" w:type="dxa"/>
            <w:vAlign w:val="bottom"/>
            <w:gridSpan w:val="2"/>
          </w:tcPr>
          <w:p>
            <w:pPr>
              <w:jc w:val="right"/>
              <w:ind w:right="60"/>
              <w:spacing w:after="0" w:line="324" w:lineRule="exact"/>
              <w:rPr>
                <w:sz w:val="20"/>
                <w:szCs w:val="20"/>
                <w:color w:val="auto"/>
              </w:rPr>
            </w:pPr>
            <w:r>
              <w:rPr>
                <w:rFonts w:ascii="Arial" w:cs="Arial" w:eastAsia="Arial" w:hAnsi="Arial"/>
                <w:sz w:val="18"/>
                <w:szCs w:val="18"/>
                <w:color w:val="auto"/>
              </w:rPr>
              <w:t>N/A</w:t>
            </w:r>
            <w:r>
              <w:rPr>
                <w:rFonts w:ascii="Arial" w:cs="Arial" w:eastAsia="Arial" w:hAnsi="Arial"/>
                <w:sz w:val="29"/>
                <w:szCs w:val="29"/>
                <w:color w:val="auto"/>
                <w:vertAlign w:val="superscript"/>
              </w:rPr>
              <w:t>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ind w:right="60"/>
              <w:spacing w:after="0" w:line="324" w:lineRule="exact"/>
              <w:rPr>
                <w:sz w:val="20"/>
                <w:szCs w:val="20"/>
                <w:color w:val="auto"/>
              </w:rPr>
            </w:pPr>
            <w:r>
              <w:rPr>
                <w:rFonts w:ascii="Arial" w:cs="Arial" w:eastAsia="Arial" w:hAnsi="Arial"/>
                <w:sz w:val="18"/>
                <w:szCs w:val="18"/>
                <w:color w:val="auto"/>
              </w:rPr>
              <w:t>N/A</w:t>
            </w:r>
            <w:r>
              <w:rPr>
                <w:rFonts w:ascii="Arial" w:cs="Arial" w:eastAsia="Arial" w:hAnsi="Arial"/>
                <w:sz w:val="29"/>
                <w:szCs w:val="29"/>
                <w:color w:val="auto"/>
                <w:vertAlign w:val="superscript"/>
              </w:rPr>
              <w:t>1</w:t>
            </w:r>
          </w:p>
        </w:tc>
      </w:tr>
      <w:tr>
        <w:trPr>
          <w:trHeight w:val="324"/>
        </w:trPr>
        <w:tc>
          <w:tcPr>
            <w:tcW w:w="56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70"/>
        </w:trPr>
        <w:tc>
          <w:tcPr>
            <w:tcW w:w="5640" w:type="dxa"/>
            <w:vAlign w:val="bottom"/>
          </w:tcPr>
          <w:p>
            <w:pPr>
              <w:spacing w:after="0"/>
              <w:rPr>
                <w:sz w:val="20"/>
                <w:szCs w:val="20"/>
                <w:color w:val="auto"/>
              </w:rPr>
            </w:pPr>
            <w:r>
              <w:rPr>
                <w:rFonts w:ascii="Arial" w:cs="Arial" w:eastAsia="Arial" w:hAnsi="Arial"/>
                <w:sz w:val="18"/>
                <w:szCs w:val="18"/>
                <w:color w:val="auto"/>
              </w:rPr>
              <w:t>Class A Common Stock:</w:t>
            </w: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54"/>
        </w:trPr>
        <w:tc>
          <w:tcPr>
            <w:tcW w:w="564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24"/>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basic shares outstanding</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65,013,517</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60"/>
              <w:spacing w:after="0" w:line="324" w:lineRule="exact"/>
              <w:rPr>
                <w:sz w:val="20"/>
                <w:szCs w:val="20"/>
                <w:color w:val="auto"/>
              </w:rPr>
            </w:pPr>
            <w:r>
              <w:rPr>
                <w:rFonts w:ascii="Arial" w:cs="Arial" w:eastAsia="Arial" w:hAnsi="Arial"/>
                <w:sz w:val="18"/>
                <w:szCs w:val="18"/>
                <w:color w:val="auto"/>
              </w:rPr>
              <w:t>N/A</w:t>
            </w:r>
            <w:r>
              <w:rPr>
                <w:rFonts w:ascii="Arial" w:cs="Arial" w:eastAsia="Arial" w:hAnsi="Arial"/>
                <w:sz w:val="29"/>
                <w:szCs w:val="29"/>
                <w:color w:val="auto"/>
                <w:vertAlign w:val="superscript"/>
              </w:rPr>
              <w:t>1</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60"/>
              <w:spacing w:after="0" w:line="324" w:lineRule="exact"/>
              <w:rPr>
                <w:sz w:val="20"/>
                <w:szCs w:val="20"/>
                <w:color w:val="auto"/>
              </w:rPr>
            </w:pPr>
            <w:r>
              <w:rPr>
                <w:rFonts w:ascii="Arial" w:cs="Arial" w:eastAsia="Arial" w:hAnsi="Arial"/>
                <w:sz w:val="18"/>
                <w:szCs w:val="18"/>
                <w:color w:val="auto"/>
              </w:rPr>
              <w:t>N/A</w:t>
            </w:r>
            <w:r>
              <w:rPr>
                <w:rFonts w:ascii="Arial" w:cs="Arial" w:eastAsia="Arial" w:hAnsi="Arial"/>
                <w:sz w:val="29"/>
                <w:szCs w:val="29"/>
                <w:color w:val="auto"/>
                <w:vertAlign w:val="superscript"/>
              </w:rPr>
              <w:t>1</w:t>
            </w:r>
          </w:p>
        </w:tc>
      </w:tr>
      <w:tr>
        <w:trPr>
          <w:trHeight w:val="420"/>
        </w:trPr>
        <w:tc>
          <w:tcPr>
            <w:tcW w:w="5640" w:type="dxa"/>
            <w:vAlign w:val="bottom"/>
          </w:tcPr>
          <w:p>
            <w:pPr>
              <w:ind w:left="180"/>
              <w:spacing w:after="0"/>
              <w:rPr>
                <w:sz w:val="20"/>
                <w:szCs w:val="20"/>
                <w:color w:val="auto"/>
              </w:rPr>
            </w:pPr>
            <w:r>
              <w:rPr>
                <w:rFonts w:ascii="Arial" w:cs="Arial" w:eastAsia="Arial" w:hAnsi="Arial"/>
                <w:sz w:val="18"/>
                <w:szCs w:val="18"/>
                <w:color w:val="auto"/>
              </w:rPr>
              <w:t>Weighted average diluted shares outstanding</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5"/>
              </w:rPr>
              <w:t>66,813,417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r>
              <w:rPr>
                <w:rFonts w:ascii="Arial" w:cs="Arial" w:eastAsia="Arial" w:hAnsi="Arial"/>
                <w:sz w:val="29"/>
                <w:szCs w:val="29"/>
                <w:color w:val="auto"/>
                <w:vertAlign w:val="superscript"/>
              </w:rPr>
              <w:t>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r>
              <w:rPr>
                <w:rFonts w:ascii="Arial" w:cs="Arial" w:eastAsia="Arial" w:hAnsi="Arial"/>
                <w:sz w:val="29"/>
                <w:szCs w:val="29"/>
                <w:color w:val="auto"/>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-5563870</wp:posOffset>
            </wp:positionV>
            <wp:extent cx="1028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-5563870</wp:posOffset>
            </wp:positionV>
            <wp:extent cx="1028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-5563870</wp:posOffset>
            </wp:positionV>
            <wp:extent cx="514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6" w:lineRule="exact"/>
        <w:rPr>
          <w:sz w:val="20"/>
          <w:szCs w:val="20"/>
          <w:color w:val="auto"/>
        </w:rPr>
      </w:pPr>
    </w:p>
    <w:p>
      <w:pPr>
        <w:jc w:val="both"/>
        <w:ind w:left="640" w:right="299" w:hanging="348"/>
        <w:spacing w:after="0" w:line="204" w:lineRule="auto"/>
        <w:tabs>
          <w:tab w:leader="none" w:pos="640" w:val="left"/>
        </w:tabs>
        <w:numPr>
          <w:ilvl w:val="0"/>
          <w:numId w:val="70"/>
        </w:numPr>
        <w:rPr>
          <w:rFonts w:ascii="Arial" w:cs="Arial" w:eastAsia="Arial" w:hAnsi="Arial"/>
          <w:sz w:val="22"/>
          <w:szCs w:val="22"/>
          <w:color w:val="auto"/>
          <w:vertAlign w:val="superscript"/>
        </w:rPr>
      </w:pPr>
      <w:r>
        <w:rPr>
          <w:rFonts w:ascii="Arial" w:cs="Arial" w:eastAsia="Arial" w:hAnsi="Arial"/>
          <w:sz w:val="14"/>
          <w:szCs w:val="14"/>
          <w:color w:val="auto"/>
        </w:rPr>
        <w:t>Prior to the Business Combination, the membership structure of the Company included units which had profit interests. The Company analyzed the calculation of earnings per unit for periods prior to the Business Combination and determined that it resulted in values that would not be meaningful to the users of these consolidated financial statements. As a result, earnings per share information has not been presented for periods prior to the Business Combination on June 16, 2021 (Note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-427355</wp:posOffset>
            </wp:positionV>
            <wp:extent cx="82296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2" w:name="page133"/>
    <w:bookmarkEnd w:id="13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16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1380" w:type="dxa"/>
            <w:vAlign w:val="bottom"/>
            <w:gridSpan w:val="6"/>
            <w:vMerge w:val="restart"/>
          </w:tcPr>
          <w:p>
            <w:pPr>
              <w:jc w:val="right"/>
              <w:ind w:right="24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1300" w:type="dxa"/>
            <w:vAlign w:val="bottom"/>
            <w:gridSpan w:val="5"/>
            <w:vMerge w:val="restart"/>
          </w:tcPr>
          <w:p>
            <w:pPr>
              <w:jc w:val="right"/>
              <w:ind w:right="20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rPr>
              <w:t>Total WM</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360" w:type="dxa"/>
            <w:vAlign w:val="bottom"/>
          </w:tcPr>
          <w:p>
            <w:pPr>
              <w:spacing w:after="0"/>
              <w:rPr>
                <w:sz w:val="7"/>
                <w:szCs w:val="7"/>
                <w:color w:val="auto"/>
              </w:rPr>
            </w:pPr>
          </w:p>
        </w:tc>
        <w:tc>
          <w:tcPr>
            <w:tcW w:w="138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gridSpan w:val="5"/>
            <w:vMerge w:val="continue"/>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gridSpan w:val="5"/>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Technology,</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1380" w:type="dxa"/>
            <w:vAlign w:val="bottom"/>
            <w:gridSpan w:val="6"/>
            <w:vMerge w:val="restart"/>
          </w:tcPr>
          <w:p>
            <w:pPr>
              <w:jc w:val="right"/>
              <w:ind w:right="460"/>
              <w:spacing w:after="0"/>
              <w:rPr>
                <w:sz w:val="20"/>
                <w:szCs w:val="20"/>
                <w:color w:val="auto"/>
              </w:rPr>
            </w:pPr>
            <w:r>
              <w:rPr>
                <w:rFonts w:ascii="Arial" w:cs="Arial" w:eastAsia="Arial" w:hAnsi="Arial"/>
                <w:sz w:val="14"/>
                <w:szCs w:val="14"/>
                <w:b w:val="1"/>
                <w:bCs w:val="1"/>
                <w:color w:val="auto"/>
              </w:rPr>
              <w:t>Class A</w:t>
            </w:r>
          </w:p>
        </w:tc>
        <w:tc>
          <w:tcPr>
            <w:tcW w:w="80" w:type="dxa"/>
            <w:vAlign w:val="bottom"/>
          </w:tcPr>
          <w:p>
            <w:pPr>
              <w:spacing w:after="0"/>
              <w:rPr>
                <w:sz w:val="5"/>
                <w:szCs w:val="5"/>
                <w:color w:val="auto"/>
              </w:rPr>
            </w:pPr>
          </w:p>
        </w:tc>
        <w:tc>
          <w:tcPr>
            <w:tcW w:w="1300" w:type="dxa"/>
            <w:vAlign w:val="bottom"/>
            <w:gridSpan w:val="5"/>
            <w:vMerge w:val="restart"/>
          </w:tcPr>
          <w:p>
            <w:pPr>
              <w:jc w:val="right"/>
              <w:ind w:right="420"/>
              <w:spacing w:after="0"/>
              <w:rPr>
                <w:sz w:val="20"/>
                <w:szCs w:val="20"/>
                <w:color w:val="auto"/>
              </w:rPr>
            </w:pPr>
            <w:r>
              <w:rPr>
                <w:rFonts w:ascii="Arial" w:cs="Arial" w:eastAsia="Arial" w:hAnsi="Arial"/>
                <w:sz w:val="14"/>
                <w:szCs w:val="14"/>
                <w:b w:val="1"/>
                <w:bCs w:val="1"/>
                <w:color w:val="auto"/>
              </w:rPr>
              <w:t>Class V</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360" w:type="dxa"/>
            <w:vAlign w:val="bottom"/>
          </w:tcPr>
          <w:p>
            <w:pPr>
              <w:spacing w:after="0"/>
              <w:rPr>
                <w:sz w:val="10"/>
                <w:szCs w:val="10"/>
                <w:color w:val="auto"/>
              </w:rPr>
            </w:pPr>
          </w:p>
        </w:tc>
        <w:tc>
          <w:tcPr>
            <w:tcW w:w="1380" w:type="dxa"/>
            <w:vAlign w:val="bottom"/>
            <w:gridSpan w:val="6"/>
            <w:vMerge w:val="continue"/>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5"/>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3"/>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Inc.</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Non-</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gridSpan w:val="5"/>
            <w:vMerge w:val="continue"/>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
        </w:trPr>
        <w:tc>
          <w:tcPr>
            <w:tcW w:w="1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60" w:type="dxa"/>
            <w:vAlign w:val="bottom"/>
            <w:gridSpan w:val="4"/>
            <w:vMerge w:val="restart"/>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2880" w:type="dxa"/>
            <w:vAlign w:val="bottom"/>
            <w:gridSpan w:val="19"/>
            <w:vMerge w:val="restart"/>
          </w:tcPr>
          <w:p>
            <w:pPr>
              <w:spacing w:after="0" w:line="149" w:lineRule="exact"/>
              <w:rPr>
                <w:sz w:val="20"/>
                <w:szCs w:val="20"/>
                <w:color w:val="auto"/>
              </w:rPr>
            </w:pPr>
            <w:r>
              <w:rPr>
                <w:rFonts w:ascii="Arial" w:cs="Arial" w:eastAsia="Arial" w:hAnsi="Arial"/>
                <w:sz w:val="14"/>
                <w:szCs w:val="14"/>
                <w:b w:val="1"/>
                <w:bCs w:val="1"/>
                <w:color w:val="auto"/>
                <w:w w:val="95"/>
              </w:rPr>
              <w:t>Retained Stockholders' controlling Members’</w:t>
            </w:r>
          </w:p>
        </w:tc>
        <w:tc>
          <w:tcPr>
            <w:tcW w:w="60" w:type="dxa"/>
            <w:vAlign w:val="bottom"/>
          </w:tcPr>
          <w:p>
            <w:pPr>
              <w:spacing w:after="0" w:line="20" w:lineRule="exact"/>
              <w:rPr>
                <w:sz w:val="1"/>
                <w:szCs w:val="1"/>
                <w:color w:val="auto"/>
              </w:rPr>
            </w:pPr>
          </w:p>
        </w:tc>
        <w:tc>
          <w:tcPr>
            <w:tcW w:w="580" w:type="dxa"/>
            <w:vAlign w:val="bottom"/>
            <w:gridSpan w:val="3"/>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6"/>
        </w:trPr>
        <w:tc>
          <w:tcPr>
            <w:tcW w:w="1360" w:type="dxa"/>
            <w:vAlign w:val="bottom"/>
          </w:tcPr>
          <w:p>
            <w:pPr>
              <w:spacing w:after="0"/>
              <w:rPr>
                <w:sz w:val="9"/>
                <w:szCs w:val="9"/>
                <w:color w:val="auto"/>
              </w:rPr>
            </w:pPr>
          </w:p>
        </w:tc>
        <w:tc>
          <w:tcPr>
            <w:tcW w:w="7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w w:val="90"/>
              </w:rPr>
              <w:t>Par Value</w:t>
            </w:r>
          </w:p>
        </w:tc>
        <w:tc>
          <w:tcPr>
            <w:tcW w:w="80" w:type="dxa"/>
            <w:vAlign w:val="bottom"/>
          </w:tcPr>
          <w:p>
            <w:pPr>
              <w:spacing w:after="0"/>
              <w:rPr>
                <w:sz w:val="9"/>
                <w:szCs w:val="9"/>
                <w:color w:val="auto"/>
              </w:rPr>
            </w:pPr>
          </w:p>
        </w:tc>
        <w:tc>
          <w:tcPr>
            <w:tcW w:w="7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0"/>
              </w:rPr>
              <w:t>Par Value</w:t>
            </w:r>
          </w:p>
        </w:tc>
        <w:tc>
          <w:tcPr>
            <w:tcW w:w="60" w:type="dxa"/>
            <w:vAlign w:val="bottom"/>
          </w:tcPr>
          <w:p>
            <w:pPr>
              <w:spacing w:after="0"/>
              <w:rPr>
                <w:sz w:val="9"/>
                <w:szCs w:val="9"/>
                <w:color w:val="auto"/>
              </w:rPr>
            </w:pPr>
          </w:p>
        </w:tc>
        <w:tc>
          <w:tcPr>
            <w:tcW w:w="60" w:type="dxa"/>
            <w:vAlign w:val="bottom"/>
            <w:vMerge w:val="continue"/>
          </w:tcPr>
          <w:p>
            <w:pPr>
              <w:spacing w:after="0"/>
              <w:rPr>
                <w:sz w:val="9"/>
                <w:szCs w:val="9"/>
                <w:color w:val="auto"/>
              </w:rPr>
            </w:pPr>
          </w:p>
        </w:tc>
        <w:tc>
          <w:tcPr>
            <w:tcW w:w="660" w:type="dxa"/>
            <w:vAlign w:val="bottom"/>
            <w:gridSpan w:val="4"/>
            <w:vMerge w:val="continue"/>
          </w:tcPr>
          <w:p>
            <w:pPr>
              <w:spacing w:after="0"/>
              <w:rPr>
                <w:sz w:val="9"/>
                <w:szCs w:val="9"/>
                <w:color w:val="auto"/>
              </w:rPr>
            </w:pPr>
          </w:p>
        </w:tc>
        <w:tc>
          <w:tcPr>
            <w:tcW w:w="2880" w:type="dxa"/>
            <w:vAlign w:val="bottom"/>
            <w:gridSpan w:val="19"/>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136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6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6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gridSpan w:val="4"/>
          </w:tcPr>
          <w:p>
            <w:pPr>
              <w:ind w:left="40"/>
              <w:spacing w:after="0"/>
              <w:rPr>
                <w:sz w:val="20"/>
                <w:szCs w:val="20"/>
                <w:color w:val="auto"/>
              </w:rPr>
            </w:pPr>
            <w:r>
              <w:rPr>
                <w:rFonts w:ascii="Arial" w:cs="Arial" w:eastAsia="Arial" w:hAnsi="Arial"/>
                <w:sz w:val="14"/>
                <w:szCs w:val="14"/>
                <w:b w:val="1"/>
                <w:bCs w:val="1"/>
                <w:color w:val="auto"/>
              </w:rPr>
              <w:t>Capital</w:t>
            </w:r>
          </w:p>
        </w:tc>
        <w:tc>
          <w:tcPr>
            <w:tcW w:w="620" w:type="dxa"/>
            <w:vAlign w:val="bottom"/>
            <w:gridSpan w:val="5"/>
          </w:tcPr>
          <w:p>
            <w:pPr>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7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Equity</w:t>
            </w:r>
          </w:p>
        </w:tc>
        <w:tc>
          <w:tcPr>
            <w:tcW w:w="720" w:type="dxa"/>
            <w:vAlign w:val="bottom"/>
            <w:gridSpan w:val="5"/>
          </w:tcPr>
          <w:p>
            <w:pPr>
              <w:ind w:left="60"/>
              <w:spacing w:after="0"/>
              <w:rPr>
                <w:sz w:val="20"/>
                <w:szCs w:val="20"/>
                <w:color w:val="auto"/>
              </w:rPr>
            </w:pPr>
            <w:r>
              <w:rPr>
                <w:rFonts w:ascii="Arial" w:cs="Arial" w:eastAsia="Arial" w:hAnsi="Arial"/>
                <w:sz w:val="14"/>
                <w:szCs w:val="14"/>
                <w:b w:val="1"/>
                <w:bCs w:val="1"/>
                <w:color w:val="auto"/>
              </w:rPr>
              <w:t>Interests</w:t>
            </w:r>
          </w:p>
        </w:tc>
        <w:tc>
          <w:tcPr>
            <w:tcW w:w="60" w:type="dxa"/>
            <w:vAlign w:val="bottom"/>
          </w:tcPr>
          <w:p>
            <w:pPr>
              <w:spacing w:after="0"/>
              <w:rPr>
                <w:sz w:val="16"/>
                <w:szCs w:val="16"/>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6"/>
                <w:szCs w:val="16"/>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53"/>
        </w:trPr>
        <w:tc>
          <w:tcPr>
            <w:tcW w:w="136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1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 of December 31,</w:t>
            </w:r>
          </w:p>
        </w:tc>
        <w:tc>
          <w:tcPr>
            <w:tcW w:w="76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3"/>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4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w w:val="76"/>
              </w:rPr>
              <w:t>$</w:t>
            </w:r>
          </w:p>
        </w:tc>
        <w:tc>
          <w:tcPr>
            <w:tcW w:w="5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3"/>
              </w:rPr>
              <w:t>30,124</w:t>
            </w:r>
          </w:p>
        </w:tc>
        <w:tc>
          <w:tcPr>
            <w:tcW w:w="60" w:type="dxa"/>
            <w:vAlign w:val="bottom"/>
            <w:shd w:val="clear" w:color="auto" w:fill="CCEEFF"/>
          </w:tcPr>
          <w:p>
            <w:pPr>
              <w:spacing w:after="0"/>
              <w:rPr>
                <w:sz w:val="15"/>
                <w:szCs w:val="15"/>
                <w:color w:val="auto"/>
              </w:rPr>
            </w:pPr>
          </w:p>
        </w:tc>
        <w:tc>
          <w:tcPr>
            <w:tcW w:w="6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$ 30,124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CCEEFF"/>
            </w:tcBorders>
            <w:gridSpan w:val="3"/>
            <w:vMerge w:val="continue"/>
            <w:shd w:val="clear" w:color="auto" w:fill="CCEEFF"/>
          </w:tcPr>
          <w:p>
            <w:pPr>
              <w:spacing w:after="0"/>
              <w:rPr>
                <w:sz w:val="17"/>
                <w:szCs w:val="17"/>
                <w:color w:val="auto"/>
              </w:rPr>
            </w:pPr>
          </w:p>
        </w:tc>
        <w:tc>
          <w:tcPr>
            <w:tcW w:w="620" w:type="dxa"/>
            <w:vAlign w:val="bottom"/>
            <w:tcBorders>
              <w:bottom w:val="single" w:sz="8" w:color="CCEEFF"/>
            </w:tcBorders>
            <w:gridSpan w:val="3"/>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vMerge w:val="continue"/>
            <w:shd w:val="clear" w:color="auto" w:fill="CCEEFF"/>
          </w:tcPr>
          <w:p>
            <w:pPr>
              <w:spacing w:after="0"/>
              <w:rPr>
                <w:sz w:val="17"/>
                <w:szCs w:val="17"/>
                <w:color w:val="auto"/>
              </w:rPr>
            </w:pPr>
          </w:p>
        </w:tc>
        <w:tc>
          <w:tcPr>
            <w:tcW w:w="600" w:type="dxa"/>
            <w:vAlign w:val="bottom"/>
            <w:tcBorders>
              <w:bottom w:val="single" w:sz="8" w:color="CCEEFF"/>
            </w:tcBorders>
            <w:gridSpan w:val="3"/>
            <w:vMerge w:val="continue"/>
            <w:shd w:val="clear" w:color="auto" w:fill="CCEEFF"/>
          </w:tcPr>
          <w:p>
            <w:pPr>
              <w:spacing w:after="0"/>
              <w:rPr>
                <w:sz w:val="17"/>
                <w:szCs w:val="17"/>
                <w:color w:val="auto"/>
              </w:rPr>
            </w:pPr>
          </w:p>
        </w:tc>
        <w:tc>
          <w:tcPr>
            <w:tcW w:w="220" w:type="dxa"/>
            <w:vAlign w:val="bottom"/>
            <w:tcBorders>
              <w:bottom w:val="single" w:sz="8" w:color="CCEEFF"/>
            </w:tcBorders>
            <w:gridSpan w:val="3"/>
            <w:vMerge w:val="continue"/>
            <w:shd w:val="clear" w:color="auto" w:fill="CCEEFF"/>
          </w:tcPr>
          <w:p>
            <w:pPr>
              <w:spacing w:after="0"/>
              <w:rPr>
                <w:sz w:val="17"/>
                <w:szCs w:val="17"/>
                <w:color w:val="auto"/>
              </w:rPr>
            </w:pPr>
          </w:p>
        </w:tc>
        <w:tc>
          <w:tcPr>
            <w:tcW w:w="560" w:type="dxa"/>
            <w:vAlign w:val="bottom"/>
            <w:tcBorders>
              <w:bottom w:val="single" w:sz="8" w:color="CCEEFF"/>
            </w:tcBorders>
            <w:gridSpan w:val="3"/>
            <w:vMerge w:val="continue"/>
            <w:shd w:val="clear" w:color="auto" w:fill="CCEEFF"/>
          </w:tcPr>
          <w:p>
            <w:pPr>
              <w:spacing w:after="0"/>
              <w:rPr>
                <w:sz w:val="17"/>
                <w:szCs w:val="17"/>
                <w:color w:val="auto"/>
              </w:rPr>
            </w:pPr>
          </w:p>
        </w:tc>
        <w:tc>
          <w:tcPr>
            <w:tcW w:w="200" w:type="dxa"/>
            <w:vAlign w:val="bottom"/>
            <w:tcBorders>
              <w:bottom w:val="single" w:sz="8" w:color="CCEEFF"/>
            </w:tcBorders>
            <w:gridSpan w:val="2"/>
            <w:vMerge w:val="continue"/>
            <w:shd w:val="clear" w:color="auto" w:fill="CCEEFF"/>
          </w:tcPr>
          <w:p>
            <w:pPr>
              <w:spacing w:after="0"/>
              <w:rPr>
                <w:sz w:val="17"/>
                <w:szCs w:val="17"/>
                <w:color w:val="auto"/>
              </w:rPr>
            </w:pPr>
          </w:p>
        </w:tc>
        <w:tc>
          <w:tcPr>
            <w:tcW w:w="420" w:type="dxa"/>
            <w:vAlign w:val="bottom"/>
            <w:tcBorders>
              <w:bottom w:val="single" w:sz="8" w:color="CCEEFF"/>
            </w:tcBorders>
            <w:gridSpan w:val="3"/>
            <w:vMerge w:val="continue"/>
            <w:shd w:val="clear" w:color="auto" w:fill="CCEEFF"/>
          </w:tcPr>
          <w:p>
            <w:pPr>
              <w:spacing w:after="0"/>
              <w:rPr>
                <w:sz w:val="17"/>
                <w:szCs w:val="17"/>
                <w:color w:val="auto"/>
              </w:rPr>
            </w:pPr>
          </w:p>
        </w:tc>
        <w:tc>
          <w:tcPr>
            <w:tcW w:w="260" w:type="dxa"/>
            <w:vAlign w:val="bottom"/>
            <w:tcBorders>
              <w:bottom w:val="single" w:sz="8" w:color="CCEEFF"/>
            </w:tcBorders>
            <w:gridSpan w:val="2"/>
            <w:vMerge w:val="continue"/>
            <w:shd w:val="clear" w:color="auto" w:fill="CCEEFF"/>
          </w:tcPr>
          <w:p>
            <w:pPr>
              <w:spacing w:after="0"/>
              <w:rPr>
                <w:sz w:val="17"/>
                <w:szCs w:val="17"/>
                <w:color w:val="auto"/>
              </w:rPr>
            </w:pPr>
          </w:p>
        </w:tc>
        <w:tc>
          <w:tcPr>
            <w:tcW w:w="640" w:type="dxa"/>
            <w:vAlign w:val="bottom"/>
            <w:tcBorders>
              <w:bottom w:val="single" w:sz="8" w:color="CCEEFF"/>
            </w:tcBorders>
            <w:gridSpan w:val="3"/>
            <w:vMerge w:val="continue"/>
            <w:shd w:val="clear" w:color="auto" w:fill="CCEEFF"/>
          </w:tcPr>
          <w:p>
            <w:pPr>
              <w:spacing w:after="0"/>
              <w:rPr>
                <w:sz w:val="17"/>
                <w:szCs w:val="17"/>
                <w:color w:val="auto"/>
              </w:rPr>
            </w:pPr>
          </w:p>
        </w:tc>
        <w:tc>
          <w:tcPr>
            <w:tcW w:w="160" w:type="dxa"/>
            <w:vAlign w:val="bottom"/>
            <w:tcBorders>
              <w:bottom w:val="single" w:sz="8" w:color="CCEEFF"/>
            </w:tcBorders>
            <w:gridSpan w:val="2"/>
            <w:vMerge w:val="continue"/>
            <w:shd w:val="clear" w:color="auto" w:fill="CCEEFF"/>
          </w:tcPr>
          <w:p>
            <w:pPr>
              <w:spacing w:after="0"/>
              <w:rPr>
                <w:sz w:val="17"/>
                <w:szCs w:val="17"/>
                <w:color w:val="auto"/>
              </w:rPr>
            </w:pPr>
          </w:p>
        </w:tc>
        <w:tc>
          <w:tcPr>
            <w:tcW w:w="560" w:type="dxa"/>
            <w:vAlign w:val="bottom"/>
            <w:tcBorders>
              <w:bottom w:val="single" w:sz="8" w:color="CCEEFF"/>
            </w:tcBorders>
            <w:gridSpan w:val="3"/>
            <w:vMerge w:val="continue"/>
            <w:shd w:val="clear" w:color="auto" w:fill="CCEEFF"/>
          </w:tcPr>
          <w:p>
            <w:pPr>
              <w:spacing w:after="0"/>
              <w:rPr>
                <w:sz w:val="17"/>
                <w:szCs w:val="17"/>
                <w:color w:val="auto"/>
              </w:rPr>
            </w:pPr>
          </w:p>
        </w:tc>
        <w:tc>
          <w:tcPr>
            <w:tcW w:w="160" w:type="dxa"/>
            <w:vAlign w:val="bottom"/>
            <w:tcBorders>
              <w:bottom w:val="single" w:sz="8" w:color="CCEEFF"/>
            </w:tcBorders>
            <w:gridSpan w:val="2"/>
            <w:vMerge w:val="continue"/>
            <w:shd w:val="clear" w:color="auto" w:fill="CCEEFF"/>
          </w:tcPr>
          <w:p>
            <w:pPr>
              <w:spacing w:after="0"/>
              <w:rPr>
                <w:sz w:val="17"/>
                <w:szCs w:val="17"/>
                <w:color w:val="auto"/>
              </w:rPr>
            </w:pPr>
          </w:p>
        </w:tc>
        <w:tc>
          <w:tcPr>
            <w:tcW w:w="420" w:type="dxa"/>
            <w:vAlign w:val="bottom"/>
            <w:tcBorders>
              <w:bottom w:val="single" w:sz="8" w:color="CCEEFF"/>
            </w:tcBorders>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3"/>
            <w:vMerge w:val="continue"/>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360" w:type="dxa"/>
            <w:vAlign w:val="bottom"/>
          </w:tcPr>
          <w:p>
            <w:pPr>
              <w:ind w:left="180"/>
              <w:spacing w:after="0"/>
              <w:rPr>
                <w:sz w:val="20"/>
                <w:szCs w:val="20"/>
                <w:color w:val="auto"/>
              </w:rPr>
            </w:pPr>
            <w:r>
              <w:rPr>
                <w:rFonts w:ascii="Arial" w:cs="Arial" w:eastAsia="Arial" w:hAnsi="Arial"/>
                <w:sz w:val="14"/>
                <w:szCs w:val="14"/>
                <w:color w:val="auto"/>
              </w:rPr>
              <w:t>Distributions</w:t>
            </w: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4"/>
          </w:tcPr>
          <w:p>
            <w:pPr>
              <w:jc w:val="right"/>
              <w:ind w:right="20"/>
              <w:spacing w:after="0"/>
              <w:rPr>
                <w:sz w:val="20"/>
                <w:szCs w:val="20"/>
                <w:color w:val="auto"/>
              </w:rPr>
            </w:pPr>
            <w:r>
              <w:rPr>
                <w:rFonts w:ascii="Arial" w:cs="Arial" w:eastAsia="Arial" w:hAnsi="Arial"/>
                <w:sz w:val="14"/>
                <w:szCs w:val="14"/>
                <w:color w:val="auto"/>
              </w:rPr>
              <w:t>(15,382)</w:t>
            </w:r>
          </w:p>
        </w:tc>
        <w:tc>
          <w:tcPr>
            <w:tcW w:w="640" w:type="dxa"/>
            <w:vAlign w:val="bottom"/>
            <w:gridSpan w:val="4"/>
          </w:tcPr>
          <w:p>
            <w:pPr>
              <w:jc w:val="right"/>
              <w:spacing w:after="0"/>
              <w:rPr>
                <w:sz w:val="20"/>
                <w:szCs w:val="20"/>
                <w:color w:val="auto"/>
              </w:rPr>
            </w:pPr>
            <w:r>
              <w:rPr>
                <w:rFonts w:ascii="Arial" w:cs="Arial" w:eastAsia="Arial" w:hAnsi="Arial"/>
                <w:sz w:val="14"/>
                <w:szCs w:val="14"/>
                <w:color w:val="auto"/>
              </w:rPr>
              <w:t>(15,382)</w:t>
            </w:r>
          </w:p>
        </w:tc>
        <w:tc>
          <w:tcPr>
            <w:tcW w:w="0" w:type="dxa"/>
            <w:vAlign w:val="bottom"/>
          </w:tcPr>
          <w:p>
            <w:pPr>
              <w:spacing w:after="0"/>
              <w:rPr>
                <w:sz w:val="1"/>
                <w:szCs w:val="1"/>
                <w:color w:val="auto"/>
              </w:rPr>
            </w:pPr>
          </w:p>
        </w:tc>
      </w:tr>
      <w:tr>
        <w:trPr>
          <w:trHeight w:val="39"/>
        </w:trPr>
        <w:tc>
          <w:tcPr>
            <w:tcW w:w="1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 of</w:t>
            </w: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Class B Units</w:t>
            </w:r>
          </w:p>
        </w:tc>
        <w:tc>
          <w:tcPr>
            <w:tcW w:w="7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9"/>
              </w:rPr>
              <w:t>(1,567)</w:t>
            </w:r>
          </w:p>
        </w:tc>
        <w:tc>
          <w:tcPr>
            <w:tcW w:w="6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rPr>
              <w:t>(1,567)</w:t>
            </w:r>
          </w:p>
        </w:tc>
        <w:tc>
          <w:tcPr>
            <w:tcW w:w="0" w:type="dxa"/>
            <w:vAlign w:val="bottom"/>
          </w:tcPr>
          <w:p>
            <w:pPr>
              <w:spacing w:after="0"/>
              <w:rPr>
                <w:sz w:val="1"/>
                <w:szCs w:val="1"/>
                <w:color w:val="auto"/>
              </w:rPr>
            </w:pPr>
          </w:p>
        </w:tc>
      </w:tr>
      <w:tr>
        <w:trPr>
          <w:trHeight w:val="203"/>
        </w:trPr>
        <w:tc>
          <w:tcPr>
            <w:tcW w:w="1360" w:type="dxa"/>
            <w:vAlign w:val="bottom"/>
          </w:tcPr>
          <w:p>
            <w:pPr>
              <w:ind w:left="180"/>
              <w:spacing w:after="0"/>
              <w:rPr>
                <w:sz w:val="20"/>
                <w:szCs w:val="20"/>
                <w:color w:val="auto"/>
              </w:rPr>
            </w:pPr>
            <w:r>
              <w:rPr>
                <w:rFonts w:ascii="Arial" w:cs="Arial" w:eastAsia="Arial" w:hAnsi="Arial"/>
                <w:sz w:val="14"/>
                <w:szCs w:val="14"/>
                <w:color w:val="auto"/>
              </w:rPr>
              <w:t>Net loss</w:t>
            </w: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(375)</w:t>
            </w:r>
          </w:p>
        </w:tc>
        <w:tc>
          <w:tcPr>
            <w:tcW w:w="640" w:type="dxa"/>
            <w:vAlign w:val="bottom"/>
            <w:gridSpan w:val="4"/>
          </w:tcPr>
          <w:p>
            <w:pPr>
              <w:jc w:val="right"/>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48"/>
        </w:trPr>
        <w:tc>
          <w:tcPr>
            <w:tcW w:w="136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 of December 31,</w:t>
            </w:r>
          </w:p>
        </w:tc>
        <w:tc>
          <w:tcPr>
            <w:tcW w:w="76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6"/>
                <w:szCs w:val="16"/>
                <w:color w:val="auto"/>
              </w:rPr>
            </w:pPr>
          </w:p>
        </w:tc>
        <w:tc>
          <w:tcPr>
            <w:tcW w:w="7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3"/>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4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w w:val="76"/>
              </w:rPr>
              <w:t>$</w:t>
            </w:r>
          </w:p>
        </w:tc>
        <w:tc>
          <w:tcPr>
            <w:tcW w:w="5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3"/>
              </w:rPr>
              <w:t>12,800</w:t>
            </w:r>
          </w:p>
        </w:tc>
        <w:tc>
          <w:tcPr>
            <w:tcW w:w="60" w:type="dxa"/>
            <w:vAlign w:val="bottom"/>
            <w:shd w:val="clear" w:color="auto" w:fill="CCEEFF"/>
          </w:tcPr>
          <w:p>
            <w:pPr>
              <w:spacing w:after="0"/>
              <w:rPr>
                <w:sz w:val="16"/>
                <w:szCs w:val="16"/>
                <w:color w:val="auto"/>
              </w:rPr>
            </w:pPr>
          </w:p>
        </w:tc>
        <w:tc>
          <w:tcPr>
            <w:tcW w:w="6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$ 12,800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CCEEFF"/>
            </w:tcBorders>
            <w:gridSpan w:val="3"/>
            <w:vMerge w:val="continue"/>
            <w:shd w:val="clear" w:color="auto" w:fill="CCEEFF"/>
          </w:tcPr>
          <w:p>
            <w:pPr>
              <w:spacing w:after="0"/>
              <w:rPr>
                <w:sz w:val="17"/>
                <w:szCs w:val="17"/>
                <w:color w:val="auto"/>
              </w:rPr>
            </w:pPr>
          </w:p>
        </w:tc>
        <w:tc>
          <w:tcPr>
            <w:tcW w:w="620" w:type="dxa"/>
            <w:vAlign w:val="bottom"/>
            <w:tcBorders>
              <w:bottom w:val="single" w:sz="8" w:color="CCEEFF"/>
            </w:tcBorders>
            <w:gridSpan w:val="3"/>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vMerge w:val="continue"/>
            <w:shd w:val="clear" w:color="auto" w:fill="CCEEFF"/>
          </w:tcPr>
          <w:p>
            <w:pPr>
              <w:spacing w:after="0"/>
              <w:rPr>
                <w:sz w:val="17"/>
                <w:szCs w:val="17"/>
                <w:color w:val="auto"/>
              </w:rPr>
            </w:pPr>
          </w:p>
        </w:tc>
        <w:tc>
          <w:tcPr>
            <w:tcW w:w="600" w:type="dxa"/>
            <w:vAlign w:val="bottom"/>
            <w:tcBorders>
              <w:bottom w:val="single" w:sz="8" w:color="CCEEFF"/>
            </w:tcBorders>
            <w:gridSpan w:val="3"/>
            <w:vMerge w:val="continue"/>
            <w:shd w:val="clear" w:color="auto" w:fill="CCEEFF"/>
          </w:tcPr>
          <w:p>
            <w:pPr>
              <w:spacing w:after="0"/>
              <w:rPr>
                <w:sz w:val="17"/>
                <w:szCs w:val="17"/>
                <w:color w:val="auto"/>
              </w:rPr>
            </w:pPr>
          </w:p>
        </w:tc>
        <w:tc>
          <w:tcPr>
            <w:tcW w:w="220" w:type="dxa"/>
            <w:vAlign w:val="bottom"/>
            <w:tcBorders>
              <w:bottom w:val="single" w:sz="8" w:color="CCEEFF"/>
            </w:tcBorders>
            <w:gridSpan w:val="3"/>
            <w:vMerge w:val="continue"/>
            <w:shd w:val="clear" w:color="auto" w:fill="CCEEFF"/>
          </w:tcPr>
          <w:p>
            <w:pPr>
              <w:spacing w:after="0"/>
              <w:rPr>
                <w:sz w:val="17"/>
                <w:szCs w:val="17"/>
                <w:color w:val="auto"/>
              </w:rPr>
            </w:pPr>
          </w:p>
        </w:tc>
        <w:tc>
          <w:tcPr>
            <w:tcW w:w="560" w:type="dxa"/>
            <w:vAlign w:val="bottom"/>
            <w:tcBorders>
              <w:bottom w:val="single" w:sz="8" w:color="CCEEFF"/>
            </w:tcBorders>
            <w:gridSpan w:val="3"/>
            <w:vMerge w:val="continue"/>
            <w:shd w:val="clear" w:color="auto" w:fill="CCEEFF"/>
          </w:tcPr>
          <w:p>
            <w:pPr>
              <w:spacing w:after="0"/>
              <w:rPr>
                <w:sz w:val="17"/>
                <w:szCs w:val="17"/>
                <w:color w:val="auto"/>
              </w:rPr>
            </w:pPr>
          </w:p>
        </w:tc>
        <w:tc>
          <w:tcPr>
            <w:tcW w:w="200" w:type="dxa"/>
            <w:vAlign w:val="bottom"/>
            <w:tcBorders>
              <w:bottom w:val="single" w:sz="8" w:color="CCEEFF"/>
            </w:tcBorders>
            <w:gridSpan w:val="2"/>
            <w:vMerge w:val="continue"/>
            <w:shd w:val="clear" w:color="auto" w:fill="CCEEFF"/>
          </w:tcPr>
          <w:p>
            <w:pPr>
              <w:spacing w:after="0"/>
              <w:rPr>
                <w:sz w:val="17"/>
                <w:szCs w:val="17"/>
                <w:color w:val="auto"/>
              </w:rPr>
            </w:pPr>
          </w:p>
        </w:tc>
        <w:tc>
          <w:tcPr>
            <w:tcW w:w="420" w:type="dxa"/>
            <w:vAlign w:val="bottom"/>
            <w:tcBorders>
              <w:bottom w:val="single" w:sz="8" w:color="CCEEFF"/>
            </w:tcBorders>
            <w:gridSpan w:val="3"/>
            <w:vMerge w:val="continue"/>
            <w:shd w:val="clear" w:color="auto" w:fill="CCEEFF"/>
          </w:tcPr>
          <w:p>
            <w:pPr>
              <w:spacing w:after="0"/>
              <w:rPr>
                <w:sz w:val="17"/>
                <w:szCs w:val="17"/>
                <w:color w:val="auto"/>
              </w:rPr>
            </w:pPr>
          </w:p>
        </w:tc>
        <w:tc>
          <w:tcPr>
            <w:tcW w:w="260" w:type="dxa"/>
            <w:vAlign w:val="bottom"/>
            <w:tcBorders>
              <w:bottom w:val="single" w:sz="8" w:color="CCEEFF"/>
            </w:tcBorders>
            <w:gridSpan w:val="2"/>
            <w:vMerge w:val="continue"/>
            <w:shd w:val="clear" w:color="auto" w:fill="CCEEFF"/>
          </w:tcPr>
          <w:p>
            <w:pPr>
              <w:spacing w:after="0"/>
              <w:rPr>
                <w:sz w:val="17"/>
                <w:szCs w:val="17"/>
                <w:color w:val="auto"/>
              </w:rPr>
            </w:pPr>
          </w:p>
        </w:tc>
        <w:tc>
          <w:tcPr>
            <w:tcW w:w="640" w:type="dxa"/>
            <w:vAlign w:val="bottom"/>
            <w:tcBorders>
              <w:bottom w:val="single" w:sz="8" w:color="CCEEFF"/>
            </w:tcBorders>
            <w:gridSpan w:val="3"/>
            <w:vMerge w:val="continue"/>
            <w:shd w:val="clear" w:color="auto" w:fill="CCEEFF"/>
          </w:tcPr>
          <w:p>
            <w:pPr>
              <w:spacing w:after="0"/>
              <w:rPr>
                <w:sz w:val="17"/>
                <w:szCs w:val="17"/>
                <w:color w:val="auto"/>
              </w:rPr>
            </w:pPr>
          </w:p>
        </w:tc>
        <w:tc>
          <w:tcPr>
            <w:tcW w:w="160" w:type="dxa"/>
            <w:vAlign w:val="bottom"/>
            <w:tcBorders>
              <w:bottom w:val="single" w:sz="8" w:color="CCEEFF"/>
            </w:tcBorders>
            <w:gridSpan w:val="2"/>
            <w:vMerge w:val="continue"/>
            <w:shd w:val="clear" w:color="auto" w:fill="CCEEFF"/>
          </w:tcPr>
          <w:p>
            <w:pPr>
              <w:spacing w:after="0"/>
              <w:rPr>
                <w:sz w:val="17"/>
                <w:szCs w:val="17"/>
                <w:color w:val="auto"/>
              </w:rPr>
            </w:pPr>
          </w:p>
        </w:tc>
        <w:tc>
          <w:tcPr>
            <w:tcW w:w="560" w:type="dxa"/>
            <w:vAlign w:val="bottom"/>
            <w:tcBorders>
              <w:bottom w:val="single" w:sz="8" w:color="CCEEFF"/>
            </w:tcBorders>
            <w:gridSpan w:val="3"/>
            <w:vMerge w:val="continue"/>
            <w:shd w:val="clear" w:color="auto" w:fill="CCEEFF"/>
          </w:tcPr>
          <w:p>
            <w:pPr>
              <w:spacing w:after="0"/>
              <w:rPr>
                <w:sz w:val="17"/>
                <w:szCs w:val="17"/>
                <w:color w:val="auto"/>
              </w:rPr>
            </w:pPr>
          </w:p>
        </w:tc>
        <w:tc>
          <w:tcPr>
            <w:tcW w:w="160" w:type="dxa"/>
            <w:vAlign w:val="bottom"/>
            <w:tcBorders>
              <w:bottom w:val="single" w:sz="8" w:color="CCEEFF"/>
            </w:tcBorders>
            <w:gridSpan w:val="2"/>
            <w:vMerge w:val="continue"/>
            <w:shd w:val="clear" w:color="auto" w:fill="CCEEFF"/>
          </w:tcPr>
          <w:p>
            <w:pPr>
              <w:spacing w:after="0"/>
              <w:rPr>
                <w:sz w:val="17"/>
                <w:szCs w:val="17"/>
                <w:color w:val="auto"/>
              </w:rPr>
            </w:pPr>
          </w:p>
        </w:tc>
        <w:tc>
          <w:tcPr>
            <w:tcW w:w="420" w:type="dxa"/>
            <w:vAlign w:val="bottom"/>
            <w:tcBorders>
              <w:bottom w:val="single" w:sz="8" w:color="CCEEFF"/>
            </w:tcBorders>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3"/>
            <w:vMerge w:val="continue"/>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360" w:type="dxa"/>
            <w:vAlign w:val="bottom"/>
          </w:tcPr>
          <w:p>
            <w:pPr>
              <w:ind w:left="180"/>
              <w:spacing w:after="0"/>
              <w:rPr>
                <w:sz w:val="20"/>
                <w:szCs w:val="20"/>
                <w:color w:val="auto"/>
              </w:rPr>
            </w:pPr>
            <w:r>
              <w:rPr>
                <w:rFonts w:ascii="Arial" w:cs="Arial" w:eastAsia="Arial" w:hAnsi="Arial"/>
                <w:sz w:val="14"/>
                <w:szCs w:val="14"/>
                <w:color w:val="auto"/>
              </w:rPr>
              <w:t>Distributions</w:t>
            </w: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4"/>
          </w:tcPr>
          <w:p>
            <w:pPr>
              <w:jc w:val="right"/>
              <w:ind w:right="20"/>
              <w:spacing w:after="0"/>
              <w:rPr>
                <w:sz w:val="20"/>
                <w:szCs w:val="20"/>
                <w:color w:val="auto"/>
              </w:rPr>
            </w:pPr>
            <w:r>
              <w:rPr>
                <w:rFonts w:ascii="Arial" w:cs="Arial" w:eastAsia="Arial" w:hAnsi="Arial"/>
                <w:sz w:val="14"/>
                <w:szCs w:val="14"/>
                <w:color w:val="auto"/>
              </w:rPr>
              <w:t>(21,953)</w:t>
            </w:r>
          </w:p>
        </w:tc>
        <w:tc>
          <w:tcPr>
            <w:tcW w:w="640" w:type="dxa"/>
            <w:vAlign w:val="bottom"/>
            <w:gridSpan w:val="4"/>
          </w:tcPr>
          <w:p>
            <w:pPr>
              <w:jc w:val="right"/>
              <w:spacing w:after="0"/>
              <w:rPr>
                <w:sz w:val="20"/>
                <w:szCs w:val="20"/>
                <w:color w:val="auto"/>
              </w:rPr>
            </w:pPr>
            <w:r>
              <w:rPr>
                <w:rFonts w:ascii="Arial" w:cs="Arial" w:eastAsia="Arial" w:hAnsi="Arial"/>
                <w:sz w:val="14"/>
                <w:szCs w:val="14"/>
                <w:color w:val="auto"/>
              </w:rPr>
              <w:t>(21,953)</w:t>
            </w:r>
          </w:p>
        </w:tc>
        <w:tc>
          <w:tcPr>
            <w:tcW w:w="0" w:type="dxa"/>
            <w:vAlign w:val="bottom"/>
          </w:tcPr>
          <w:p>
            <w:pPr>
              <w:spacing w:after="0"/>
              <w:rPr>
                <w:sz w:val="1"/>
                <w:szCs w:val="1"/>
                <w:color w:val="auto"/>
              </w:rPr>
            </w:pPr>
          </w:p>
        </w:tc>
      </w:tr>
      <w:tr>
        <w:trPr>
          <w:trHeight w:val="39"/>
        </w:trPr>
        <w:tc>
          <w:tcPr>
            <w:tcW w:w="1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 of</w:t>
            </w: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Class B Units</w:t>
            </w:r>
          </w:p>
        </w:tc>
        <w:tc>
          <w:tcPr>
            <w:tcW w:w="7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(406)</w:t>
            </w:r>
          </w:p>
        </w:tc>
        <w:tc>
          <w:tcPr>
            <w:tcW w:w="6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203"/>
        </w:trPr>
        <w:tc>
          <w:tcPr>
            <w:tcW w:w="136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88"/>
              </w:rPr>
              <w:t>38,830</w:t>
            </w:r>
          </w:p>
        </w:tc>
        <w:tc>
          <w:tcPr>
            <w:tcW w:w="60" w:type="dxa"/>
            <w:vAlign w:val="bottom"/>
          </w:tcPr>
          <w:p>
            <w:pPr>
              <w:spacing w:after="0"/>
              <w:rPr>
                <w:sz w:val="17"/>
                <w:szCs w:val="17"/>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4"/>
                <w:szCs w:val="14"/>
                <w:color w:val="auto"/>
              </w:rPr>
              <w:t>38,830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36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 of December 31,</w:t>
            </w:r>
          </w:p>
        </w:tc>
        <w:tc>
          <w:tcPr>
            <w:tcW w:w="76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6"/>
                <w:szCs w:val="16"/>
                <w:color w:val="auto"/>
              </w:rPr>
            </w:pPr>
          </w:p>
        </w:tc>
        <w:tc>
          <w:tcPr>
            <w:tcW w:w="7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3"/>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4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w w:val="76"/>
              </w:rPr>
              <w:t>$</w:t>
            </w:r>
          </w:p>
        </w:tc>
        <w:tc>
          <w:tcPr>
            <w:tcW w:w="5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3"/>
              </w:rPr>
              <w:t>29,271</w:t>
            </w:r>
          </w:p>
        </w:tc>
        <w:tc>
          <w:tcPr>
            <w:tcW w:w="60" w:type="dxa"/>
            <w:vAlign w:val="bottom"/>
            <w:shd w:val="clear" w:color="auto" w:fill="CCEEFF"/>
          </w:tcPr>
          <w:p>
            <w:pPr>
              <w:spacing w:after="0"/>
              <w:rPr>
                <w:sz w:val="16"/>
                <w:szCs w:val="16"/>
                <w:color w:val="auto"/>
              </w:rPr>
            </w:pPr>
          </w:p>
        </w:tc>
        <w:tc>
          <w:tcPr>
            <w:tcW w:w="6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$ 29,271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CCEEFF"/>
            </w:tcBorders>
            <w:gridSpan w:val="3"/>
            <w:vMerge w:val="continue"/>
            <w:shd w:val="clear" w:color="auto" w:fill="CCEEFF"/>
          </w:tcPr>
          <w:p>
            <w:pPr>
              <w:spacing w:after="0"/>
              <w:rPr>
                <w:sz w:val="17"/>
                <w:szCs w:val="17"/>
                <w:color w:val="auto"/>
              </w:rPr>
            </w:pPr>
          </w:p>
        </w:tc>
        <w:tc>
          <w:tcPr>
            <w:tcW w:w="620" w:type="dxa"/>
            <w:vAlign w:val="bottom"/>
            <w:tcBorders>
              <w:bottom w:val="single" w:sz="8" w:color="CCEEFF"/>
            </w:tcBorders>
            <w:gridSpan w:val="3"/>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vMerge w:val="continue"/>
            <w:shd w:val="clear" w:color="auto" w:fill="CCEEFF"/>
          </w:tcPr>
          <w:p>
            <w:pPr>
              <w:spacing w:after="0"/>
              <w:rPr>
                <w:sz w:val="17"/>
                <w:szCs w:val="17"/>
                <w:color w:val="auto"/>
              </w:rPr>
            </w:pPr>
          </w:p>
        </w:tc>
        <w:tc>
          <w:tcPr>
            <w:tcW w:w="600" w:type="dxa"/>
            <w:vAlign w:val="bottom"/>
            <w:tcBorders>
              <w:bottom w:val="single" w:sz="8" w:color="CCEEFF"/>
            </w:tcBorders>
            <w:gridSpan w:val="3"/>
            <w:vMerge w:val="continue"/>
            <w:shd w:val="clear" w:color="auto" w:fill="CCEEFF"/>
          </w:tcPr>
          <w:p>
            <w:pPr>
              <w:spacing w:after="0"/>
              <w:rPr>
                <w:sz w:val="17"/>
                <w:szCs w:val="17"/>
                <w:color w:val="auto"/>
              </w:rPr>
            </w:pPr>
          </w:p>
        </w:tc>
        <w:tc>
          <w:tcPr>
            <w:tcW w:w="220" w:type="dxa"/>
            <w:vAlign w:val="bottom"/>
            <w:tcBorders>
              <w:bottom w:val="single" w:sz="8" w:color="CCEEFF"/>
            </w:tcBorders>
            <w:gridSpan w:val="3"/>
            <w:vMerge w:val="continue"/>
            <w:shd w:val="clear" w:color="auto" w:fill="CCEEFF"/>
          </w:tcPr>
          <w:p>
            <w:pPr>
              <w:spacing w:after="0"/>
              <w:rPr>
                <w:sz w:val="17"/>
                <w:szCs w:val="17"/>
                <w:color w:val="auto"/>
              </w:rPr>
            </w:pPr>
          </w:p>
        </w:tc>
        <w:tc>
          <w:tcPr>
            <w:tcW w:w="560" w:type="dxa"/>
            <w:vAlign w:val="bottom"/>
            <w:tcBorders>
              <w:bottom w:val="single" w:sz="8" w:color="CCEEFF"/>
            </w:tcBorders>
            <w:gridSpan w:val="3"/>
            <w:vMerge w:val="continue"/>
            <w:shd w:val="clear" w:color="auto" w:fill="CCEEFF"/>
          </w:tcPr>
          <w:p>
            <w:pPr>
              <w:spacing w:after="0"/>
              <w:rPr>
                <w:sz w:val="17"/>
                <w:szCs w:val="17"/>
                <w:color w:val="auto"/>
              </w:rPr>
            </w:pPr>
          </w:p>
        </w:tc>
        <w:tc>
          <w:tcPr>
            <w:tcW w:w="200" w:type="dxa"/>
            <w:vAlign w:val="bottom"/>
            <w:tcBorders>
              <w:bottom w:val="single" w:sz="8" w:color="CCEEFF"/>
            </w:tcBorders>
            <w:gridSpan w:val="2"/>
            <w:vMerge w:val="continue"/>
            <w:shd w:val="clear" w:color="auto" w:fill="CCEEFF"/>
          </w:tcPr>
          <w:p>
            <w:pPr>
              <w:spacing w:after="0"/>
              <w:rPr>
                <w:sz w:val="17"/>
                <w:szCs w:val="17"/>
                <w:color w:val="auto"/>
              </w:rPr>
            </w:pPr>
          </w:p>
        </w:tc>
        <w:tc>
          <w:tcPr>
            <w:tcW w:w="420" w:type="dxa"/>
            <w:vAlign w:val="bottom"/>
            <w:tcBorders>
              <w:bottom w:val="single" w:sz="8" w:color="CCEEFF"/>
            </w:tcBorders>
            <w:gridSpan w:val="3"/>
            <w:vMerge w:val="continue"/>
            <w:shd w:val="clear" w:color="auto" w:fill="CCEEFF"/>
          </w:tcPr>
          <w:p>
            <w:pPr>
              <w:spacing w:after="0"/>
              <w:rPr>
                <w:sz w:val="17"/>
                <w:szCs w:val="17"/>
                <w:color w:val="auto"/>
              </w:rPr>
            </w:pPr>
          </w:p>
        </w:tc>
        <w:tc>
          <w:tcPr>
            <w:tcW w:w="260" w:type="dxa"/>
            <w:vAlign w:val="bottom"/>
            <w:tcBorders>
              <w:bottom w:val="single" w:sz="8" w:color="CCEEFF"/>
            </w:tcBorders>
            <w:gridSpan w:val="2"/>
            <w:vMerge w:val="continue"/>
            <w:shd w:val="clear" w:color="auto" w:fill="CCEEFF"/>
          </w:tcPr>
          <w:p>
            <w:pPr>
              <w:spacing w:after="0"/>
              <w:rPr>
                <w:sz w:val="17"/>
                <w:szCs w:val="17"/>
                <w:color w:val="auto"/>
              </w:rPr>
            </w:pPr>
          </w:p>
        </w:tc>
        <w:tc>
          <w:tcPr>
            <w:tcW w:w="640" w:type="dxa"/>
            <w:vAlign w:val="bottom"/>
            <w:tcBorders>
              <w:bottom w:val="single" w:sz="8" w:color="CCEEFF"/>
            </w:tcBorders>
            <w:gridSpan w:val="3"/>
            <w:vMerge w:val="continue"/>
            <w:shd w:val="clear" w:color="auto" w:fill="CCEEFF"/>
          </w:tcPr>
          <w:p>
            <w:pPr>
              <w:spacing w:after="0"/>
              <w:rPr>
                <w:sz w:val="17"/>
                <w:szCs w:val="17"/>
                <w:color w:val="auto"/>
              </w:rPr>
            </w:pPr>
          </w:p>
        </w:tc>
        <w:tc>
          <w:tcPr>
            <w:tcW w:w="160" w:type="dxa"/>
            <w:vAlign w:val="bottom"/>
            <w:tcBorders>
              <w:bottom w:val="single" w:sz="8" w:color="CCEEFF"/>
            </w:tcBorders>
            <w:gridSpan w:val="2"/>
            <w:vMerge w:val="continue"/>
            <w:shd w:val="clear" w:color="auto" w:fill="CCEEFF"/>
          </w:tcPr>
          <w:p>
            <w:pPr>
              <w:spacing w:after="0"/>
              <w:rPr>
                <w:sz w:val="17"/>
                <w:szCs w:val="17"/>
                <w:color w:val="auto"/>
              </w:rPr>
            </w:pPr>
          </w:p>
        </w:tc>
        <w:tc>
          <w:tcPr>
            <w:tcW w:w="560" w:type="dxa"/>
            <w:vAlign w:val="bottom"/>
            <w:tcBorders>
              <w:bottom w:val="single" w:sz="8" w:color="CCEEFF"/>
            </w:tcBorders>
            <w:gridSpan w:val="3"/>
            <w:vMerge w:val="continue"/>
            <w:shd w:val="clear" w:color="auto" w:fill="CCEEFF"/>
          </w:tcPr>
          <w:p>
            <w:pPr>
              <w:spacing w:after="0"/>
              <w:rPr>
                <w:sz w:val="17"/>
                <w:szCs w:val="17"/>
                <w:color w:val="auto"/>
              </w:rPr>
            </w:pPr>
          </w:p>
        </w:tc>
        <w:tc>
          <w:tcPr>
            <w:tcW w:w="160" w:type="dxa"/>
            <w:vAlign w:val="bottom"/>
            <w:tcBorders>
              <w:bottom w:val="single" w:sz="8" w:color="CCEEFF"/>
            </w:tcBorders>
            <w:gridSpan w:val="2"/>
            <w:vMerge w:val="continue"/>
            <w:shd w:val="clear" w:color="auto" w:fill="CCEEFF"/>
          </w:tcPr>
          <w:p>
            <w:pPr>
              <w:spacing w:after="0"/>
              <w:rPr>
                <w:sz w:val="17"/>
                <w:szCs w:val="17"/>
                <w:color w:val="auto"/>
              </w:rPr>
            </w:pPr>
          </w:p>
        </w:tc>
        <w:tc>
          <w:tcPr>
            <w:tcW w:w="420" w:type="dxa"/>
            <w:vAlign w:val="bottom"/>
            <w:tcBorders>
              <w:bottom w:val="single" w:sz="8" w:color="CCEEFF"/>
            </w:tcBorders>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3"/>
            <w:vMerge w:val="continue"/>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360" w:type="dxa"/>
            <w:vAlign w:val="bottom"/>
          </w:tcPr>
          <w:p>
            <w:pPr>
              <w:ind w:left="180"/>
              <w:spacing w:after="0"/>
              <w:rPr>
                <w:sz w:val="20"/>
                <w:szCs w:val="20"/>
                <w:color w:val="auto"/>
              </w:rPr>
            </w:pPr>
            <w:r>
              <w:rPr>
                <w:rFonts w:ascii="Arial" w:cs="Arial" w:eastAsia="Arial" w:hAnsi="Arial"/>
                <w:sz w:val="14"/>
                <w:szCs w:val="14"/>
                <w:color w:val="auto"/>
              </w:rPr>
              <w:t>Stock-based</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60" w:type="dxa"/>
            <w:vAlign w:val="bottom"/>
          </w:tcPr>
          <w:p>
            <w:pPr>
              <w:ind w:left="360"/>
              <w:spacing w:after="0"/>
              <w:rPr>
                <w:sz w:val="20"/>
                <w:szCs w:val="20"/>
                <w:color w:val="auto"/>
              </w:rPr>
            </w:pPr>
            <w:r>
              <w:rPr>
                <w:rFonts w:ascii="Arial" w:cs="Arial" w:eastAsia="Arial" w:hAnsi="Arial"/>
                <w:sz w:val="14"/>
                <w:szCs w:val="14"/>
                <w:color w:val="auto"/>
              </w:rPr>
              <w:t>compensation</w:t>
            </w: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9,570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9,570</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3"/>
              </w:rPr>
              <w:t>20,853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20"/>
              <w:spacing w:after="0"/>
              <w:rPr>
                <w:sz w:val="20"/>
                <w:szCs w:val="20"/>
                <w:color w:val="auto"/>
              </w:rPr>
            </w:pPr>
            <w:r>
              <w:rPr>
                <w:rFonts w:ascii="Arial" w:cs="Arial" w:eastAsia="Arial" w:hAnsi="Arial"/>
                <w:sz w:val="14"/>
                <w:szCs w:val="14"/>
                <w:color w:val="auto"/>
              </w:rPr>
              <w:t>30,423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1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Distributions</w:t>
            </w:r>
          </w:p>
        </w:tc>
        <w:tc>
          <w:tcPr>
            <w:tcW w:w="7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(888)</w:t>
            </w:r>
          </w:p>
        </w:tc>
        <w:tc>
          <w:tcPr>
            <w:tcW w:w="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(18,110)</w:t>
            </w:r>
          </w:p>
        </w:tc>
        <w:tc>
          <w:tcPr>
            <w:tcW w:w="6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rPr>
              <w:t>(18,998)</w:t>
            </w:r>
          </w:p>
        </w:tc>
        <w:tc>
          <w:tcPr>
            <w:tcW w:w="0" w:type="dxa"/>
            <w:vAlign w:val="bottom"/>
          </w:tcPr>
          <w:p>
            <w:pPr>
              <w:spacing w:after="0"/>
              <w:rPr>
                <w:sz w:val="1"/>
                <w:szCs w:val="1"/>
                <w:color w:val="auto"/>
              </w:rPr>
            </w:pPr>
          </w:p>
        </w:tc>
      </w:tr>
      <w:tr>
        <w:trPr>
          <w:trHeight w:val="184"/>
        </w:trPr>
        <w:tc>
          <w:tcPr>
            <w:tcW w:w="1360" w:type="dxa"/>
            <w:vAlign w:val="bottom"/>
          </w:tcPr>
          <w:p>
            <w:pPr>
              <w:ind w:left="180"/>
              <w:spacing w:after="0"/>
              <w:rPr>
                <w:sz w:val="20"/>
                <w:szCs w:val="20"/>
                <w:color w:val="auto"/>
              </w:rPr>
            </w:pPr>
            <w:r>
              <w:rPr>
                <w:rFonts w:ascii="Arial" w:cs="Arial" w:eastAsia="Arial" w:hAnsi="Arial"/>
                <w:sz w:val="14"/>
                <w:szCs w:val="14"/>
                <w:color w:val="auto"/>
              </w:rPr>
              <w:t>Repurchase of</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60" w:type="dxa"/>
            <w:vAlign w:val="bottom"/>
          </w:tcPr>
          <w:p>
            <w:pPr>
              <w:ind w:left="360"/>
              <w:spacing w:after="0"/>
              <w:rPr>
                <w:sz w:val="20"/>
                <w:szCs w:val="20"/>
                <w:color w:val="auto"/>
              </w:rPr>
            </w:pPr>
            <w:r>
              <w:rPr>
                <w:rFonts w:ascii="Arial" w:cs="Arial" w:eastAsia="Arial" w:hAnsi="Arial"/>
                <w:sz w:val="14"/>
                <w:szCs w:val="14"/>
                <w:color w:val="auto"/>
              </w:rPr>
              <w:t>Class B Units</w:t>
            </w: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(5,565)</w:t>
            </w:r>
          </w:p>
        </w:tc>
        <w:tc>
          <w:tcPr>
            <w:tcW w:w="640" w:type="dxa"/>
            <w:vAlign w:val="bottom"/>
            <w:gridSpan w:val="4"/>
          </w:tcPr>
          <w:p>
            <w:pPr>
              <w:jc w:val="right"/>
              <w:spacing w:after="0"/>
              <w:rPr>
                <w:sz w:val="20"/>
                <w:szCs w:val="20"/>
                <w:color w:val="auto"/>
              </w:rPr>
            </w:pPr>
            <w:r>
              <w:rPr>
                <w:rFonts w:ascii="Arial" w:cs="Arial" w:eastAsia="Arial" w:hAnsi="Arial"/>
                <w:sz w:val="14"/>
                <w:szCs w:val="14"/>
                <w:color w:val="auto"/>
              </w:rPr>
              <w:t>(5,565)</w:t>
            </w:r>
          </w:p>
        </w:tc>
        <w:tc>
          <w:tcPr>
            <w:tcW w:w="0" w:type="dxa"/>
            <w:vAlign w:val="bottom"/>
          </w:tcPr>
          <w:p>
            <w:pPr>
              <w:spacing w:after="0"/>
              <w:rPr>
                <w:sz w:val="1"/>
                <w:szCs w:val="1"/>
                <w:color w:val="auto"/>
              </w:rPr>
            </w:pPr>
          </w:p>
        </w:tc>
      </w:tr>
      <w:tr>
        <w:trPr>
          <w:trHeight w:val="39"/>
        </w:trPr>
        <w:tc>
          <w:tcPr>
            <w:tcW w:w="1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and</w:t>
            </w: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3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96"/>
              </w:rPr>
              <w:t>shares issued in</w:t>
            </w: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the Business</w:t>
            </w: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Combination</w:t>
            </w: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(Note 6)</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63,738,563</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6</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99"/>
              </w:rPr>
              <w:t>65,502,347</w:t>
            </w:r>
          </w:p>
        </w:tc>
        <w:tc>
          <w:tcPr>
            <w:tcW w:w="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7</w:t>
            </w:r>
          </w:p>
        </w:tc>
        <w:tc>
          <w:tcPr>
            <w:tcW w:w="72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4"/>
                <w:szCs w:val="14"/>
                <w:color w:val="auto"/>
              </w:rPr>
              <w:t>(20,118)</w:t>
            </w: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986</w:t>
            </w: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(19,119)</w:t>
            </w:r>
          </w:p>
        </w:tc>
        <w:tc>
          <w:tcPr>
            <w:tcW w:w="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(44,928)</w:t>
            </w:r>
          </w:p>
        </w:tc>
        <w:tc>
          <w:tcPr>
            <w:tcW w:w="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(20,674)</w:t>
            </w:r>
          </w:p>
        </w:tc>
        <w:tc>
          <w:tcPr>
            <w:tcW w:w="6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rPr>
              <w:t>(84,721)</w:t>
            </w:r>
          </w:p>
        </w:tc>
        <w:tc>
          <w:tcPr>
            <w:tcW w:w="0" w:type="dxa"/>
            <w:vAlign w:val="bottom"/>
          </w:tcPr>
          <w:p>
            <w:pPr>
              <w:spacing w:after="0"/>
              <w:rPr>
                <w:sz w:val="1"/>
                <w:szCs w:val="1"/>
                <w:color w:val="auto"/>
              </w:rPr>
            </w:pPr>
          </w:p>
        </w:tc>
      </w:tr>
      <w:tr>
        <w:trPr>
          <w:trHeight w:val="184"/>
        </w:trPr>
        <w:tc>
          <w:tcPr>
            <w:tcW w:w="1360" w:type="dxa"/>
            <w:vAlign w:val="bottom"/>
          </w:tcPr>
          <w:p>
            <w:pPr>
              <w:ind w:left="180"/>
              <w:spacing w:after="0"/>
              <w:rPr>
                <w:sz w:val="20"/>
                <w:szCs w:val="20"/>
                <w:color w:val="auto"/>
              </w:rPr>
            </w:pPr>
            <w:r>
              <w:rPr>
                <w:rFonts w:ascii="Arial" w:cs="Arial" w:eastAsia="Arial" w:hAnsi="Arial"/>
                <w:sz w:val="14"/>
                <w:szCs w:val="14"/>
                <w:color w:val="auto"/>
              </w:rPr>
              <w:t>Issuance of</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360" w:type="dxa"/>
            <w:vAlign w:val="bottom"/>
          </w:tcPr>
          <w:p>
            <w:pPr>
              <w:ind w:left="360"/>
              <w:spacing w:after="0" w:line="149" w:lineRule="exact"/>
              <w:rPr>
                <w:sz w:val="20"/>
                <w:szCs w:val="20"/>
                <w:color w:val="auto"/>
              </w:rPr>
            </w:pPr>
            <w:r>
              <w:rPr>
                <w:rFonts w:ascii="Arial" w:cs="Arial" w:eastAsia="Arial" w:hAnsi="Arial"/>
                <w:sz w:val="14"/>
                <w:szCs w:val="14"/>
                <w:color w:val="auto"/>
              </w:rPr>
              <w:t>common stock</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tcPr>
          <w:p>
            <w:pPr>
              <w:ind w:left="360"/>
              <w:spacing w:after="0" w:line="149" w:lineRule="exact"/>
              <w:rPr>
                <w:sz w:val="20"/>
                <w:szCs w:val="20"/>
                <w:color w:val="auto"/>
              </w:rPr>
            </w:pPr>
            <w:r>
              <w:rPr>
                <w:rFonts w:ascii="Arial" w:cs="Arial" w:eastAsia="Arial" w:hAnsi="Arial"/>
                <w:sz w:val="14"/>
                <w:szCs w:val="14"/>
                <w:color w:val="auto"/>
              </w:rPr>
              <w:t>for acquisitions</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60" w:type="dxa"/>
            <w:vAlign w:val="bottom"/>
          </w:tcPr>
          <w:p>
            <w:pPr>
              <w:ind w:left="360"/>
              <w:spacing w:after="0"/>
              <w:rPr>
                <w:sz w:val="20"/>
                <w:szCs w:val="20"/>
                <w:color w:val="auto"/>
              </w:rPr>
            </w:pPr>
            <w:r>
              <w:rPr>
                <w:rFonts w:ascii="Arial" w:cs="Arial" w:eastAsia="Arial" w:hAnsi="Arial"/>
                <w:sz w:val="14"/>
                <w:szCs w:val="14"/>
                <w:color w:val="auto"/>
              </w:rPr>
              <w:t>(Note 7)</w:t>
            </w:r>
          </w:p>
        </w:tc>
        <w:tc>
          <w:tcPr>
            <w:tcW w:w="660" w:type="dxa"/>
            <w:vAlign w:val="bottom"/>
          </w:tcPr>
          <w:p>
            <w:pPr>
              <w:jc w:val="right"/>
              <w:spacing w:after="0"/>
              <w:rPr>
                <w:sz w:val="20"/>
                <w:szCs w:val="20"/>
                <w:color w:val="auto"/>
              </w:rPr>
            </w:pPr>
            <w:r>
              <w:rPr>
                <w:rFonts w:ascii="Arial" w:cs="Arial" w:eastAsia="Arial" w:hAnsi="Arial"/>
                <w:sz w:val="14"/>
                <w:szCs w:val="14"/>
                <w:color w:val="auto"/>
              </w:rPr>
              <w:t>1,938,798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3"/>
              </w:rPr>
              <w:t>12,721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88"/>
              </w:rPr>
              <w:t>12,722</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3"/>
              </w:rPr>
              <w:t>16,590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20"/>
              <w:spacing w:after="0"/>
              <w:rPr>
                <w:sz w:val="20"/>
                <w:szCs w:val="20"/>
                <w:color w:val="auto"/>
              </w:rPr>
            </w:pPr>
            <w:r>
              <w:rPr>
                <w:rFonts w:ascii="Arial" w:cs="Arial" w:eastAsia="Arial" w:hAnsi="Arial"/>
                <w:sz w:val="14"/>
                <w:szCs w:val="14"/>
                <w:color w:val="auto"/>
              </w:rPr>
              <w:t>29,312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1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136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60,383</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60,383</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76,757</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15,078</w:t>
            </w:r>
          </w:p>
        </w:tc>
        <w:tc>
          <w:tcPr>
            <w:tcW w:w="6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152,218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3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360" w:type="dxa"/>
            <w:vAlign w:val="bottom"/>
          </w:tcPr>
          <w:p>
            <w:pPr>
              <w:spacing w:after="0"/>
              <w:rPr>
                <w:sz w:val="20"/>
                <w:szCs w:val="20"/>
                <w:color w:val="auto"/>
              </w:rPr>
            </w:pPr>
            <w:r>
              <w:rPr>
                <w:rFonts w:ascii="Arial" w:cs="Arial" w:eastAsia="Arial" w:hAnsi="Arial"/>
                <w:sz w:val="14"/>
                <w:szCs w:val="14"/>
                <w:b w:val="1"/>
                <w:bCs w:val="1"/>
                <w:color w:val="auto"/>
              </w:rPr>
              <w:t>As of December 31,</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65,677,361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$ 7</w:t>
            </w: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65,502,347</w:t>
            </w:r>
          </w:p>
        </w:tc>
        <w:tc>
          <w:tcPr>
            <w:tcW w:w="60" w:type="dxa"/>
            <w:vAlign w:val="bottom"/>
          </w:tcPr>
          <w:p>
            <w:pPr>
              <w:spacing w:after="0"/>
              <w:rPr>
                <w:sz w:val="16"/>
                <w:szCs w:val="16"/>
                <w:color w:val="auto"/>
              </w:rPr>
            </w:pPr>
          </w:p>
        </w:tc>
        <w:tc>
          <w:tcPr>
            <w:tcW w:w="60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$ 7</w:t>
            </w:r>
          </w:p>
        </w:tc>
        <w:tc>
          <w:tcPr>
            <w:tcW w:w="2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2,173</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61,369</w:t>
            </w:r>
          </w:p>
        </w:tc>
        <w:tc>
          <w:tcPr>
            <w:tcW w:w="60" w:type="dxa"/>
            <w:vAlign w:val="bottom"/>
          </w:tcPr>
          <w:p>
            <w:pPr>
              <w:spacing w:after="0"/>
              <w:rPr>
                <w:sz w:val="16"/>
                <w:szCs w:val="16"/>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8"/>
              </w:rPr>
              <w:t>63,556</w:t>
            </w:r>
          </w:p>
        </w:tc>
        <w:tc>
          <w:tcPr>
            <w:tcW w:w="60" w:type="dxa"/>
            <w:vAlign w:val="bottom"/>
          </w:tcPr>
          <w:p>
            <w:pPr>
              <w:spacing w:after="0"/>
              <w:rPr>
                <w:sz w:val="16"/>
                <w:szCs w:val="16"/>
                <w:color w:val="auto"/>
              </w:rPr>
            </w:pPr>
          </w:p>
        </w:tc>
        <w:tc>
          <w:tcPr>
            <w:tcW w:w="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76"/>
              </w:rPr>
              <w:t>$</w:t>
            </w:r>
          </w:p>
        </w:tc>
        <w:tc>
          <w:tcPr>
            <w:tcW w:w="5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3"/>
              </w:rPr>
              <w:t>68,384</w:t>
            </w:r>
          </w:p>
        </w:tc>
        <w:tc>
          <w:tcPr>
            <w:tcW w:w="40" w:type="dxa"/>
            <w:vAlign w:val="bottom"/>
          </w:tcPr>
          <w:p>
            <w:pPr>
              <w:spacing w:after="0"/>
              <w:rPr>
                <w:sz w:val="16"/>
                <w:szCs w:val="16"/>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3"/>
            <w:vMerge w:val="restart"/>
          </w:tcPr>
          <w:p>
            <w:pPr>
              <w:jc w:val="right"/>
              <w:spacing w:after="0"/>
              <w:rPr>
                <w:sz w:val="20"/>
                <w:szCs w:val="20"/>
                <w:color w:val="auto"/>
              </w:rPr>
            </w:pP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131,940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360" w:type="dxa"/>
            <w:vAlign w:val="bottom"/>
          </w:tcPr>
          <w:p>
            <w:pPr>
              <w:ind w:left="140"/>
              <w:spacing w:after="0"/>
              <w:rPr>
                <w:sz w:val="20"/>
                <w:szCs w:val="20"/>
                <w:color w:val="auto"/>
              </w:rPr>
            </w:pPr>
            <w:r>
              <w:rPr>
                <w:rFonts w:ascii="Arial" w:cs="Arial" w:eastAsia="Arial" w:hAnsi="Arial"/>
                <w:sz w:val="14"/>
                <w:szCs w:val="14"/>
                <w:b w:val="1"/>
                <w:bCs w:val="1"/>
                <w:color w:val="auto"/>
              </w:rPr>
              <w:t>2021</w:t>
            </w:r>
          </w:p>
        </w:tc>
        <w:tc>
          <w:tcPr>
            <w:tcW w:w="6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220" w:type="dxa"/>
            <w:vAlign w:val="bottom"/>
            <w:gridSpan w:val="3"/>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-4079875</wp:posOffset>
            </wp:positionV>
            <wp:extent cx="342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-4079875</wp:posOffset>
            </wp:positionV>
            <wp:extent cx="514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-4079875</wp:posOffset>
            </wp:positionV>
            <wp:extent cx="514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-4079875</wp:posOffset>
            </wp:positionV>
            <wp:extent cx="2540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-4079875</wp:posOffset>
            </wp:positionV>
            <wp:extent cx="342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-4079875</wp:posOffset>
            </wp:positionV>
            <wp:extent cx="342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-4079875</wp:posOffset>
            </wp:positionV>
            <wp:extent cx="342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-4079875</wp:posOffset>
            </wp:positionV>
            <wp:extent cx="342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-4079875</wp:posOffset>
            </wp:positionV>
            <wp:extent cx="342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-4079875</wp:posOffset>
            </wp:positionV>
            <wp:extent cx="342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3" w:name="page134"/>
    <w:bookmarkEnd w:id="133"/>
    <w:p>
      <w:pPr>
        <w:ind w:left="1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40" w:type="dxa"/>
            <w:vAlign w:val="bottom"/>
            <w:gridSpan w:val="8"/>
          </w:tcPr>
          <w:p>
            <w:pPr>
              <w:ind w:left="340"/>
              <w:spacing w:after="0"/>
              <w:rPr>
                <w:sz w:val="20"/>
                <w:szCs w:val="20"/>
                <w:color w:val="auto"/>
              </w:rPr>
            </w:pPr>
            <w:r>
              <w:rPr>
                <w:rFonts w:ascii="Arial" w:cs="Arial" w:eastAsia="Arial" w:hAnsi="Arial"/>
                <w:sz w:val="14"/>
                <w:szCs w:val="14"/>
                <w:b w:val="1"/>
                <w:bCs w:val="1"/>
                <w:color w:val="auto"/>
              </w:rPr>
              <w:t>Years Ended December 31,</w:t>
            </w:r>
          </w:p>
        </w:tc>
      </w:tr>
      <w:tr>
        <w:trPr>
          <w:trHeight w:val="53"/>
        </w:trPr>
        <w:tc>
          <w:tcPr>
            <w:tcW w:w="1300" w:type="dxa"/>
            <w:vAlign w:val="bottom"/>
          </w:tcPr>
          <w:p>
            <w:pPr>
              <w:spacing w:after="0"/>
              <w:rPr>
                <w:sz w:val="4"/>
                <w:szCs w:val="4"/>
                <w:color w:val="auto"/>
              </w:rPr>
            </w:pPr>
          </w:p>
        </w:tc>
        <w:tc>
          <w:tcPr>
            <w:tcW w:w="5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4"/>
        </w:trPr>
        <w:tc>
          <w:tcPr>
            <w:tcW w:w="130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17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9"/>
                <w:szCs w:val="19"/>
                <w:color w:val="auto"/>
              </w:rPr>
            </w:pPr>
          </w:p>
        </w:tc>
        <w:tc>
          <w:tcPr>
            <w:tcW w:w="720" w:type="dxa"/>
            <w:vAlign w:val="bottom"/>
          </w:tcPr>
          <w:p>
            <w:pPr>
              <w:jc w:val="right"/>
              <w:ind w:right="131"/>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ind w:right="5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3"/>
        </w:trPr>
        <w:tc>
          <w:tcPr>
            <w:tcW w:w="1300" w:type="dxa"/>
            <w:vAlign w:val="bottom"/>
          </w:tcPr>
          <w:p>
            <w:pPr>
              <w:spacing w:after="0"/>
              <w:rPr>
                <w:sz w:val="4"/>
                <w:szCs w:val="4"/>
                <w:color w:val="auto"/>
              </w:rPr>
            </w:pPr>
          </w:p>
        </w:tc>
        <w:tc>
          <w:tcPr>
            <w:tcW w:w="57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income (loss)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152,218</w:t>
            </w: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8"/>
              </w:rPr>
              <w:t>$ 38,830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(375)</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w w:val="93"/>
              </w:rPr>
              <w:t>Adjustments to reconcile net income (loss) to net cash provided by operating</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264"/>
        </w:trPr>
        <w:tc>
          <w:tcPr>
            <w:tcW w:w="1300" w:type="dxa"/>
            <w:vAlign w:val="bottom"/>
          </w:tcPr>
          <w:p>
            <w:pPr>
              <w:spacing w:after="0"/>
              <w:rPr>
                <w:sz w:val="22"/>
                <w:szCs w:val="22"/>
                <w:color w:val="auto"/>
              </w:rPr>
            </w:pPr>
          </w:p>
        </w:tc>
        <w:tc>
          <w:tcPr>
            <w:tcW w:w="5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right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right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270"/>
        </w:trPr>
        <w:tc>
          <w:tcPr>
            <w:tcW w:w="1300" w:type="dxa"/>
            <w:vAlign w:val="bottom"/>
          </w:tcPr>
          <w:p>
            <w:pPr>
              <w:spacing w:after="0"/>
              <w:rPr>
                <w:sz w:val="23"/>
                <w:szCs w:val="23"/>
                <w:color w:val="auto"/>
              </w:rPr>
            </w:pPr>
          </w:p>
        </w:tc>
        <w:tc>
          <w:tcPr>
            <w:tcW w:w="57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4,425</w:t>
            </w: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3,978</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5,162</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warrant liability</w:t>
            </w:r>
          </w:p>
        </w:tc>
        <w:tc>
          <w:tcPr>
            <w:tcW w:w="96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(166,518)</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700" w:type="dxa"/>
            <w:vAlign w:val="bottom"/>
          </w:tcPr>
          <w:p>
            <w:pPr>
              <w:ind w:left="180"/>
              <w:spacing w:after="0"/>
              <w:rPr>
                <w:sz w:val="20"/>
                <w:szCs w:val="20"/>
                <w:color w:val="auto"/>
              </w:rPr>
            </w:pPr>
            <w:r>
              <w:rPr>
                <w:rFonts w:ascii="Arial" w:cs="Arial" w:eastAsia="Arial" w:hAnsi="Arial"/>
                <w:sz w:val="18"/>
                <w:szCs w:val="18"/>
                <w:color w:val="auto"/>
              </w:rPr>
              <w:t>Impairment loss</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2,372</w:t>
            </w: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00" w:type="dxa"/>
            <w:vAlign w:val="bottom"/>
            <w:gridSpan w:val="3"/>
          </w:tcPr>
          <w:p>
            <w:pPr>
              <w:jc w:val="right"/>
              <w:ind w:right="1380"/>
              <w:spacing w:after="0"/>
              <w:rPr>
                <w:sz w:val="20"/>
                <w:szCs w:val="20"/>
                <w:color w:val="auto"/>
              </w:rPr>
            </w:pPr>
            <w:r>
              <w:rPr>
                <w:rFonts w:ascii="Arial" w:cs="Arial" w:eastAsia="Arial" w:hAnsi="Arial"/>
                <w:sz w:val="18"/>
                <w:szCs w:val="18"/>
                <w:color w:val="auto"/>
              </w:rPr>
              <w:t>—</w:t>
            </w:r>
          </w:p>
        </w:tc>
      </w:tr>
      <w:tr>
        <w:trPr>
          <w:trHeight w:val="54"/>
        </w:trPr>
        <w:tc>
          <w:tcPr>
            <w:tcW w:w="1300" w:type="dxa"/>
            <w:vAlign w:val="bottom"/>
          </w:tcPr>
          <w:p>
            <w:pPr>
              <w:spacing w:after="0"/>
              <w:rPr>
                <w:sz w:val="4"/>
                <w:szCs w:val="4"/>
                <w:color w:val="auto"/>
              </w:rPr>
            </w:pPr>
          </w:p>
        </w:tc>
        <w:tc>
          <w:tcPr>
            <w:tcW w:w="5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29,324</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70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(842)</w:t>
            </w: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00" w:type="dxa"/>
            <w:vAlign w:val="bottom"/>
            <w:gridSpan w:val="3"/>
          </w:tcPr>
          <w:p>
            <w:pPr>
              <w:jc w:val="right"/>
              <w:ind w:right="1380"/>
              <w:spacing w:after="0"/>
              <w:rPr>
                <w:sz w:val="20"/>
                <w:szCs w:val="20"/>
                <w:color w:val="auto"/>
              </w:rPr>
            </w:pPr>
            <w:r>
              <w:rPr>
                <w:rFonts w:ascii="Arial" w:cs="Arial" w:eastAsia="Arial" w:hAnsi="Arial"/>
                <w:sz w:val="18"/>
                <w:szCs w:val="18"/>
                <w:color w:val="auto"/>
              </w:rPr>
              <w:t>—</w:t>
            </w:r>
          </w:p>
        </w:tc>
      </w:tr>
      <w:tr>
        <w:trPr>
          <w:trHeight w:val="54"/>
        </w:trPr>
        <w:tc>
          <w:tcPr>
            <w:tcW w:w="1300" w:type="dxa"/>
            <w:vAlign w:val="bottom"/>
          </w:tcPr>
          <w:p>
            <w:pPr>
              <w:spacing w:after="0"/>
              <w:rPr>
                <w:sz w:val="4"/>
                <w:szCs w:val="4"/>
                <w:color w:val="auto"/>
              </w:rPr>
            </w:pPr>
          </w:p>
        </w:tc>
        <w:tc>
          <w:tcPr>
            <w:tcW w:w="5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doubtful accounts</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5,487</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(13,609)</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(6,770)</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(2,752)</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7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8,235</w:t>
            </w: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(3,036)</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(611)</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(3,344)</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70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(480)</w:t>
            </w: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(960)</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7,374</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rent</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3,693</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7"/>
        </w:trPr>
        <w:tc>
          <w:tcPr>
            <w:tcW w:w="1300" w:type="dxa"/>
            <w:vAlign w:val="bottom"/>
          </w:tcPr>
          <w:p>
            <w:pPr>
              <w:spacing w:after="0"/>
              <w:rPr>
                <w:sz w:val="22"/>
                <w:szCs w:val="22"/>
                <w:color w:val="auto"/>
              </w:rPr>
            </w:pPr>
          </w:p>
        </w:tc>
        <w:tc>
          <w:tcPr>
            <w:tcW w:w="570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2,793</w:t>
            </w:r>
          </w:p>
        </w:tc>
        <w:tc>
          <w:tcPr>
            <w:tcW w:w="160" w:type="dxa"/>
            <w:vAlign w:val="bottom"/>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5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23,092</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38,620</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6,295</w:t>
            </w:r>
          </w:p>
        </w:tc>
        <w:tc>
          <w:tcPr>
            <w:tcW w:w="80" w:type="dxa"/>
            <w:vAlign w:val="bottom"/>
            <w:tcBorders>
              <w:bottom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57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80" w:type="dxa"/>
            <w:vAlign w:val="bottom"/>
            <w:tcBorders>
              <w:right w:val="single" w:sz="8" w:color="CCEEFF"/>
            </w:tcBorders>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20" w:type="dxa"/>
            <w:vAlign w:val="bottom"/>
            <w:tcBorders>
              <w:right w:val="single" w:sz="8" w:color="CCEEFF"/>
            </w:tcBorders>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338"/>
        </w:trPr>
        <w:tc>
          <w:tcPr>
            <w:tcW w:w="130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70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(7,935)</w:t>
            </w: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(1,311)</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(5,129)</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 for acquisitions</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(16,000)</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4"/>
                <w:szCs w:val="24"/>
                <w:color w:val="auto"/>
              </w:rPr>
            </w:pPr>
          </w:p>
        </w:tc>
      </w:tr>
      <w:tr>
        <w:trPr>
          <w:trHeight w:val="257"/>
        </w:trPr>
        <w:tc>
          <w:tcPr>
            <w:tcW w:w="1300" w:type="dxa"/>
            <w:vAlign w:val="bottom"/>
          </w:tcPr>
          <w:p>
            <w:pPr>
              <w:spacing w:after="0"/>
              <w:rPr>
                <w:sz w:val="22"/>
                <w:szCs w:val="22"/>
                <w:color w:val="auto"/>
              </w:rPr>
            </w:pPr>
          </w:p>
        </w:tc>
        <w:tc>
          <w:tcPr>
            <w:tcW w:w="5700" w:type="dxa"/>
            <w:vAlign w:val="bottom"/>
          </w:tcPr>
          <w:p>
            <w:pPr>
              <w:ind w:left="180"/>
              <w:spacing w:after="0"/>
              <w:rPr>
                <w:sz w:val="20"/>
                <w:szCs w:val="20"/>
                <w:color w:val="auto"/>
              </w:rPr>
            </w:pPr>
            <w:r>
              <w:rPr>
                <w:rFonts w:ascii="Arial" w:cs="Arial" w:eastAsia="Arial" w:hAnsi="Arial"/>
                <w:sz w:val="18"/>
                <w:szCs w:val="18"/>
                <w:color w:val="auto"/>
              </w:rPr>
              <w:t>Cash paid for other investments</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(6,500)</w:t>
            </w: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00" w:type="dxa"/>
            <w:vAlign w:val="bottom"/>
            <w:gridSpan w:val="3"/>
          </w:tcPr>
          <w:p>
            <w:pPr>
              <w:jc w:val="right"/>
              <w:ind w:right="1380"/>
              <w:spacing w:after="0"/>
              <w:rPr>
                <w:sz w:val="20"/>
                <w:szCs w:val="20"/>
                <w:color w:val="auto"/>
              </w:rPr>
            </w:pPr>
            <w:r>
              <w:rPr>
                <w:rFonts w:ascii="Arial" w:cs="Arial" w:eastAsia="Arial" w:hAnsi="Arial"/>
                <w:sz w:val="18"/>
                <w:szCs w:val="18"/>
                <w:color w:val="auto"/>
              </w:rPr>
              <w:t>—</w:t>
            </w:r>
          </w:p>
        </w:tc>
      </w:tr>
      <w:tr>
        <w:trPr>
          <w:trHeight w:val="61"/>
        </w:trPr>
        <w:tc>
          <w:tcPr>
            <w:tcW w:w="1300" w:type="dxa"/>
            <w:vAlign w:val="bottom"/>
          </w:tcPr>
          <w:p>
            <w:pPr>
              <w:spacing w:after="0"/>
              <w:rPr>
                <w:sz w:val="5"/>
                <w:szCs w:val="5"/>
                <w:color w:val="auto"/>
              </w:rPr>
            </w:pPr>
          </w:p>
        </w:tc>
        <w:tc>
          <w:tcPr>
            <w:tcW w:w="5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(30,435)</w:t>
            </w:r>
          </w:p>
        </w:tc>
        <w:tc>
          <w:tcPr>
            <w:tcW w:w="160" w:type="dxa"/>
            <w:vAlign w:val="bottom"/>
            <w:shd w:val="clear" w:color="auto" w:fill="CCEEFF"/>
          </w:tcPr>
          <w:p>
            <w:pPr>
              <w:spacing w:after="0"/>
              <w:rPr>
                <w:sz w:val="23"/>
                <w:szCs w:val="23"/>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(5,129)</w:t>
            </w: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57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right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auto"/>
              <w:right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337"/>
        </w:trPr>
        <w:tc>
          <w:tcPr>
            <w:tcW w:w="130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700" w:type="dxa"/>
            <w:vAlign w:val="bottom"/>
          </w:tcPr>
          <w:p>
            <w:pPr>
              <w:ind w:left="180"/>
              <w:spacing w:after="0"/>
              <w:rPr>
                <w:sz w:val="20"/>
                <w:szCs w:val="20"/>
                <w:color w:val="auto"/>
              </w:rPr>
            </w:pPr>
            <w:r>
              <w:rPr>
                <w:rFonts w:ascii="Arial" w:cs="Arial" w:eastAsia="Arial" w:hAnsi="Arial"/>
                <w:sz w:val="18"/>
                <w:szCs w:val="18"/>
                <w:color w:val="auto"/>
              </w:rPr>
              <w:t>Proceeds from business combination</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79,969</w:t>
            </w: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00" w:type="dxa"/>
            <w:vAlign w:val="bottom"/>
            <w:gridSpan w:val="3"/>
          </w:tcPr>
          <w:p>
            <w:pPr>
              <w:jc w:val="right"/>
              <w:ind w:right="1380"/>
              <w:spacing w:after="0"/>
              <w:rPr>
                <w:sz w:val="20"/>
                <w:szCs w:val="20"/>
                <w:color w:val="auto"/>
              </w:rPr>
            </w:pPr>
            <w:r>
              <w:rPr>
                <w:rFonts w:ascii="Arial" w:cs="Arial" w:eastAsia="Arial" w:hAnsi="Arial"/>
                <w:sz w:val="18"/>
                <w:szCs w:val="18"/>
                <w:color w:val="auto"/>
              </w:rPr>
              <w:t>—</w:t>
            </w:r>
          </w:p>
        </w:tc>
      </w:tr>
      <w:tr>
        <w:trPr>
          <w:trHeight w:val="54"/>
        </w:trPr>
        <w:tc>
          <w:tcPr>
            <w:tcW w:w="1300" w:type="dxa"/>
            <w:vAlign w:val="bottom"/>
          </w:tcPr>
          <w:p>
            <w:pPr>
              <w:spacing w:after="0"/>
              <w:rPr>
                <w:sz w:val="4"/>
                <w:szCs w:val="4"/>
                <w:color w:val="auto"/>
              </w:rPr>
            </w:pPr>
          </w:p>
        </w:tc>
        <w:tc>
          <w:tcPr>
            <w:tcW w:w="5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repayments of secured line of credit</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(5,020)</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700" w:type="dxa"/>
            <w:vAlign w:val="bottom"/>
          </w:tcPr>
          <w:p>
            <w:pPr>
              <w:ind w:left="180"/>
              <w:spacing w:after="0"/>
              <w:rPr>
                <w:sz w:val="20"/>
                <w:szCs w:val="20"/>
                <w:color w:val="auto"/>
              </w:rPr>
            </w:pPr>
            <w:r>
              <w:rPr>
                <w:rFonts w:ascii="Arial" w:cs="Arial" w:eastAsia="Arial" w:hAnsi="Arial"/>
                <w:sz w:val="18"/>
                <w:szCs w:val="18"/>
                <w:color w:val="auto"/>
              </w:rPr>
              <w:t>Payment of note payable</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00" w:type="dxa"/>
            <w:vAlign w:val="bottom"/>
            <w:gridSpan w:val="3"/>
          </w:tcPr>
          <w:p>
            <w:pPr>
              <w:jc w:val="right"/>
              <w:ind w:right="1380"/>
              <w:spacing w:after="0"/>
              <w:rPr>
                <w:sz w:val="20"/>
                <w:szCs w:val="20"/>
                <w:color w:val="auto"/>
              </w:rPr>
            </w:pPr>
            <w:r>
              <w:rPr>
                <w:rFonts w:ascii="Arial" w:cs="Arial" w:eastAsia="Arial" w:hAnsi="Arial"/>
                <w:sz w:val="18"/>
                <w:szCs w:val="18"/>
                <w:color w:val="auto"/>
              </w:rPr>
              <w:t>—</w:t>
            </w:r>
          </w:p>
        </w:tc>
      </w:tr>
      <w:tr>
        <w:trPr>
          <w:trHeight w:val="54"/>
        </w:trPr>
        <w:tc>
          <w:tcPr>
            <w:tcW w:w="1300" w:type="dxa"/>
            <w:vAlign w:val="bottom"/>
          </w:tcPr>
          <w:p>
            <w:pPr>
              <w:spacing w:after="0"/>
              <w:rPr>
                <w:sz w:val="4"/>
                <w:szCs w:val="4"/>
                <w:color w:val="auto"/>
              </w:rPr>
            </w:pPr>
          </w:p>
        </w:tc>
        <w:tc>
          <w:tcPr>
            <w:tcW w:w="5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(18,998)</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(21,952)</w:t>
            </w:r>
          </w:p>
        </w:tc>
        <w:tc>
          <w:tcPr>
            <w:tcW w:w="8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(15,382)</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5700" w:type="dxa"/>
            <w:vAlign w:val="bottom"/>
          </w:tcPr>
          <w:p>
            <w:pPr>
              <w:ind w:left="180"/>
              <w:spacing w:after="0"/>
              <w:rPr>
                <w:sz w:val="20"/>
                <w:szCs w:val="20"/>
                <w:color w:val="auto"/>
              </w:rPr>
            </w:pPr>
            <w:r>
              <w:rPr>
                <w:rFonts w:ascii="Arial" w:cs="Arial" w:eastAsia="Arial" w:hAnsi="Arial"/>
                <w:sz w:val="18"/>
                <w:szCs w:val="18"/>
                <w:color w:val="auto"/>
              </w:rPr>
              <w:t>Repurchase of Class B Units</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(5,565)</w:t>
            </w: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(406)</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(1,567)</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5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55,201</w:t>
            </w:r>
          </w:p>
        </w:tc>
        <w:tc>
          <w:tcPr>
            <w:tcW w:w="160" w:type="dxa"/>
            <w:vAlign w:val="bottom"/>
            <w:shd w:val="clear" w:color="auto" w:fill="CCEEFF"/>
          </w:tcPr>
          <w:p>
            <w:pPr>
              <w:spacing w:after="0"/>
              <w:rPr>
                <w:sz w:val="23"/>
                <w:szCs w:val="23"/>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(22,358)</w:t>
            </w:r>
          </w:p>
        </w:tc>
        <w:tc>
          <w:tcPr>
            <w:tcW w:w="8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(21,969)</w:t>
            </w: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57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right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auto"/>
              <w:right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338"/>
        </w:trPr>
        <w:tc>
          <w:tcPr>
            <w:tcW w:w="130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47,858</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14,951</w:t>
            </w:r>
          </w:p>
        </w:tc>
        <w:tc>
          <w:tcPr>
            <w:tcW w:w="8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(20,803)</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Cash – beginning of period</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19,919</w:t>
            </w:r>
          </w:p>
        </w:tc>
        <w:tc>
          <w:tcPr>
            <w:tcW w:w="160" w:type="dxa"/>
            <w:vAlign w:val="bottom"/>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4,968</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25,771</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5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90"/>
        </w:trPr>
        <w:tc>
          <w:tcPr>
            <w:tcW w:w="1300" w:type="dxa"/>
            <w:vAlign w:val="bottom"/>
          </w:tcPr>
          <w:p>
            <w:pPr>
              <w:spacing w:after="0"/>
              <w:rPr>
                <w:sz w:val="24"/>
                <w:szCs w:val="2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Cash – end of period</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67,777</w:t>
            </w:r>
          </w:p>
        </w:tc>
        <w:tc>
          <w:tcPr>
            <w:tcW w:w="160" w:type="dxa"/>
            <w:vAlign w:val="bottom"/>
            <w:shd w:val="clear" w:color="auto" w:fill="CCEEFF"/>
          </w:tcPr>
          <w:p>
            <w:pPr>
              <w:spacing w:after="0"/>
              <w:rPr>
                <w:sz w:val="24"/>
                <w:szCs w:val="24"/>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$ 19,919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4,968</w:t>
            </w:r>
          </w:p>
        </w:tc>
        <w:tc>
          <w:tcPr>
            <w:tcW w:w="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
        </w:trPr>
        <w:tc>
          <w:tcPr>
            <w:tcW w:w="1300" w:type="dxa"/>
            <w:vAlign w:val="bottom"/>
          </w:tcPr>
          <w:p>
            <w:pPr>
              <w:spacing w:after="0"/>
              <w:rPr>
                <w:sz w:val="2"/>
                <w:szCs w:val="2"/>
                <w:color w:val="auto"/>
              </w:rPr>
            </w:pPr>
          </w:p>
        </w:tc>
        <w:tc>
          <w:tcPr>
            <w:tcW w:w="57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right w:val="single" w:sz="8" w:color="CCEEFF"/>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auto"/>
              <w:right w:val="single" w:sz="8" w:color="CCEEFF"/>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52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432"/>
        </w:trPr>
        <w:tc>
          <w:tcPr>
            <w:tcW w:w="1300" w:type="dxa"/>
            <w:vAlign w:val="bottom"/>
          </w:tcPr>
          <w:p>
            <w:pPr>
              <w:spacing w:after="0"/>
              <w:rPr>
                <w:sz w:val="24"/>
                <w:szCs w:val="24"/>
                <w:color w:val="auto"/>
              </w:rPr>
            </w:pPr>
          </w:p>
        </w:tc>
        <w:tc>
          <w:tcPr>
            <w:tcW w:w="7540" w:type="dxa"/>
            <w:vAlign w:val="bottom"/>
            <w:gridSpan w:val="6"/>
          </w:tcPr>
          <w:p>
            <w:pPr>
              <w:ind w:left="1060"/>
              <w:spacing w:after="0"/>
              <w:rPr>
                <w:sz w:val="20"/>
                <w:szCs w:val="20"/>
                <w:color w:val="auto"/>
              </w:rPr>
            </w:pPr>
            <w:r>
              <w:rPr>
                <w:rFonts w:ascii="Arial" w:cs="Arial" w:eastAsia="Arial" w:hAnsi="Arial"/>
                <w:sz w:val="18"/>
                <w:szCs w:val="18"/>
                <w:color w:val="auto"/>
                <w:w w:val="91"/>
              </w:rPr>
              <w:t>The accompanying notes are an integral part of these consolidated financial statements.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5700" w:type="dxa"/>
            <w:vAlign w:val="bottom"/>
          </w:tcPr>
          <w:p>
            <w:pPr>
              <w:ind w:left="4080"/>
              <w:spacing w:after="0"/>
              <w:rPr>
                <w:sz w:val="20"/>
                <w:szCs w:val="20"/>
                <w:color w:val="auto"/>
              </w:rPr>
            </w:pPr>
            <w:r>
              <w:rPr>
                <w:rFonts w:ascii="Arial" w:cs="Arial" w:eastAsia="Arial" w:hAnsi="Arial"/>
                <w:sz w:val="18"/>
                <w:szCs w:val="18"/>
                <w:color w:val="auto"/>
              </w:rPr>
              <w:t>F-9</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5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5612130</wp:posOffset>
            </wp:positionH>
            <wp:positionV relativeFrom="paragraph">
              <wp:posOffset>-8151495</wp:posOffset>
            </wp:positionV>
            <wp:extent cx="10287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-8151495</wp:posOffset>
            </wp:positionV>
            <wp:extent cx="10287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4497705</wp:posOffset>
            </wp:positionH>
            <wp:positionV relativeFrom="paragraph">
              <wp:posOffset>-8151495</wp:posOffset>
            </wp:positionV>
            <wp:extent cx="514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34" w:name="page135"/>
    <w:bookmarkEnd w:id="13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7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6"/>
          </w:tcPr>
          <w:p>
            <w:pPr>
              <w:ind w:left="160"/>
              <w:spacing w:after="0"/>
              <w:rPr>
                <w:sz w:val="20"/>
                <w:szCs w:val="20"/>
                <w:color w:val="auto"/>
              </w:rPr>
            </w:pPr>
            <w:r>
              <w:rPr>
                <w:rFonts w:ascii="Arial" w:cs="Arial" w:eastAsia="Arial" w:hAnsi="Arial"/>
                <w:sz w:val="14"/>
                <w:szCs w:val="14"/>
                <w:b w:val="1"/>
                <w:bCs w:val="1"/>
                <w:color w:val="auto"/>
                <w:w w:val="93"/>
              </w:rPr>
              <w:t>Years Ended December 31,</w:t>
            </w:r>
          </w:p>
        </w:tc>
        <w:tc>
          <w:tcPr>
            <w:tcW w:w="260" w:type="dxa"/>
            <w:vAlign w:val="bottom"/>
          </w:tcPr>
          <w:p>
            <w:pPr>
              <w:spacing w:after="0"/>
              <w:rPr>
                <w:sz w:val="16"/>
                <w:szCs w:val="16"/>
                <w:color w:val="auto"/>
              </w:rPr>
            </w:pPr>
          </w:p>
        </w:tc>
      </w:tr>
      <w:tr>
        <w:trPr>
          <w:trHeight w:val="53"/>
        </w:trPr>
        <w:tc>
          <w:tcPr>
            <w:tcW w:w="5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gridSpan w:val="2"/>
          </w:tcPr>
          <w:p>
            <w:pPr>
              <w:spacing w:after="0"/>
              <w:rPr>
                <w:sz w:val="4"/>
                <w:szCs w:val="4"/>
                <w:color w:val="auto"/>
              </w:rPr>
            </w:pPr>
          </w:p>
        </w:tc>
      </w:tr>
      <w:tr>
        <w:trPr>
          <w:trHeight w:val="224"/>
        </w:trPr>
        <w:tc>
          <w:tcPr>
            <w:tcW w:w="5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12"/>
              <w:spacing w:after="0"/>
              <w:rPr>
                <w:sz w:val="20"/>
                <w:szCs w:val="20"/>
                <w:color w:val="auto"/>
              </w:rPr>
            </w:pPr>
            <w:r>
              <w:rPr>
                <w:rFonts w:ascii="Arial" w:cs="Arial" w:eastAsia="Arial" w:hAnsi="Arial"/>
                <w:sz w:val="14"/>
                <w:szCs w:val="14"/>
                <w:b w:val="1"/>
                <w:bCs w:val="1"/>
                <w:color w:val="auto"/>
                <w:w w:val="89"/>
              </w:rPr>
              <w:t>2020</w:t>
            </w:r>
          </w:p>
        </w:tc>
        <w:tc>
          <w:tcPr>
            <w:tcW w:w="36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r>
      <w:tr>
        <w:trPr>
          <w:trHeight w:val="53"/>
        </w:trPr>
        <w:tc>
          <w:tcPr>
            <w:tcW w:w="59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r>
      <w:tr>
        <w:trPr>
          <w:trHeight w:val="311"/>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r>
      <w:tr>
        <w:trPr>
          <w:trHeight w:val="270"/>
        </w:trPr>
        <w:tc>
          <w:tcPr>
            <w:tcW w:w="5980" w:type="dxa"/>
            <w:vAlign w:val="bottom"/>
          </w:tcPr>
          <w:p>
            <w:pPr>
              <w:ind w:left="180"/>
              <w:spacing w:after="0"/>
              <w:rPr>
                <w:sz w:val="20"/>
                <w:szCs w:val="20"/>
                <w:color w:val="auto"/>
              </w:rPr>
            </w:pPr>
            <w:r>
              <w:rPr>
                <w:rFonts w:ascii="Arial" w:cs="Arial" w:eastAsia="Arial" w:hAnsi="Arial"/>
                <w:sz w:val="18"/>
                <w:szCs w:val="18"/>
                <w:color w:val="auto"/>
              </w:rPr>
              <w:t>Cash paid during the year for:</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54"/>
        </w:trPr>
        <w:tc>
          <w:tcPr>
            <w:tcW w:w="5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80" w:type="dxa"/>
            <w:vAlign w:val="bottom"/>
            <w:gridSpan w:val="2"/>
          </w:tcPr>
          <w:p>
            <w:pPr>
              <w:spacing w:after="0"/>
              <w:rPr>
                <w:sz w:val="4"/>
                <w:szCs w:val="4"/>
                <w:color w:val="auto"/>
              </w:rPr>
            </w:pPr>
          </w:p>
        </w:tc>
      </w:tr>
      <w:tr>
        <w:trPr>
          <w:trHeight w:val="304"/>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89"/>
              </w:rPr>
              <w:t>$157</w:t>
            </w:r>
          </w:p>
        </w:tc>
      </w:tr>
      <w:tr>
        <w:trPr>
          <w:trHeight w:val="270"/>
        </w:trPr>
        <w:tc>
          <w:tcPr>
            <w:tcW w:w="598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242</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$1,336</w:t>
            </w:r>
          </w:p>
        </w:tc>
        <w:tc>
          <w:tcPr>
            <w:tcW w:w="360" w:type="dxa"/>
            <w:vAlign w:val="bottom"/>
          </w:tcPr>
          <w:p>
            <w:pPr>
              <w:spacing w:after="0"/>
              <w:rPr>
                <w:sz w:val="23"/>
                <w:szCs w:val="23"/>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w w:val="89"/>
              </w:rPr>
              <w:t>$118</w:t>
            </w:r>
          </w:p>
        </w:tc>
      </w:tr>
      <w:tr>
        <w:trPr>
          <w:trHeight w:val="54"/>
        </w:trPr>
        <w:tc>
          <w:tcPr>
            <w:tcW w:w="5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324"/>
        </w:trPr>
        <w:tc>
          <w:tcPr>
            <w:tcW w:w="59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r>
      <w:tr>
        <w:trPr>
          <w:trHeight w:val="270"/>
        </w:trPr>
        <w:tc>
          <w:tcPr>
            <w:tcW w:w="5980" w:type="dxa"/>
            <w:vAlign w:val="bottom"/>
          </w:tcPr>
          <w:p>
            <w:pPr>
              <w:spacing w:after="0"/>
              <w:rPr>
                <w:sz w:val="20"/>
                <w:szCs w:val="20"/>
                <w:color w:val="auto"/>
              </w:rPr>
            </w:pPr>
            <w:r>
              <w:rPr>
                <w:rFonts w:ascii="Arial" w:cs="Arial" w:eastAsia="Arial" w:hAnsi="Arial"/>
                <w:sz w:val="18"/>
                <w:szCs w:val="18"/>
                <w:b w:val="1"/>
                <w:bCs w:val="1"/>
                <w:color w:val="auto"/>
              </w:rPr>
              <w:t>Supplemental disclosures of noncash activities</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54"/>
        </w:trPr>
        <w:tc>
          <w:tcPr>
            <w:tcW w:w="5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304"/>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Warranty liability assumed from the Business Combination</w:t>
            </w: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$193,978</w:t>
            </w: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5980" w:type="dxa"/>
            <w:vAlign w:val="bottom"/>
          </w:tcPr>
          <w:p>
            <w:pPr>
              <w:ind w:left="180"/>
              <w:spacing w:after="0"/>
              <w:rPr>
                <w:sz w:val="20"/>
                <w:szCs w:val="20"/>
                <w:color w:val="auto"/>
              </w:rPr>
            </w:pPr>
            <w:r>
              <w:rPr>
                <w:rFonts w:ascii="Arial" w:cs="Arial" w:eastAsia="Arial" w:hAnsi="Arial"/>
                <w:sz w:val="18"/>
                <w:szCs w:val="18"/>
                <w:color w:val="auto"/>
                <w:w w:val="93"/>
              </w:rPr>
              <w:t>Tax receivable agreement liability recognized in connection with the Business</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230"/>
        </w:trPr>
        <w:tc>
          <w:tcPr>
            <w:tcW w:w="5980" w:type="dxa"/>
            <w:vAlign w:val="bottom"/>
          </w:tcPr>
          <w:p>
            <w:pPr>
              <w:ind w:left="360"/>
              <w:spacing w:after="0"/>
              <w:rPr>
                <w:sz w:val="20"/>
                <w:szCs w:val="20"/>
                <w:color w:val="auto"/>
              </w:rPr>
            </w:pPr>
            <w:r>
              <w:rPr>
                <w:rFonts w:ascii="Arial" w:cs="Arial" w:eastAsia="Arial" w:hAnsi="Arial"/>
                <w:sz w:val="18"/>
                <w:szCs w:val="18"/>
                <w:color w:val="auto"/>
              </w:rPr>
              <w:t>Combination</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$128,567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5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304"/>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Deferred tax assets recognized in connection with the Business Combination</w:t>
            </w: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$151,255</w:t>
            </w: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980" w:type="dxa"/>
            <w:vAlign w:val="bottom"/>
          </w:tcPr>
          <w:p>
            <w:pPr>
              <w:ind w:left="180"/>
              <w:spacing w:after="0"/>
              <w:rPr>
                <w:sz w:val="20"/>
                <w:szCs w:val="20"/>
                <w:color w:val="auto"/>
              </w:rPr>
            </w:pPr>
            <w:r>
              <w:rPr>
                <w:rFonts w:ascii="Arial" w:cs="Arial" w:eastAsia="Arial" w:hAnsi="Arial"/>
                <w:sz w:val="18"/>
                <w:szCs w:val="18"/>
                <w:color w:val="auto"/>
              </w:rPr>
              <w:t>Other assets assumed from the Business Combination</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1,053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5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304"/>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equity for acquisitions</w:t>
            </w: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29,312</w:t>
            </w: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980" w:type="dxa"/>
            <w:vAlign w:val="bottom"/>
          </w:tcPr>
          <w:p>
            <w:pPr>
              <w:ind w:left="180"/>
              <w:spacing w:after="0"/>
              <w:rPr>
                <w:sz w:val="20"/>
                <w:szCs w:val="20"/>
                <w:color w:val="auto"/>
              </w:rPr>
            </w:pPr>
            <w:r>
              <w:rPr>
                <w:rFonts w:ascii="Arial" w:cs="Arial" w:eastAsia="Arial" w:hAnsi="Arial"/>
                <w:sz w:val="18"/>
                <w:szCs w:val="18"/>
                <w:color w:val="auto"/>
              </w:rPr>
              <w:t>Holdback liability recognized in connection with acquisition</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5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304"/>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 assumed in connection with acquisition</w:t>
            </w: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r>
      <w:tr>
        <w:trPr>
          <w:trHeight w:val="270"/>
        </w:trPr>
        <w:tc>
          <w:tcPr>
            <w:tcW w:w="5980" w:type="dxa"/>
            <w:vAlign w:val="bottom"/>
          </w:tcPr>
          <w:p>
            <w:pPr>
              <w:ind w:left="180"/>
              <w:spacing w:after="0"/>
              <w:rPr>
                <w:sz w:val="20"/>
                <w:szCs w:val="20"/>
                <w:color w:val="auto"/>
              </w:rPr>
            </w:pPr>
            <w:r>
              <w:rPr>
                <w:rFonts w:ascii="Arial" w:cs="Arial" w:eastAsia="Arial" w:hAnsi="Arial"/>
                <w:sz w:val="18"/>
                <w:szCs w:val="18"/>
                <w:color w:val="auto"/>
              </w:rPr>
              <w:t>Stock-based compensation capitalized for software development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1,099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5071745</wp:posOffset>
            </wp:positionH>
            <wp:positionV relativeFrom="paragraph">
              <wp:posOffset>-2999740</wp:posOffset>
            </wp:positionV>
            <wp:extent cx="22288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-2999740</wp:posOffset>
            </wp:positionV>
            <wp:extent cx="22288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-2999740</wp:posOffset>
            </wp:positionV>
            <wp:extent cx="1111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5" w:name="page136"/>
    <w:bookmarkEnd w:id="13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40" w:hanging="348"/>
        <w:spacing w:after="0"/>
        <w:tabs>
          <w:tab w:leader="none" w:pos="6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Organization</w:t>
      </w:r>
    </w:p>
    <w:p>
      <w:pPr>
        <w:spacing w:after="0" w:line="121"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WM Technology, Inc. (the “Company”) is one of the oldest and largest marketplace and technology solutions providers exclusively servicing the cannabis industry, primarily consumers, retailers and brands in the United States state-legal and Canadian cannabis markets. The Company’s business consists of its commerce-driven marketplace, Weedmaps, and its monthly subscription software offering, WM Business. The Company’s Weedmaps marketplace provides information on the cannabis plant and the industry and advocates for legalization. The Weedmaps marketplace provides consumers with information regarding cannabis retailers and brands, as well as the strain, pricing, and other information regarding locally available cannabis products, through our website and mobile apps, permitting product discovery, access to deals and discounts, and reservation of products for pickup by consumers or delivery to consumers by participating retailers. WM Business, the Company’s subscription package, is a comprehensive set of eCommerce and compliance software solutions catered towards cannabis retailers, delivery services and brands where clients receive access to a standard listing page and its suite of software solutions, including WM Orders, WM Dispatch, WM Store, WM Dashboard, integrations and API platform, as well as access to its WM Retail and WM Exchange products, where available. The Company charges a monthly fee to clients for access to its WM Business subscription package and then offer other add-on products for additional fees, including our featured listings and our Sprout (customer relationship management) and Cannveya (delivery and logistics software) solutions. The Company sells its WM Business offering in the United States, currently offers some of its WM Business solutions in Canada and has a limited number of non-monetized listings in several other countries, including Austria, Germany, the Netherlands, Spain, and Switzerland. The Company operates in the United States, Canada, and other foreign jurisdictions where medical and/or adult cannabis use is legal under state or applicable national law. The Company is headquartered in Irvine, California.</w:t>
      </w:r>
    </w:p>
    <w:p>
      <w:pPr>
        <w:spacing w:after="0" w:line="74"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(the “Merger Agreement”), by and among Silver Spike, Silver Spike Merger Sub LLC, a Delaware limited liability company and a wholly owned direct subsidiary of Silver Spike Acquisition Corp. (“Merger Sub”), WM Holding Company, LLC, a Delaware limited liability company (when referred to in its pre-Business Combination capacity, “Legacy WMH” and following the Business Combination, “WMH LLC”), and Ghost Media Group, LLC, a Nevada limited liability company, solely in its capacity as the initial holder representative (the “Holder Representative”). On the Closing Date, and in connection with the closing of the Business Combination (the “Closing”), Silver Spike was domesticated and continues as a Delaware corporation, changing its name to WM Technology, Inc.</w:t>
      </w:r>
    </w:p>
    <w:p>
      <w:pPr>
        <w:spacing w:after="0" w:line="7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pacing w:after="0" w:line="188" w:lineRule="exact"/>
        <w:rPr>
          <w:sz w:val="20"/>
          <w:szCs w:val="20"/>
          <w:color w:val="auto"/>
        </w:rPr>
      </w:pPr>
    </w:p>
    <w:p>
      <w:pPr>
        <w:ind w:left="640" w:hanging="348"/>
        <w:spacing w:after="0"/>
        <w:tabs>
          <w:tab w:leader="none" w:pos="6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left="300" w:right="319" w:firstLine="360"/>
        <w:spacing w:after="0" w:line="275" w:lineRule="auto"/>
        <w:rPr>
          <w:sz w:val="20"/>
          <w:szCs w:val="20"/>
          <w:color w:val="auto"/>
        </w:rPr>
      </w:pPr>
      <w:r>
        <w:rPr>
          <w:rFonts w:ascii="Arial" w:cs="Arial" w:eastAsia="Arial" w:hAnsi="Arial"/>
          <w:sz w:val="17"/>
          <w:szCs w:val="17"/>
          <w:color w:val="auto"/>
        </w:rPr>
        <w:t>The summary of significant accounting policies presented below is designed to assist in understanding the Company’s consolidated financial statements. Such consolidated financial statements and accompanying notes are the representations of the Company’s management, who is responsible for their integrity and objectivity. Management believes that these accounting policies conform to GAAP in all material respects, and have been consistently applied in preparing the accompanying consolidated financial statements.</w:t>
      </w:r>
    </w:p>
    <w:p>
      <w:pPr>
        <w:spacing w:after="0" w:line="68"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Pursuant to the Merger Agreement, the Business Combination was accounted for as a reverse recapitalization in accordance with GAAP (the “Reverse Recapitalization”). Under this method of accounting, Silver Spike was treated as the acquired company and Legacy WMH was treated as the acquirer for financial statement reporting purposes.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6" w:name="page137"/>
    <w:bookmarkEnd w:id="13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Accordingly, for accounting purposes, the Reverse Recapitalization was treated as the equivalent of Legacy WMH issuing stock for the net assets of Silver Spike, accompanied by a recapitalization.</w:t>
      </w:r>
    </w:p>
    <w:p>
      <w:pPr>
        <w:spacing w:after="0" w:line="62"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Legacy WMH was determined to be the accounting acquirer based on evaluation of the following facts and circumstances:</w:t>
      </w:r>
    </w:p>
    <w:p>
      <w:pPr>
        <w:spacing w:after="0" w:line="62" w:lineRule="exact"/>
        <w:rPr>
          <w:sz w:val="20"/>
          <w:szCs w:val="20"/>
          <w:color w:val="auto"/>
        </w:rPr>
      </w:pPr>
    </w:p>
    <w:p>
      <w:pPr>
        <w:ind w:left="1000" w:right="319" w:hanging="348"/>
        <w:spacing w:after="0" w:line="277"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Legacy WMH Class A Unit holders, through their ownership of the Class V Common Stock, have the greatest voting interest in the Company with over 50% of the voting interest;</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Legacy WMH selected the majority of the new board of directors of the Company;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Legacy WMH senior management is the senior management of the Company;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Legacy WMH is the larger entity based on historical operating activity and has the larger employee base.</w:t>
      </w:r>
    </w:p>
    <w:p>
      <w:pPr>
        <w:spacing w:after="0" w:line="14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Thus, the financial statements included in this annual report reflect (i) the historical operating results of Legacy WMH prior to the Business Combination; (ii) the combined results of the WMH LLC and Silver Spike following the Business Combination; and (iii) the acquired assets and liabilities of Silver Spike stated at historical cost, with no goodwill or other intangible assets recorded.</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consolidated financial statements include the accounts of WM Technology, Inc. and WM Holding Company, LLC, including their wholly and majority owned subsidiaries. In conformity with GAAP, all significant intercompany accounts and transactions have been eliminated.</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years ended December 31, 2021, 2020 and 2019.</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6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Significant estimates made by management include, among others, the valuation of accounts receivable, the useful lives of long-lived assets, income taxes, website and internal-use software development costs, leases, valuation of goodwill and other intangible assets, valuation of warrant liability, deferred tax asset, tax receivable agreement liability, revenue recognition, stock-based compensation, and the recognition and disclosure of contingent liabilities.</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Company operates in a relatively new industry where laws and regulations vary significantly by jurisdiction. Currently, several states permit medical or recreational use of cannabis; however, the use of cannabis is prohibited on a federal level in the United States. If any of the states that permit use of cannabis were to change their laws or the federal government was to actively enforce such prohibition, the Company’s business could be adversely affected.</w:t>
      </w:r>
    </w:p>
    <w:p>
      <w:pPr>
        <w:spacing w:after="0" w:line="8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 addition, the Company’s ability to grow and meet its operating objectives depends largely on the continued legalization of cannabis on a widespread basis. There can be no assurance that such legalization will occur on a timely basis, or at all.</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 xml:space="preserve">The Company follows the guidance in ASC 820 -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for its financial assets and liabilities that are re-measured and reported at fair value at each reporting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7" w:name="page138"/>
    <w:bookmarkEnd w:id="13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84" w:lineRule="exact"/>
        <w:rPr>
          <w:sz w:val="20"/>
          <w:szCs w:val="20"/>
          <w:color w:val="auto"/>
        </w:rPr>
      </w:pPr>
    </w:p>
    <w:p>
      <w:pPr>
        <w:jc w:val="both"/>
        <w:ind w:left="1000" w:right="299" w:hanging="348"/>
        <w:spacing w:after="0" w:line="263"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75"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Level 3: Unobservable inputs based on the Company assessment of the assumptions that market participants would use in pricing the asset or liability.</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receivable is recorded at the invoiced amount and does not bear interest.</w:t>
      </w:r>
    </w:p>
    <w:p>
      <w:pPr>
        <w:spacing w:after="0" w:line="11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Effective January 1, 2021, the Company adopted the new accounting guidance on measuring credit losses on its trade accounts receivable using the modified retrospective approach. The new credit loss guidance replaces the old model for measuring the allowance for credit losses with a model that is based on the expected losses rather than incurred losses. Under the new credit loss model, lifetime expected credit losses are measured and recognized at each reporting date based on historical, current and forecast information. The adoption of this guidance did not have a material impact on the Company’s consolidated financial statements.</w:t>
      </w:r>
    </w:p>
    <w:p>
      <w:pPr>
        <w:spacing w:after="0" w:line="7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Company calculates the expected credit losses on a pool basis for those trade receivables that have similar risk characteristics. For those trade receivables that do not share similar risk characteristics, the allowance for doubtful accounts is calculated on an individual basis. Risk characteristics relevant to the Company’s accounts receivable include balance of customer account and aging status.</w:t>
      </w:r>
    </w:p>
    <w:p>
      <w:pPr>
        <w:spacing w:after="0" w:line="7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Prior to the accounting adoption, the Company reserved an allowance for all balances outstanding in excess of ninety days.</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Account balances are written off against the allowance when it is determined that it is probable that the receivable will not be recovered. The Company recorded a provision for doubtful accounts of $5.2 million and $0.9 million as of December 31, 2021 and 2020, respectively.</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the allowance for doubtful accounts:</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9"/>
          </w:tcPr>
          <w:p>
            <w:pPr>
              <w:jc w:val="right"/>
              <w:ind w:right="280"/>
              <w:spacing w:after="0"/>
              <w:rPr>
                <w:sz w:val="20"/>
                <w:szCs w:val="20"/>
                <w:color w:val="auto"/>
              </w:rPr>
            </w:pPr>
            <w:r>
              <w:rPr>
                <w:rFonts w:ascii="Arial" w:cs="Arial" w:eastAsia="Arial" w:hAnsi="Arial"/>
                <w:sz w:val="14"/>
                <w:szCs w:val="14"/>
                <w:b w:val="1"/>
                <w:bCs w:val="1"/>
                <w:color w:val="auto"/>
                <w:w w:val="99"/>
              </w:rPr>
              <w:t>Years Ended December 31,</w:t>
            </w:r>
          </w:p>
        </w:tc>
      </w:tr>
      <w:tr>
        <w:trPr>
          <w:trHeight w:val="53"/>
        </w:trPr>
        <w:tc>
          <w:tcPr>
            <w:tcW w:w="62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5"/>
        </w:trPr>
        <w:tc>
          <w:tcPr>
            <w:tcW w:w="6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ind w:right="17"/>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ind w:right="15"/>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9"/>
                <w:szCs w:val="19"/>
                <w:color w:val="auto"/>
              </w:rPr>
            </w:pPr>
          </w:p>
        </w:tc>
      </w:tr>
      <w:tr>
        <w:trPr>
          <w:trHeight w:val="53"/>
        </w:trPr>
        <w:tc>
          <w:tcPr>
            <w:tcW w:w="62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Allowance, beginning of year</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$734</w:t>
            </w:r>
          </w:p>
        </w:tc>
      </w:tr>
      <w:tr>
        <w:trPr>
          <w:trHeight w:val="270"/>
        </w:trPr>
        <w:tc>
          <w:tcPr>
            <w:tcW w:w="6220" w:type="dxa"/>
            <w:vAlign w:val="bottom"/>
          </w:tcPr>
          <w:p>
            <w:pPr>
              <w:spacing w:after="0"/>
              <w:rPr>
                <w:sz w:val="20"/>
                <w:szCs w:val="20"/>
                <w:color w:val="auto"/>
              </w:rPr>
            </w:pPr>
            <w:r>
              <w:rPr>
                <w:rFonts w:ascii="Arial" w:cs="Arial" w:eastAsia="Arial" w:hAnsi="Arial"/>
                <w:sz w:val="18"/>
                <w:szCs w:val="18"/>
                <w:color w:val="auto"/>
              </w:rPr>
              <w:t>Addition to allowance</w:t>
            </w:r>
          </w:p>
        </w:tc>
        <w:tc>
          <w:tcPr>
            <w:tcW w:w="120" w:type="dxa"/>
            <w:vAlign w:val="bottom"/>
          </w:tcPr>
          <w:p>
            <w:pPr>
              <w:spacing w:after="0"/>
              <w:rPr>
                <w:sz w:val="23"/>
                <w:szCs w:val="2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5,487</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1,271</w:t>
            </w:r>
          </w:p>
        </w:tc>
        <w:tc>
          <w:tcPr>
            <w:tcW w:w="300" w:type="dxa"/>
            <w:vAlign w:val="bottom"/>
          </w:tcPr>
          <w:p>
            <w:pPr>
              <w:spacing w:after="0"/>
              <w:rPr>
                <w:sz w:val="23"/>
                <w:szCs w:val="23"/>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180</w:t>
            </w:r>
          </w:p>
        </w:tc>
      </w:tr>
      <w:tr>
        <w:trPr>
          <w:trHeight w:val="54"/>
        </w:trPr>
        <w:tc>
          <w:tcPr>
            <w:tcW w:w="622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Write-off, net of recoveries</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(1,175)</w:t>
            </w:r>
          </w:p>
        </w:tc>
        <w:tc>
          <w:tcPr>
            <w:tcW w:w="300" w:type="dxa"/>
            <w:vAlign w:val="bottom"/>
            <w:shd w:val="clear" w:color="auto" w:fill="CCEEFF"/>
          </w:tcPr>
          <w:p>
            <w:pPr>
              <w:spacing w:after="0"/>
              <w:rPr>
                <w:sz w:val="22"/>
                <w:szCs w:val="22"/>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(1,328)</w:t>
            </w:r>
          </w:p>
        </w:tc>
        <w:tc>
          <w:tcPr>
            <w:tcW w:w="3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61"/>
        </w:trPr>
        <w:tc>
          <w:tcPr>
            <w:tcW w:w="6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70"/>
        </w:trPr>
        <w:tc>
          <w:tcPr>
            <w:tcW w:w="6220" w:type="dxa"/>
            <w:vAlign w:val="bottom"/>
          </w:tcPr>
          <w:p>
            <w:pPr>
              <w:spacing w:after="0"/>
              <w:rPr>
                <w:sz w:val="20"/>
                <w:szCs w:val="20"/>
                <w:color w:val="auto"/>
              </w:rPr>
            </w:pPr>
            <w:r>
              <w:rPr>
                <w:rFonts w:ascii="Arial" w:cs="Arial" w:eastAsia="Arial" w:hAnsi="Arial"/>
                <w:sz w:val="18"/>
                <w:szCs w:val="18"/>
                <w:color w:val="auto"/>
              </w:rPr>
              <w:t>Allowance, end of year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5,169</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914</w:t>
            </w:r>
          </w:p>
        </w:tc>
      </w:tr>
      <w:tr>
        <w:trPr>
          <w:trHeight w:val="21"/>
        </w:trPr>
        <w:tc>
          <w:tcPr>
            <w:tcW w:w="6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-847725</wp:posOffset>
            </wp:positionV>
            <wp:extent cx="18859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-847725</wp:posOffset>
            </wp:positionV>
            <wp:extent cx="18859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-847725</wp:posOffset>
            </wp:positionV>
            <wp:extent cx="9461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29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Investment in Equity Security</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 xml:space="preserve">Investments in equity securities that do not have a readily determinable fair value and qualify for the measurement alternative for equity investments provided in ASC 321, </w:t>
      </w:r>
      <w:r>
        <w:rPr>
          <w:rFonts w:ascii="Arial" w:cs="Arial" w:eastAsia="Arial" w:hAnsi="Arial"/>
          <w:sz w:val="16"/>
          <w:szCs w:val="16"/>
          <w:i w:val="1"/>
          <w:iCs w:val="1"/>
          <w:color w:val="auto"/>
        </w:rPr>
        <w:t>Investments – Equity Securities</w:t>
      </w:r>
      <w:r>
        <w:rPr>
          <w:rFonts w:ascii="Arial" w:cs="Arial" w:eastAsia="Arial" w:hAnsi="Arial"/>
          <w:sz w:val="16"/>
          <w:szCs w:val="16"/>
          <w:color w:val="auto"/>
        </w:rPr>
        <w:t xml:space="preserve"> are accounted for at cost, less any impairment, plus or minus changes resulting from observable price changes in orderly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8" w:name="page139"/>
    <w:bookmarkEnd w:id="13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transactions for an identical or similar investment of the same issuer. As December 31, 2021, the carrying value of the Company’s investments in equity securities without a readily determinable fair value was $6.5 million, which is recorded within Other assets on the Company’s consolidated balance sheets.</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Property and equipment are stated at cost, less accumulated depreciation, and consist of internally developed software, computer equipment, furniture and fixtures and leasehold improvements. Depreciation is computed using the straight-line method over the estimated useful lives of the assets and generally over five years for computer equipment, seven years for furniture and fixtures and five years for leasehold improvements. Maintenance and repairs are expensed as incurred. When assets are retired or otherwise disposed of, the cost and related accumulated depreciation are removed from the accounts and any resulting gain or loss is reflected in the Company’s results of operations.</w:t>
      </w:r>
    </w:p>
    <w:p>
      <w:pPr>
        <w:spacing w:after="0" w:line="87"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Capitalized website and internal-use software development costs are included in property and equipment in the accompanying balance sheets. The Company capitalizes certain costs related to the development and enhancement of the Weedmaps platform and SaaS solutions. The Company began to capitalize these costs when preliminary development efforts were successfully completed, management has authorized and committed project funding, and it was probable that the project would be completed and the software would be used as intended. Capitalization ceases upon completion of all substantial testing. Maintenance and training costs are expensed as incurred. Such costs are amortized when placed in service, on a straight-line basis over the estimated useful life of the related asset, generally estimated to be three years. Costs incurred for enhancements that were expected to result in additional features or functionality are capitalized and expensed over the estimated useful life of the enhancements, generally three years. Product development costs that do not meet the criteria for capitalization are expensed as incurred.</w:t>
      </w:r>
    </w:p>
    <w:p>
      <w:pPr>
        <w:spacing w:after="0" w:line="60"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The Company assess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w:t>
      </w:r>
    </w:p>
    <w:p>
      <w:pPr>
        <w:spacing w:after="0" w:line="33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 xml:space="preserve">Effective January 1, 2021, the Company accounts for its leases under ASC 842 - </w:t>
      </w:r>
      <w:r>
        <w:rPr>
          <w:rFonts w:ascii="Arial" w:cs="Arial" w:eastAsia="Arial" w:hAnsi="Arial"/>
          <w:sz w:val="17"/>
          <w:szCs w:val="17"/>
          <w:i w:val="1"/>
          <w:iCs w:val="1"/>
          <w:color w:val="auto"/>
        </w:rPr>
        <w:t>Leases</w:t>
      </w:r>
      <w:r>
        <w:rPr>
          <w:rFonts w:ascii="Arial" w:cs="Arial" w:eastAsia="Arial" w:hAnsi="Arial"/>
          <w:sz w:val="17"/>
          <w:szCs w:val="17"/>
          <w:color w:val="auto"/>
        </w:rPr>
        <w:t>. Under this guidance, lessees classify arrangements meeting the definition of a lease as operating or financing leases, and leases are recorded on the consolidated balance sheet as both a right-of-use asset (“ROU”)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For finance leases, interest on the lease liability and the amortization of the right-of-use asset results in front-loaded expense over the lease term. Variable lease expenses are recorded when incurred.</w:t>
      </w:r>
    </w:p>
    <w:p>
      <w:pPr>
        <w:spacing w:after="0" w:line="7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calculating the right-of-use asset and lease liability, the Company elects to combine lease and non-lease components for all classes of assets. The Company excludes short-term leases having initial terms of 12 months or less from the new guidance as an accounting policy election, and instead recognizes rent expense on a straight-line basis over the lease term.</w:t>
      </w:r>
    </w:p>
    <w:p>
      <w:pPr>
        <w:spacing w:after="0" w:line="7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Company assess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107"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 xml:space="preserve">The Company continues to account for leases in the prior period financial statements under ASC 840, </w:t>
      </w:r>
      <w:r>
        <w:rPr>
          <w:rFonts w:ascii="Arial" w:cs="Arial" w:eastAsia="Arial" w:hAnsi="Arial"/>
          <w:sz w:val="16"/>
          <w:szCs w:val="16"/>
          <w:i w:val="1"/>
          <w:iCs w:val="1"/>
          <w:color w:val="auto"/>
        </w:rPr>
        <w:t>Leases</w:t>
      </w:r>
      <w:r>
        <w:rPr>
          <w:rFonts w:ascii="Arial" w:cs="Arial" w:eastAsia="Arial" w:hAnsi="Arial"/>
          <w:sz w:val="16"/>
          <w:szCs w:val="16"/>
          <w:color w:val="auto"/>
        </w:rPr>
        <w: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9" w:name="page140"/>
    <w:bookmarkEnd w:id="13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11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The Company assumed 12,499,993 Public Warrants and 7,000,000 Private Placement Warrants (together, the “Warrants”) upon the Closing, all of which were issued in connection with Silver Spike’s initial public offering and entitle the holder to purchase one share of Class A Common Stock at an exercise price of at $11.50 per share. All of the Warrants remained outstanding as of December 31, 2021.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cashless exercised. The Private Placement Warrants are transferable, assignable or salable in certain limited exceptions. The Private Placement Warrants are exercisable for cash or on a cashless basis, at the holder’s option, and are non-redeemable so long as they are held by the initial purchasers or their permitted transferees. If the Private Placement Warrants are held by someone other than the initial purchasers or their permitted transferees, the Private Placement Warrants will cease to be Private Placement Warrants, and become Public Warrants and be redeemable by the Company and exercisable by such holders on the same basis as the other Public Warrants.</w:t>
      </w:r>
    </w:p>
    <w:p>
      <w:pPr>
        <w:spacing w:after="0" w:line="78"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 xml:space="preserve">The Company evaluated the Warrants under ASC 815-40 </w:t>
      </w:r>
      <w:r>
        <w:rPr>
          <w:rFonts w:ascii="Arial" w:cs="Arial" w:eastAsia="Arial" w:hAnsi="Arial"/>
          <w:sz w:val="16"/>
          <w:szCs w:val="16"/>
          <w:i w:val="1"/>
          <w:iCs w:val="1"/>
          <w:color w:val="auto"/>
        </w:rPr>
        <w:t>- Derivatives and Hedging - Contracts in Entity’s</w:t>
      </w:r>
      <w:r>
        <w:rPr>
          <w:rFonts w:ascii="Arial" w:cs="Arial" w:eastAsia="Arial" w:hAnsi="Arial"/>
          <w:sz w:val="16"/>
          <w:szCs w:val="16"/>
          <w:color w:val="auto"/>
        </w:rPr>
        <w:t xml:space="preserve"> </w:t>
      </w:r>
      <w:r>
        <w:rPr>
          <w:rFonts w:ascii="Arial" w:cs="Arial" w:eastAsia="Arial" w:hAnsi="Arial"/>
          <w:sz w:val="16"/>
          <w:szCs w:val="16"/>
          <w:i w:val="1"/>
          <w:iCs w:val="1"/>
          <w:color w:val="auto"/>
        </w:rPr>
        <w:t>Own Equity</w:t>
      </w:r>
      <w:r>
        <w:rPr>
          <w:rFonts w:ascii="Arial" w:cs="Arial" w:eastAsia="Arial" w:hAnsi="Arial"/>
          <w:sz w:val="16"/>
          <w:szCs w:val="16"/>
          <w:color w:val="auto"/>
        </w:rPr>
        <w:t>, and concluded they do not meet the criteria to be classified in stockholders’ equity. Specifically, the</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of the Warrants may be settled in cash upon the occurrence of a tender offer or exchange that involves 50% or more of our Class A equity holders. Because not all of the voting stockholders need to participate in such tender offer or exchange to trigger the potential cash settlement and the Company does not control the occurrence of such an event, the Company concluded that the Warrants do not meet the conditions to be classified in equity. Since the Warrants meet the definition of a derivative under ASC 815, the Company recorded these warrants as liabilities on the consolidated balance sheets at fair value, with subsequent changes in their respective fair values recognized in change in fair value of warrant liabilities within the consolidated statements of operations at each reporting date.</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In connection with the Business Combination, the Company entered into a tax receivable agreement (the “Tax Receivable Agreement”) with continuing members that provides for a payment to the continuing Class A Unit holders of 85% of the amount of tax benefits, if any, that the Company realizes, or is deemed to realize, as a result of redemptions or exchanges of Units. In connection with such potential future tax benefits resulting from the Business Combination, the Company has established a deferred tax asset for the additional tax basis and a corresponding TRA liability of 85% of the expected benefit. The remaining 15% is recorded to additional paid-in capital.</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Company’s revenues are derived primarily from monthly subscriptions and additional offerings for access to the Company’s Weedmaps platform and SaaS solutions. The Company recognizes revenue when the fundamental criteria for revenue recognition are met. The Company recognizes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w:t>
      </w:r>
    </w:p>
    <w:p>
      <w:pPr>
        <w:spacing w:after="0" w:line="69"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Substantially all of the Company’s revenue is generated by providing standard listing subscription services and other paid listing subscriptions services, including featured listings, promoted deals, nearby listings and other display advertising to its customers. These arrangements are recognized over-time, generally during a month-to-month subscription period as the products are provided. Prior to January 1, 2021, the Company charged a fee for access to the Company’s orders functionality and those fees were recognized at a point in time, typically when an order for delivery or pickup was submitted. Starting on January 1, 2021, the Company eliminated the technology services fee charge related to the Company’s orders functionality.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spacing w:after="0" w:line="86"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Deferred revenue primarily consists of billings or payments received in advance of revenue recognition from subscription offerings, as described above, and is recognized as the revenue recognition criteria are met. Deferred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0" w:name="page141"/>
    <w:bookmarkEnd w:id="140"/>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revenue as of December 31, 2020 and 2019 was $5.3 million and $4.3 million, respectively, and the balances were fully recognized in the first quarter of the following fiscal year. The deferred revenue balance as of December 31, 2021 was $8.1 million and is expected to be fully recognized within the next twelve months.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Company’s disaggregated net revenue information (in thousands):</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2240" w:type="dxa"/>
            <w:vAlign w:val="bottom"/>
            <w:gridSpan w:val="5"/>
          </w:tcPr>
          <w:p>
            <w:pPr>
              <w:jc w:val="right"/>
              <w:ind w:right="215"/>
              <w:spacing w:after="0"/>
              <w:rPr>
                <w:sz w:val="20"/>
                <w:szCs w:val="20"/>
                <w:color w:val="auto"/>
              </w:rPr>
            </w:pPr>
            <w:r>
              <w:rPr>
                <w:rFonts w:ascii="Arial" w:cs="Arial" w:eastAsia="Arial" w:hAnsi="Arial"/>
                <w:sz w:val="14"/>
                <w:szCs w:val="14"/>
                <w:b w:val="1"/>
                <w:bCs w:val="1"/>
                <w:color w:val="auto"/>
              </w:rPr>
              <w:t>Years Ended December 31,</w:t>
            </w:r>
          </w:p>
        </w:tc>
      </w:tr>
      <w:tr>
        <w:trPr>
          <w:trHeight w:val="53"/>
        </w:trPr>
        <w:tc>
          <w:tcPr>
            <w:tcW w:w="61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224"/>
        </w:trPr>
        <w:tc>
          <w:tcPr>
            <w:tcW w:w="6180" w:type="dxa"/>
            <w:vAlign w:val="bottom"/>
          </w:tcPr>
          <w:p>
            <w:pPr>
              <w:spacing w:after="0"/>
              <w:rPr>
                <w:sz w:val="19"/>
                <w:szCs w:val="19"/>
                <w:color w:val="auto"/>
              </w:rPr>
            </w:pPr>
          </w:p>
        </w:tc>
        <w:tc>
          <w:tcPr>
            <w:tcW w:w="660" w:type="dxa"/>
            <w:vAlign w:val="bottom"/>
          </w:tcPr>
          <w:p>
            <w:pPr>
              <w:jc w:val="right"/>
              <w:ind w:right="9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9"/>
                <w:szCs w:val="19"/>
                <w:color w:val="auto"/>
              </w:rPr>
            </w:pPr>
          </w:p>
        </w:tc>
        <w:tc>
          <w:tcPr>
            <w:tcW w:w="680" w:type="dxa"/>
            <w:vAlign w:val="bottom"/>
          </w:tcPr>
          <w:p>
            <w:pPr>
              <w:jc w:val="right"/>
              <w:ind w:right="11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c>
          <w:tcPr>
            <w:tcW w:w="680" w:type="dxa"/>
            <w:vAlign w:val="bottom"/>
          </w:tcPr>
          <w:p>
            <w:pPr>
              <w:jc w:val="right"/>
              <w:ind w:right="115"/>
              <w:spacing w:after="0"/>
              <w:rPr>
                <w:sz w:val="20"/>
                <w:szCs w:val="20"/>
                <w:color w:val="auto"/>
              </w:rPr>
            </w:pPr>
            <w:r>
              <w:rPr>
                <w:rFonts w:ascii="Arial" w:cs="Arial" w:eastAsia="Arial" w:hAnsi="Arial"/>
                <w:sz w:val="14"/>
                <w:szCs w:val="14"/>
                <w:b w:val="1"/>
                <w:bCs w:val="1"/>
                <w:color w:val="auto"/>
              </w:rPr>
              <w:t>2019</w:t>
            </w:r>
          </w:p>
        </w:tc>
      </w:tr>
      <w:tr>
        <w:trPr>
          <w:trHeight w:val="53"/>
        </w:trPr>
        <w:tc>
          <w:tcPr>
            <w:tcW w:w="61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331"/>
        </w:trPr>
        <w:tc>
          <w:tcPr>
            <w:tcW w:w="6180" w:type="dxa"/>
            <w:vAlign w:val="bottom"/>
            <w:shd w:val="clear" w:color="auto" w:fill="CCEEFF"/>
          </w:tcPr>
          <w:p>
            <w:pPr>
              <w:spacing w:after="0" w:line="331" w:lineRule="exact"/>
              <w:rPr>
                <w:sz w:val="20"/>
                <w:szCs w:val="20"/>
                <w:color w:val="auto"/>
              </w:rPr>
            </w:pPr>
            <w:r>
              <w:rPr>
                <w:rFonts w:ascii="Arial" w:cs="Arial" w:eastAsia="Arial" w:hAnsi="Arial"/>
                <w:sz w:val="18"/>
                <w:szCs w:val="18"/>
                <w:color w:val="auto"/>
              </w:rPr>
              <w:t>Revenues recognized over time</w:t>
            </w:r>
            <w:r>
              <w:rPr>
                <w:rFonts w:ascii="Arial" w:cs="Arial" w:eastAsia="Arial" w:hAnsi="Arial"/>
                <w:sz w:val="29"/>
                <w:szCs w:val="29"/>
                <w:color w:val="auto"/>
                <w:vertAlign w:val="superscript"/>
              </w:rPr>
              <w:t>(1)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$193,146</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$155,363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$143,490</w:t>
            </w:r>
          </w:p>
        </w:tc>
      </w:tr>
      <w:tr>
        <w:trPr>
          <w:trHeight w:val="257"/>
        </w:trPr>
        <w:tc>
          <w:tcPr>
            <w:tcW w:w="6180" w:type="dxa"/>
            <w:vAlign w:val="bottom"/>
          </w:tcPr>
          <w:p>
            <w:pPr>
              <w:spacing w:after="0" w:line="256" w:lineRule="exact"/>
              <w:rPr>
                <w:sz w:val="20"/>
                <w:szCs w:val="20"/>
                <w:color w:val="auto"/>
              </w:rPr>
            </w:pPr>
            <w:r>
              <w:rPr>
                <w:rFonts w:ascii="Arial" w:cs="Arial" w:eastAsia="Arial" w:hAnsi="Arial"/>
                <w:sz w:val="18"/>
                <w:szCs w:val="18"/>
                <w:color w:val="auto"/>
              </w:rPr>
              <w:t>Revenues recognized at a point in time</w:t>
            </w:r>
            <w:r>
              <w:rPr>
                <w:rFonts w:ascii="Arial" w:cs="Arial" w:eastAsia="Arial" w:hAnsi="Arial"/>
                <w:sz w:val="29"/>
                <w:szCs w:val="29"/>
                <w:color w:val="auto"/>
                <w:vertAlign w:val="superscript"/>
              </w:rPr>
              <w:t>(2)</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6,428</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742</w:t>
            </w:r>
          </w:p>
        </w:tc>
      </w:tr>
      <w:tr>
        <w:trPr>
          <w:trHeight w:val="61"/>
        </w:trPr>
        <w:tc>
          <w:tcPr>
            <w:tcW w:w="61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r>
      <w:tr>
        <w:trPr>
          <w:trHeight w:val="318"/>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193,146</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161,791</w:t>
            </w: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144,232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-650875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-650875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-650875</wp:posOffset>
            </wp:positionV>
            <wp:extent cx="342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8" w:lineRule="exact"/>
        <w:rPr>
          <w:sz w:val="20"/>
          <w:szCs w:val="20"/>
          <w:color w:val="auto"/>
        </w:rPr>
      </w:pPr>
    </w:p>
    <w:p>
      <w:pPr>
        <w:ind w:left="640" w:hanging="348"/>
        <w:spacing w:after="0"/>
        <w:tabs>
          <w:tab w:leader="none" w:pos="6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Revenues from listing subscription services, featured listings and other advertising products.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Revenues from use of orders functionality.</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U.S. and foreign revenues (in thousands):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2240" w:type="dxa"/>
            <w:vAlign w:val="bottom"/>
            <w:gridSpan w:val="5"/>
          </w:tcPr>
          <w:p>
            <w:pPr>
              <w:jc w:val="right"/>
              <w:ind w:right="215"/>
              <w:spacing w:after="0"/>
              <w:rPr>
                <w:sz w:val="20"/>
                <w:szCs w:val="20"/>
                <w:color w:val="auto"/>
              </w:rPr>
            </w:pPr>
            <w:r>
              <w:rPr>
                <w:rFonts w:ascii="Arial" w:cs="Arial" w:eastAsia="Arial" w:hAnsi="Arial"/>
                <w:sz w:val="14"/>
                <w:szCs w:val="14"/>
                <w:b w:val="1"/>
                <w:bCs w:val="1"/>
                <w:color w:val="auto"/>
              </w:rPr>
              <w:t>Years Ended December 31,</w:t>
            </w:r>
          </w:p>
        </w:tc>
      </w:tr>
      <w:tr>
        <w:trPr>
          <w:trHeight w:val="53"/>
        </w:trPr>
        <w:tc>
          <w:tcPr>
            <w:tcW w:w="61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224"/>
        </w:trPr>
        <w:tc>
          <w:tcPr>
            <w:tcW w:w="6180" w:type="dxa"/>
            <w:vAlign w:val="bottom"/>
          </w:tcPr>
          <w:p>
            <w:pPr>
              <w:spacing w:after="0"/>
              <w:rPr>
                <w:sz w:val="19"/>
                <w:szCs w:val="19"/>
                <w:color w:val="auto"/>
              </w:rPr>
            </w:pPr>
          </w:p>
        </w:tc>
        <w:tc>
          <w:tcPr>
            <w:tcW w:w="660" w:type="dxa"/>
            <w:vAlign w:val="bottom"/>
          </w:tcPr>
          <w:p>
            <w:pPr>
              <w:jc w:val="right"/>
              <w:ind w:right="9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9"/>
                <w:szCs w:val="19"/>
                <w:color w:val="auto"/>
              </w:rPr>
            </w:pPr>
          </w:p>
        </w:tc>
        <w:tc>
          <w:tcPr>
            <w:tcW w:w="680" w:type="dxa"/>
            <w:vAlign w:val="bottom"/>
          </w:tcPr>
          <w:p>
            <w:pPr>
              <w:jc w:val="right"/>
              <w:ind w:right="11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c>
          <w:tcPr>
            <w:tcW w:w="680" w:type="dxa"/>
            <w:vAlign w:val="bottom"/>
          </w:tcPr>
          <w:p>
            <w:pPr>
              <w:jc w:val="right"/>
              <w:ind w:right="115"/>
              <w:spacing w:after="0"/>
              <w:rPr>
                <w:sz w:val="20"/>
                <w:szCs w:val="20"/>
                <w:color w:val="auto"/>
              </w:rPr>
            </w:pPr>
            <w:r>
              <w:rPr>
                <w:rFonts w:ascii="Arial" w:cs="Arial" w:eastAsia="Arial" w:hAnsi="Arial"/>
                <w:sz w:val="14"/>
                <w:szCs w:val="14"/>
                <w:b w:val="1"/>
                <w:bCs w:val="1"/>
                <w:color w:val="auto"/>
              </w:rPr>
              <w:t>2019</w:t>
            </w:r>
          </w:p>
        </w:tc>
      </w:tr>
      <w:tr>
        <w:trPr>
          <w:trHeight w:val="53"/>
        </w:trPr>
        <w:tc>
          <w:tcPr>
            <w:tcW w:w="61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311"/>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 revenues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$193,146</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$130,373</w:t>
            </w: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$132,077</w:t>
            </w:r>
          </w:p>
        </w:tc>
      </w:tr>
      <w:tr>
        <w:trPr>
          <w:trHeight w:val="257"/>
        </w:trPr>
        <w:tc>
          <w:tcPr>
            <w:tcW w:w="6180" w:type="dxa"/>
            <w:vAlign w:val="bottom"/>
          </w:tcPr>
          <w:p>
            <w:pPr>
              <w:spacing w:after="0"/>
              <w:rPr>
                <w:sz w:val="20"/>
                <w:szCs w:val="20"/>
                <w:color w:val="auto"/>
              </w:rPr>
            </w:pPr>
            <w:r>
              <w:rPr>
                <w:rFonts w:ascii="Arial" w:cs="Arial" w:eastAsia="Arial" w:hAnsi="Arial"/>
                <w:sz w:val="18"/>
                <w:szCs w:val="18"/>
                <w:color w:val="auto"/>
              </w:rPr>
              <w:t>Foreign revenues</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31,418</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12,155</w:t>
            </w:r>
          </w:p>
        </w:tc>
      </w:tr>
      <w:tr>
        <w:trPr>
          <w:trHeight w:val="61"/>
        </w:trPr>
        <w:tc>
          <w:tcPr>
            <w:tcW w:w="61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r>
      <w:tr>
        <w:trPr>
          <w:trHeight w:val="318"/>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193,146</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161,791</w:t>
            </w: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144,232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-650875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-650875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-650875</wp:posOffset>
            </wp:positionV>
            <wp:extent cx="342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All foreign revenues were generated in Canada. During the second half of fiscal 2020, the Company discontinued its services to Canada-based retail operator clients who failed to provide valid license information, similar to the transition the Company implemented in California at the end of fiscal 2019. Following the completion of the discontinuation of such services, all revenue has been generated in the United States.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Company’s cost of revenue primarily consists of web hosting, internet service costs, and credit card processing costs.</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Product Development Costs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Product development costs includes salaries and benefits for employees, including engineering and technical teams who are responsible for building new products, as well as improving existing products. Product development costs that do not meet the criteria for capitalization are expensed as incurred.</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Advertising</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The Company expenses the cost of advertising in the period incurred. Advertising expense totaled $17.7 million, $10.6 million and $20.6 million for the years ended December 31, 2021, 2020 and 2019, respectively, and are included in sales and marketing expense in the accompanying consolidated statements of operations.</w:t>
      </w:r>
    </w:p>
    <w:p>
      <w:pPr>
        <w:spacing w:after="0" w:line="2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The Company measures fair value of employee stock-based compensation awards on the date of grant and allocates the related expense over the requisite service period. The fair value of restricted stock units and performance-based restricted stock units is equal to the market price of the Company’s common stock on the date of grant. The fair value of the Class P Units is measured using the Black-Scholes-Merton valuation model. When awards include a performance condition that impacts the vesting of the award, the Company records compensation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1" w:name="page142"/>
    <w:bookmarkEnd w:id="14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cost when it becomes probable that the performance condition will be met and the expense will be attributed over the performance period. The expected volatility is based on the historical volatility and implied volatilities for comparable companies, the expected life of the award is based on the simplified method.</w:t>
      </w:r>
    </w:p>
    <w:p>
      <w:pPr>
        <w:spacing w:after="0" w:line="5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Company accounts for nonemployee stock-based transactions using the fair value of the consideration received (i.e., the value of the goods or services) or the fair value of the equity instruments issued, whichever is more reliably measurable.</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Expense</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Other expense consists primarily of transaction costs related to the warrants, political contributions, interest expense, legal settlements, financing fees and other tax related expenses.</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The Company accounts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 applicable to the periods in which the temporary differences are expected to reverse. Any effects of changes in income tax rates or laws are included in income tax expense in the period of enactment. A valuation allowance is recognized if we determine it is more likely than not that all or a portion of a deferred tax asset will not be recognized. In making such determination, the Company considers all available evidence, including scheduled reversals of deferred tax liabilities, projected future taxable income, tax planning strategies and recent and expected future results of operation.</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and its subsidiaries operate in one business segment.</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Basic income (loss) per share is computed by dividing net income (loss) attributable to WM Technology, Inc.</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by the weighted-average number of shares of Class A Common Stock outstanding during the period.</w:t>
      </w:r>
    </w:p>
    <w:p>
      <w:pPr>
        <w:spacing w:after="0" w:line="103"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Diluted income (loss) per share is computed giving effect to all potential weighted-average dilutive shares for the period. The dilutive effect of outstanding awards or financial instruments, if any, is reflected in diluted income (loss) per share by application of the treasury stock method or if-converted method, as applicable. Stock awards are excluded from the calculation of diluted EPS in the event they are antidilutive or subject to performance conditions for which the necessary conditions have not been satisfied by the end of the reporting period.</w:t>
      </w:r>
    </w:p>
    <w:p>
      <w:pPr>
        <w:spacing w:after="0" w:line="53"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Prior to the Business Combination, the membership structure of Legacy WMH included units which had profit interests. The Company analyzed the calculation of earnings per unit for periods prior to the Business Combination and determined that it resulted in values that would not be meaningful to the users of these consolidated financial statements. As a result, earnings per share information has not been presented for periods prior to the Business Combination on June 16, 2021. The basic and diluted income (loss) per share for the year ended December 31, 2021 represent the period from June 16, 2021 (Closing Date) to December 31, 2021.</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Company’s financial instruments are potentially subject to concentrations of credit risk. The Company places its cash with high quality credit institutions. From time to time, the Company maintains cash balances at certain institutions in excess of the Federal Deposit Insurance Corporation limit. Management believes that the risk of loss is not significant and has not experienced any losses in such accounts.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Prior to December 31, 2021, the Company was an “emerging growth company” (EGC) as defined in the Jumpstart Our Business Startups Act, (JOBS Act), and elected to take advantage of certain exemptions from various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2" w:name="page143"/>
    <w:bookmarkEnd w:id="14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reporting requirements that are applicable to other public companies until the Company is no longer an EGC, including using the extended transition period for complying with new or revised accounting standards. As of December 31, 2021, the Company has become a large accelerated filer under the rules of the SEC and is no longer classified as an EGC.</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2016-02, Leases (Topic 842). The guidance in this ASU supersedes the leasing guidance in Topic 840, Leases.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consolidated statements of operations. The Company adopted ASC 842 as of January 1, 2021, using the modified retrospective transition approach by recording an ROU asset and lease liability for operating leases of $43.3 million and $48.4 million, respectively, at that date; the Company did not have any finance lease assets and liabilities upon adoption or any arrangements where it acts as a lessor. Adoption of ASC 842 did not have an effect on the Company’s retained earnings. The Company availed itself of the practical expedients provided under ASC 842 regarding identification of leases, lease classification, indirect costs, and the combination of lease and non-lease components for all classes of assets. The Company continues to account for leases in the prior period financial statements under ASC 840.</w:t>
      </w:r>
    </w:p>
    <w:p>
      <w:pPr>
        <w:spacing w:after="0" w:line="60"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In June 2016, the FASB issued ASU 2016-13, Financial Instruments—Credit Losses: Measurement of Credit Losses on Financial Instruments (Topic 326). This update modifies measurement of credit losses. The new standard requires that entities estimate credit losses based upon an “expected credit loss” approach rather than the historical “incurred loss” approach. The new approach requires entities to measure all expected credit losses for financial assets based on historical experience, current conditions and reasonable forecasts of collectability. The change in approach impacts the timing of recognition of credit losses. The Company adopted this guidance effective on January 1, 2021, using the modified retrospective transition approach. Prior to December 31, 2021, as an EGC, the Company elected to use the extended transition period provided by the JOBS Act for the implementation of new or revised accounting standards, and as a result of this election, the Company did not have to comply with the public company FASB standard’s effective date for this guidance until the Company ceased to be classified as an EGC. Effective on December 31, 2021, the Company lost its EGC status which accelerated the requirement of this adoption. The adoption of this guidance did not have a material impact on the Company’s consolidated financial statements.</w:t>
      </w:r>
    </w:p>
    <w:p>
      <w:pPr>
        <w:spacing w:after="0" w:line="78"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In August 2018, the FASB issued ASU 2018-15, Intangibles—Goodwill and Other—Internal-Use Software (Subtopic 350-40). The new standard aligns the requirements for capitalizing implementation costs incurred in a cloud computing arrangement that is a service contract with the requirements for capitalizing implementation costs incurred to develop or obtain internal-use software (and hosting arrangements that include an internal-use software license). The Company adopted this guidance effective on January 1, 2021, using the modified retrospective transition approach. Prior to December 31, 2021, as an EGC, the Company elected to use the extended transition period provided by the JOBS Act for the implementation of new or revised accounting standards, and as a result of this election, the Company did not have to comply with the public company FASB standard’s effective date for this guidance until the Company ceased to be classified as an EGC. Effective on December 31, 2021, the Company lost its EGC status which accelerated the requirement of this adoption. The adoption of this guidance did not have a material impact on the Company’s consolidated financial statements.</w:t>
      </w:r>
    </w:p>
    <w:p>
      <w:pPr>
        <w:spacing w:after="0" w:line="74"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In December 2019, the FASB issued ASU 2019-12, Income Taxes (ASC 740): Simplifying the Accounting for Income Taxes. The standard eliminates the need for an organization to analyze whether the following apply in a given period: (1) the exception to the incremental approach for intraperiod tax allocation; (2) the exceptions to accounting for basis differences when there are ownership changes in foreign investments; and (3) the exception in interim periods income tax accounting for year-to-date losses that exceed anticipated losses. The ASU also is designed to improve financial statement preparers’ application of income tax-related guidance and simplify U.S. GAAP for (1) franchise taxes that are partially based on income, (2) transactions with a government that result in a step-up in the tax basis of goodwill, (3) separate financial statements of legal entities that are not subject to tax, (4) enacted changes in tax laws in interim periods and (5) certain income tax accounting for employee stock ownership plans and affordable housing projects. The Company adopted ASU 2019-12 on January 1, 2021 on a prospective basis. The adoption did not have a material impact on the Company’s consolidated financial statements.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3" w:name="page144"/>
    <w:bookmarkEnd w:id="14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0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Effective January 1, 2021, the Company adopted ASC 842 using the modified retrospective transition approach for recording ROU assets and operating lease liabilities for its operating leases. The Company’s operating leases consist of office space located primarily in the United States. The Company does not have any leases classified as financing leases.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components of lease related costs, net for the year ended December 31, 2021 are as follows (in thousands):</w:t>
      </w:r>
    </w:p>
    <w:p>
      <w:pPr>
        <w:spacing w:after="0" w:line="18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4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Year Ended December</w:t>
            </w:r>
          </w:p>
        </w:tc>
      </w:tr>
      <w:tr>
        <w:trPr>
          <w:trHeight w:val="186"/>
        </w:trPr>
        <w:tc>
          <w:tcPr>
            <w:tcW w:w="696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31, 2021</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53"/>
        </w:trPr>
        <w:tc>
          <w:tcPr>
            <w:tcW w:w="696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311"/>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0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$ 9,229</w:t>
            </w:r>
          </w:p>
        </w:tc>
        <w:tc>
          <w:tcPr>
            <w:tcW w:w="440" w:type="dxa"/>
            <w:vAlign w:val="bottom"/>
            <w:tcBorders>
              <w:bottom w:val="single" w:sz="8" w:color="CCEEFF"/>
            </w:tcBorders>
            <w:shd w:val="clear" w:color="auto" w:fill="CCEEFF"/>
          </w:tcPr>
          <w:p>
            <w:pPr>
              <w:spacing w:after="0"/>
              <w:rPr>
                <w:sz w:val="24"/>
                <w:szCs w:val="24"/>
                <w:color w:val="auto"/>
              </w:rPr>
            </w:pPr>
          </w:p>
        </w:tc>
      </w:tr>
      <w:tr>
        <w:trPr>
          <w:trHeight w:val="256"/>
        </w:trPr>
        <w:tc>
          <w:tcPr>
            <w:tcW w:w="6960" w:type="dxa"/>
            <w:vAlign w:val="bottom"/>
          </w:tcPr>
          <w:p>
            <w:pPr>
              <w:spacing w:after="0"/>
              <w:rPr>
                <w:sz w:val="20"/>
                <w:szCs w:val="20"/>
                <w:color w:val="auto"/>
              </w:rPr>
            </w:pPr>
            <w:r>
              <w:rPr>
                <w:rFonts w:ascii="Arial" w:cs="Arial" w:eastAsia="Arial" w:hAnsi="Arial"/>
                <w:sz w:val="18"/>
                <w:szCs w:val="18"/>
                <w:color w:val="auto"/>
              </w:rPr>
              <w:t>Variable lease cost</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2,217</w:t>
            </w:r>
          </w:p>
        </w:tc>
        <w:tc>
          <w:tcPr>
            <w:tcW w:w="440" w:type="dxa"/>
            <w:vAlign w:val="bottom"/>
          </w:tcPr>
          <w:p>
            <w:pPr>
              <w:spacing w:after="0"/>
              <w:rPr>
                <w:sz w:val="22"/>
                <w:szCs w:val="22"/>
                <w:color w:val="auto"/>
              </w:rPr>
            </w:pPr>
          </w:p>
        </w:tc>
      </w:tr>
      <w:tr>
        <w:trPr>
          <w:trHeight w:val="61"/>
        </w:trPr>
        <w:tc>
          <w:tcPr>
            <w:tcW w:w="6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r>
      <w:tr>
        <w:trPr>
          <w:trHeight w:val="318"/>
        </w:trPr>
        <w:tc>
          <w:tcPr>
            <w:tcW w:w="6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cost</w:t>
            </w:r>
          </w:p>
        </w:tc>
        <w:tc>
          <w:tcPr>
            <w:tcW w:w="10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11,446</w:t>
            </w:r>
          </w:p>
        </w:tc>
        <w:tc>
          <w:tcPr>
            <w:tcW w:w="440" w:type="dxa"/>
            <w:vAlign w:val="bottom"/>
            <w:tcBorders>
              <w:bottom w:val="single" w:sz="8" w:color="CCEEFF"/>
            </w:tcBorders>
            <w:shd w:val="clear" w:color="auto" w:fill="CCEEFF"/>
          </w:tcPr>
          <w:p>
            <w:pPr>
              <w:spacing w:after="0"/>
              <w:rPr>
                <w:sz w:val="24"/>
                <w:szCs w:val="24"/>
                <w:color w:val="auto"/>
              </w:rPr>
            </w:pPr>
          </w:p>
        </w:tc>
      </w:tr>
      <w:tr>
        <w:trPr>
          <w:trHeight w:val="256"/>
        </w:trPr>
        <w:tc>
          <w:tcPr>
            <w:tcW w:w="6960" w:type="dxa"/>
            <w:vAlign w:val="bottom"/>
          </w:tcPr>
          <w:p>
            <w:pPr>
              <w:spacing w:after="0"/>
              <w:rPr>
                <w:sz w:val="20"/>
                <w:szCs w:val="20"/>
                <w:color w:val="auto"/>
              </w:rPr>
            </w:pPr>
            <w:r>
              <w:rPr>
                <w:rFonts w:ascii="Arial" w:cs="Arial" w:eastAsia="Arial" w:hAnsi="Arial"/>
                <w:sz w:val="18"/>
                <w:szCs w:val="18"/>
                <w:color w:val="auto"/>
              </w:rPr>
              <w:t>Short-term lease cost</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88</w:t>
            </w:r>
          </w:p>
        </w:tc>
        <w:tc>
          <w:tcPr>
            <w:tcW w:w="440" w:type="dxa"/>
            <w:vAlign w:val="bottom"/>
          </w:tcPr>
          <w:p>
            <w:pPr>
              <w:spacing w:after="0"/>
              <w:rPr>
                <w:sz w:val="22"/>
                <w:szCs w:val="22"/>
                <w:color w:val="auto"/>
              </w:rPr>
            </w:pPr>
          </w:p>
        </w:tc>
      </w:tr>
      <w:tr>
        <w:trPr>
          <w:trHeight w:val="61"/>
        </w:trPr>
        <w:tc>
          <w:tcPr>
            <w:tcW w:w="6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40" w:type="dxa"/>
            <w:vAlign w:val="bottom"/>
          </w:tcPr>
          <w:p>
            <w:pPr>
              <w:spacing w:after="0"/>
              <w:rPr>
                <w:sz w:val="5"/>
                <w:szCs w:val="5"/>
                <w:color w:val="auto"/>
              </w:rPr>
            </w:pPr>
          </w:p>
        </w:tc>
      </w:tr>
      <w:tr>
        <w:trPr>
          <w:trHeight w:val="318"/>
        </w:trPr>
        <w:tc>
          <w:tcPr>
            <w:tcW w:w="6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lease cost, net</w:t>
            </w:r>
          </w:p>
        </w:tc>
        <w:tc>
          <w:tcPr>
            <w:tcW w:w="4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11,534</w:t>
            </w:r>
          </w:p>
        </w:tc>
        <w:tc>
          <w:tcPr>
            <w:tcW w:w="44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4454525</wp:posOffset>
            </wp:positionH>
            <wp:positionV relativeFrom="paragraph">
              <wp:posOffset>-1079500</wp:posOffset>
            </wp:positionV>
            <wp:extent cx="15430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During the year ended December 31, 2021, the Company made cash payments of $8.2 million on its operating leases, all of which were included in cash flows from operating activities within the consolidated statements of cash flows. During the year ended December 31, 2021, ROU assets obtained in exchange for operating lease liabilities were $43.3 million. Net rent expense for the years ended December 31, 2021, 2020 and 2019 amounted to $11.5 million, $11.1 million, and $5.6 million, respectively, and is included in general and administrative expense in the accompanying consolidated statements of operations. Sublease rental income is recognized as a reduction to the related lease expense on a straight-line basis over the sublease term. For the year ended December 31, 2021, the Company recorded contra rent expense related to a sublease of $0.2 million.</w:t>
      </w:r>
    </w:p>
    <w:p>
      <w:pPr>
        <w:spacing w:after="0" w:line="5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As of December 31, 2021, future minimum payments for the next five years and thereafter are as follows (in thousands):</w:t>
      </w:r>
    </w:p>
    <w:p>
      <w:pPr>
        <w:spacing w:after="0" w:line="1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6"/>
              </w:rPr>
              <w:t>Operating</w:t>
            </w:r>
          </w:p>
        </w:tc>
      </w:tr>
      <w:tr>
        <w:trPr>
          <w:trHeight w:val="186"/>
        </w:trPr>
        <w:tc>
          <w:tcPr>
            <w:tcW w:w="7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8"/>
              </w:rPr>
              <w:t>Leases</w:t>
            </w:r>
          </w:p>
        </w:tc>
      </w:tr>
      <w:tr>
        <w:trPr>
          <w:trHeight w:val="53"/>
        </w:trPr>
        <w:tc>
          <w:tcPr>
            <w:tcW w:w="77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1"/>
        </w:trPr>
        <w:tc>
          <w:tcPr>
            <w:tcW w:w="7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Years Ending December 31,</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9,597</w:t>
            </w:r>
          </w:p>
        </w:tc>
        <w:tc>
          <w:tcPr>
            <w:tcW w:w="80" w:type="dxa"/>
            <w:vAlign w:val="bottom"/>
          </w:tcPr>
          <w:p>
            <w:pPr>
              <w:spacing w:after="0"/>
              <w:rPr>
                <w:sz w:val="23"/>
                <w:szCs w:val="23"/>
                <w:color w:val="auto"/>
              </w:rPr>
            </w:pPr>
          </w:p>
        </w:tc>
      </w:tr>
      <w:tr>
        <w:trPr>
          <w:trHeight w:val="54"/>
        </w:trPr>
        <w:tc>
          <w:tcPr>
            <w:tcW w:w="7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7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9,898</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9,405</w:t>
            </w:r>
          </w:p>
        </w:tc>
        <w:tc>
          <w:tcPr>
            <w:tcW w:w="80" w:type="dxa"/>
            <w:vAlign w:val="bottom"/>
          </w:tcPr>
          <w:p>
            <w:pPr>
              <w:spacing w:after="0"/>
              <w:rPr>
                <w:sz w:val="23"/>
                <w:szCs w:val="23"/>
                <w:color w:val="auto"/>
              </w:rPr>
            </w:pPr>
          </w:p>
        </w:tc>
      </w:tr>
      <w:tr>
        <w:trPr>
          <w:trHeight w:val="54"/>
        </w:trPr>
        <w:tc>
          <w:tcPr>
            <w:tcW w:w="7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7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5,830</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5,408</w:t>
            </w:r>
          </w:p>
        </w:tc>
        <w:tc>
          <w:tcPr>
            <w:tcW w:w="80" w:type="dxa"/>
            <w:vAlign w:val="bottom"/>
          </w:tcPr>
          <w:p>
            <w:pPr>
              <w:spacing w:after="0"/>
              <w:rPr>
                <w:sz w:val="23"/>
                <w:szCs w:val="23"/>
                <w:color w:val="auto"/>
              </w:rPr>
            </w:pPr>
          </w:p>
        </w:tc>
      </w:tr>
      <w:tr>
        <w:trPr>
          <w:trHeight w:val="54"/>
        </w:trPr>
        <w:tc>
          <w:tcPr>
            <w:tcW w:w="7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23"/>
        </w:trPr>
        <w:tc>
          <w:tcPr>
            <w:tcW w:w="7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24,325</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84"/>
        </w:trPr>
        <w:tc>
          <w:tcPr>
            <w:tcW w:w="770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0"/>
              </w:rPr>
              <w:t>64,463</w:t>
            </w:r>
          </w:p>
        </w:tc>
        <w:tc>
          <w:tcPr>
            <w:tcW w:w="80" w:type="dxa"/>
            <w:vAlign w:val="bottom"/>
            <w:tcBorders>
              <w:top w:val="single" w:sz="8" w:color="CCEEFF"/>
            </w:tcBorders>
          </w:tcPr>
          <w:p>
            <w:pPr>
              <w:spacing w:after="0"/>
              <w:rPr>
                <w:sz w:val="24"/>
                <w:szCs w:val="24"/>
                <w:color w:val="auto"/>
              </w:rPr>
            </w:pPr>
          </w:p>
        </w:tc>
      </w:tr>
      <w:tr>
        <w:trPr>
          <w:trHeight w:val="54"/>
        </w:trPr>
        <w:tc>
          <w:tcPr>
            <w:tcW w:w="7700" w:type="dxa"/>
            <w:vAlign w:val="bottom"/>
          </w:tcPr>
          <w:p>
            <w:pPr>
              <w:spacing w:after="0"/>
              <w:rPr>
                <w:sz w:val="4"/>
                <w:szCs w:val="4"/>
                <w:color w:val="auto"/>
              </w:rPr>
            </w:pPr>
          </w:p>
        </w:tc>
        <w:tc>
          <w:tcPr>
            <w:tcW w:w="640" w:type="dxa"/>
            <w:vAlign w:val="bottom"/>
            <w:gridSpan w:val="2"/>
          </w:tcPr>
          <w:p>
            <w:pPr>
              <w:spacing w:after="0"/>
              <w:rPr>
                <w:sz w:val="4"/>
                <w:szCs w:val="4"/>
                <w:color w:val="auto"/>
              </w:rPr>
            </w:pPr>
          </w:p>
        </w:tc>
        <w:tc>
          <w:tcPr>
            <w:tcW w:w="80" w:type="dxa"/>
            <w:vAlign w:val="bottom"/>
          </w:tcPr>
          <w:p>
            <w:pPr>
              <w:spacing w:after="0"/>
              <w:rPr>
                <w:sz w:val="4"/>
                <w:szCs w:val="4"/>
                <w:color w:val="auto"/>
              </w:rPr>
            </w:pPr>
          </w:p>
        </w:tc>
      </w:tr>
      <w:tr>
        <w:trPr>
          <w:trHeight w:val="318"/>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Less present value discount</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(19,623)</w:t>
            </w:r>
          </w:p>
        </w:tc>
      </w:tr>
      <w:tr>
        <w:trPr>
          <w:trHeight w:val="270"/>
        </w:trPr>
        <w:tc>
          <w:tcPr>
            <w:tcW w:w="770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Operating lease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44,840</w:t>
            </w:r>
          </w:p>
        </w:tc>
        <w:tc>
          <w:tcPr>
            <w:tcW w:w="80" w:type="dxa"/>
            <w:vAlign w:val="bottom"/>
            <w:tcBorders>
              <w:top w:val="single" w:sz="8" w:color="CCEEFF"/>
            </w:tcBorders>
          </w:tcPr>
          <w:p>
            <w:pPr>
              <w:spacing w:after="0"/>
              <w:rPr>
                <w:sz w:val="23"/>
                <w:szCs w:val="23"/>
                <w:color w:val="auto"/>
              </w:rPr>
            </w:pPr>
          </w:p>
        </w:tc>
      </w:tr>
      <w:tr>
        <w:trPr>
          <w:trHeight w:val="20"/>
        </w:trPr>
        <w:tc>
          <w:tcPr>
            <w:tcW w:w="7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-2099310</wp:posOffset>
            </wp:positionV>
            <wp:extent cx="27432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8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As of December 31, 2021, the Company’s operating leases had a weighted average remaining lease term of 7.4 years and a weighted-average discount rate of 9.8%. The Company’s lease agreements do not provide an implicit rate and as a result, the Company used an estimated incremental borrowing rate, which was derived from third-party information available at the time the Company adopted ASC 842 in determining the present value of future lease payments. The rate used is for a secured borrowing of a similar term as the right of use asset. During the year ended December 31, 2021, the Company recognized an impairment charge of $2.4 million related to an ROU asset reducing the carrying value of the lease asset to its estimated fair value. The fair value was estimated using an income approach based on management’s forecast of future cash flows expected to be derived based on current sublease market rent. The impairment charge is included in general and administrative expenses in the consolidated statements of operations.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4" w:name="page145"/>
    <w:bookmarkEnd w:id="14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180" w:lineRule="exact"/>
        <w:rPr>
          <w:sz w:val="20"/>
          <w:szCs w:val="20"/>
          <w:color w:val="auto"/>
        </w:rPr>
      </w:pPr>
    </w:p>
    <w:p>
      <w:pPr>
        <w:ind w:left="640" w:hanging="348"/>
        <w:spacing w:after="0"/>
        <w:tabs>
          <w:tab w:leader="none" w:pos="6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following table presents information about the Company’s liabilities that are measured at fair value on a recurring basis at December 31, 2021, and indicates the fair value hierarchy of the valuation inputs the Company utilized to determine such fair value (in thousands):</w:t>
      </w:r>
    </w:p>
    <w:p>
      <w:pPr>
        <w:spacing w:after="0" w:line="148"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7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w:t>
            </w: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w w:val="91"/>
              </w:rPr>
              <w:t>December 31, 2021</w:t>
            </w:r>
          </w:p>
        </w:tc>
      </w:tr>
      <w:tr>
        <w:trPr>
          <w:trHeight w:val="53"/>
        </w:trPr>
        <w:tc>
          <w:tcPr>
            <w:tcW w:w="64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311"/>
        </w:trPr>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3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r>
      <w:tr>
        <w:trPr>
          <w:trHeight w:val="270"/>
        </w:trPr>
        <w:tc>
          <w:tcPr>
            <w:tcW w:w="6480" w:type="dxa"/>
            <w:vAlign w:val="bottom"/>
          </w:tcPr>
          <w:p>
            <w:pPr>
              <w:spacing w:after="0"/>
              <w:rPr>
                <w:sz w:val="20"/>
                <w:szCs w:val="20"/>
                <w:color w:val="auto"/>
              </w:rPr>
            </w:pPr>
            <w:r>
              <w:rPr>
                <w:rFonts w:ascii="Arial" w:cs="Arial" w:eastAsia="Arial" w:hAnsi="Arial"/>
                <w:sz w:val="18"/>
                <w:szCs w:val="18"/>
                <w:color w:val="auto"/>
              </w:rPr>
              <w:t>Warrant liability – Public Warrants</w:t>
            </w:r>
          </w:p>
        </w:tc>
        <w:tc>
          <w:tcPr>
            <w:tcW w:w="3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420" w:type="dxa"/>
            <w:vAlign w:val="bottom"/>
          </w:tcPr>
          <w:p>
            <w:pPr>
              <w:spacing w:after="0"/>
              <w:rPr>
                <w:sz w:val="23"/>
                <w:szCs w:val="23"/>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$16,750</w:t>
            </w:r>
          </w:p>
        </w:tc>
        <w:tc>
          <w:tcPr>
            <w:tcW w:w="280" w:type="dxa"/>
            <w:vAlign w:val="bottom"/>
          </w:tcPr>
          <w:p>
            <w:pPr>
              <w:spacing w:after="0"/>
              <w:rPr>
                <w:sz w:val="23"/>
                <w:szCs w:val="23"/>
                <w:color w:val="auto"/>
              </w:rPr>
            </w:pPr>
          </w:p>
        </w:tc>
      </w:tr>
      <w:tr>
        <w:trPr>
          <w:trHeight w:val="54"/>
        </w:trPr>
        <w:tc>
          <w:tcPr>
            <w:tcW w:w="6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257"/>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 – Private Placement Warrants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4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10,710</w:t>
            </w: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r>
      <w:tr>
        <w:trPr>
          <w:trHeight w:val="61"/>
        </w:trPr>
        <w:tc>
          <w:tcPr>
            <w:tcW w:w="64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r>
      <w:tr>
        <w:trPr>
          <w:trHeight w:val="270"/>
        </w:trPr>
        <w:tc>
          <w:tcPr>
            <w:tcW w:w="6480" w:type="dxa"/>
            <w:vAlign w:val="bottom"/>
          </w:tcPr>
          <w:p>
            <w:pPr>
              <w:ind w:left="180"/>
              <w:spacing w:after="0"/>
              <w:rPr>
                <w:sz w:val="20"/>
                <w:szCs w:val="20"/>
                <w:color w:val="auto"/>
              </w:rPr>
            </w:pPr>
            <w:r>
              <w:rPr>
                <w:rFonts w:ascii="Arial" w:cs="Arial" w:eastAsia="Arial" w:hAnsi="Arial"/>
                <w:sz w:val="18"/>
                <w:szCs w:val="18"/>
                <w:color w:val="auto"/>
              </w:rPr>
              <w:t>Total warrant liability</w:t>
            </w: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27,460</w:t>
            </w:r>
          </w:p>
        </w:tc>
        <w:tc>
          <w:tcPr>
            <w:tcW w:w="280" w:type="dxa"/>
            <w:vAlign w:val="bottom"/>
          </w:tcPr>
          <w:p>
            <w:pPr>
              <w:spacing w:after="0"/>
              <w:rPr>
                <w:sz w:val="23"/>
                <w:szCs w:val="23"/>
                <w:color w:val="auto"/>
              </w:rPr>
            </w:pPr>
          </w:p>
        </w:tc>
      </w:tr>
      <w:tr>
        <w:trPr>
          <w:trHeight w:val="21"/>
        </w:trPr>
        <w:tc>
          <w:tcPr>
            <w:tcW w:w="6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4523105</wp:posOffset>
            </wp:positionH>
            <wp:positionV relativeFrom="paragraph">
              <wp:posOffset>-848360</wp:posOffset>
            </wp:positionV>
            <wp:extent cx="26543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65430" cy="8890"/>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-848360</wp:posOffset>
            </wp:positionV>
            <wp:extent cx="13716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the changes in the fair value of the warrant liabilities (in thousands):</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gridSpan w:val="10"/>
          </w:tcPr>
          <w:p>
            <w:pPr>
              <w:jc w:val="right"/>
              <w:ind w:right="580"/>
              <w:spacing w:after="0"/>
              <w:rPr>
                <w:sz w:val="20"/>
                <w:szCs w:val="20"/>
                <w:color w:val="auto"/>
              </w:rPr>
            </w:pPr>
            <w:r>
              <w:rPr>
                <w:rFonts w:ascii="Arial" w:cs="Arial" w:eastAsia="Arial" w:hAnsi="Arial"/>
                <w:sz w:val="14"/>
                <w:szCs w:val="14"/>
                <w:b w:val="1"/>
                <w:bCs w:val="1"/>
                <w:color w:val="auto"/>
              </w:rPr>
              <w:t>Year Ended December 31, 2021</w:t>
            </w:r>
          </w:p>
        </w:tc>
        <w:tc>
          <w:tcPr>
            <w:tcW w:w="0" w:type="dxa"/>
            <w:vAlign w:val="bottom"/>
          </w:tcPr>
          <w:p>
            <w:pPr>
              <w:spacing w:after="0"/>
              <w:rPr>
                <w:sz w:val="1"/>
                <w:szCs w:val="1"/>
                <w:color w:val="auto"/>
              </w:rPr>
            </w:pPr>
          </w:p>
        </w:tc>
      </w:tr>
      <w:tr>
        <w:trPr>
          <w:trHeight w:val="53"/>
        </w:trPr>
        <w:tc>
          <w:tcPr>
            <w:tcW w:w="53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5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4"/>
              </w:rPr>
              <w:t>Private</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Warrant</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13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Public Warrants</w:t>
            </w:r>
          </w:p>
        </w:tc>
        <w:tc>
          <w:tcPr>
            <w:tcW w:w="7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Placement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1300" w:type="dxa"/>
            <w:vAlign w:val="bottom"/>
            <w:gridSpan w:val="5"/>
            <w:vMerge w:val="continue"/>
          </w:tcPr>
          <w:p>
            <w:pPr>
              <w:spacing w:after="0"/>
              <w:rPr>
                <w:sz w:val="16"/>
                <w:szCs w:val="16"/>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Warrants</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2"/>
              </w:rPr>
              <w:t>Liabilities</w:t>
            </w:r>
          </w:p>
        </w:tc>
        <w:tc>
          <w:tcPr>
            <w:tcW w:w="0" w:type="dxa"/>
            <w:vAlign w:val="bottom"/>
          </w:tcPr>
          <w:p>
            <w:pPr>
              <w:spacing w:after="0"/>
              <w:rPr>
                <w:sz w:val="1"/>
                <w:szCs w:val="1"/>
                <w:color w:val="auto"/>
              </w:rPr>
            </w:pPr>
          </w:p>
        </w:tc>
      </w:tr>
      <w:tr>
        <w:trPr>
          <w:trHeight w:val="53"/>
        </w:trPr>
        <w:tc>
          <w:tcPr>
            <w:tcW w:w="53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beginning of period</w:t>
            </w:r>
          </w:p>
        </w:tc>
        <w:tc>
          <w:tcPr>
            <w:tcW w:w="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8"/>
                <w:szCs w:val="18"/>
                <w:color w:val="auto"/>
              </w:rPr>
              <w:t>Warrant liability acquired</w:t>
            </w:r>
          </w:p>
        </w:tc>
        <w:tc>
          <w:tcPr>
            <w:tcW w:w="1020" w:type="dxa"/>
            <w:vAlign w:val="bottom"/>
            <w:gridSpan w:val="4"/>
          </w:tcPr>
          <w:p>
            <w:pPr>
              <w:jc w:val="right"/>
              <w:ind w:right="180"/>
              <w:spacing w:after="0"/>
              <w:rPr>
                <w:sz w:val="20"/>
                <w:szCs w:val="20"/>
                <w:color w:val="auto"/>
              </w:rPr>
            </w:pPr>
            <w:r>
              <w:rPr>
                <w:rFonts w:ascii="Arial" w:cs="Arial" w:eastAsia="Arial" w:hAnsi="Arial"/>
                <w:sz w:val="18"/>
                <w:szCs w:val="18"/>
                <w:color w:val="auto"/>
              </w:rPr>
              <w:t>100,750</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93,228</w:t>
            </w: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193,978</w:t>
            </w:r>
          </w:p>
        </w:tc>
        <w:tc>
          <w:tcPr>
            <w:tcW w:w="0" w:type="dxa"/>
            <w:vAlign w:val="bottom"/>
          </w:tcPr>
          <w:p>
            <w:pPr>
              <w:spacing w:after="0"/>
              <w:rPr>
                <w:sz w:val="1"/>
                <w:szCs w:val="1"/>
                <w:color w:val="auto"/>
              </w:rPr>
            </w:pPr>
          </w:p>
        </w:tc>
      </w:tr>
      <w:tr>
        <w:trPr>
          <w:trHeight w:val="54"/>
        </w:trPr>
        <w:tc>
          <w:tcPr>
            <w:tcW w:w="5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inputs or other assumptions</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(84,000)</w:t>
            </w:r>
          </w:p>
        </w:tc>
        <w:tc>
          <w:tcPr>
            <w:tcW w:w="28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(82,518)</w:t>
            </w: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(166,518)</w:t>
            </w:r>
          </w:p>
        </w:tc>
        <w:tc>
          <w:tcPr>
            <w:tcW w:w="0" w:type="dxa"/>
            <w:vAlign w:val="bottom"/>
          </w:tcPr>
          <w:p>
            <w:pPr>
              <w:spacing w:after="0"/>
              <w:rPr>
                <w:sz w:val="1"/>
                <w:szCs w:val="1"/>
                <w:color w:val="auto"/>
              </w:rPr>
            </w:pPr>
          </w:p>
        </w:tc>
      </w:tr>
      <w:tr>
        <w:trPr>
          <w:trHeight w:val="61"/>
        </w:trPr>
        <w:tc>
          <w:tcPr>
            <w:tcW w:w="53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340" w:type="dxa"/>
            <w:vAlign w:val="bottom"/>
          </w:tcPr>
          <w:p>
            <w:pPr>
              <w:ind w:left="180"/>
              <w:spacing w:after="0"/>
              <w:rPr>
                <w:sz w:val="20"/>
                <w:szCs w:val="20"/>
                <w:color w:val="auto"/>
              </w:rPr>
            </w:pPr>
            <w:r>
              <w:rPr>
                <w:rFonts w:ascii="Arial" w:cs="Arial" w:eastAsia="Arial" w:hAnsi="Arial"/>
                <w:sz w:val="18"/>
                <w:szCs w:val="18"/>
                <w:color w:val="auto"/>
              </w:rPr>
              <w:t>Fair value, end of period</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16,750</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10,710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27,460</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-847725</wp:posOffset>
            </wp:positionV>
            <wp:extent cx="17145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-847725</wp:posOffset>
            </wp:positionV>
            <wp:extent cx="17145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-847725</wp:posOffset>
            </wp:positionV>
            <wp:extent cx="857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0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Public Warrants</w:t>
      </w:r>
    </w:p>
    <w:p>
      <w:pPr>
        <w:spacing w:after="0" w:line="117"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The Company determined the fair value of its public warrants, which were originally issued in the initial public offering of Silver Spike (the “Public Warrants”) based on the publicly listed trading price of such warrants as of the valuation date. Accordingly, the Public Warrants are classified as Level 1 financial instruments. The fair value of the Public Warrants was $16.8 million and $100.8 million as of December 31, 2021 and June 16, 2021, respectively.</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estimated fair value of the warrants that were originally issued in a private placement (the “Private Placement Warrants” and together with the Public Warrants, the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5" w:name="page146"/>
    <w:bookmarkEnd w:id="145"/>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following table provides quantitative information regarding Level 3 fair value measurements inputs at their measurement dates:</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220" w:type="dxa"/>
            <w:vAlign w:val="bottom"/>
          </w:tcPr>
          <w:p>
            <w:pPr>
              <w:spacing w:after="0"/>
              <w:rPr>
                <w:sz w:val="16"/>
                <w:szCs w:val="16"/>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2021</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90"/>
              </w:rPr>
              <w:t>June 16, 2021</w:t>
            </w:r>
          </w:p>
        </w:tc>
      </w:tr>
      <w:tr>
        <w:trPr>
          <w:trHeight w:val="53"/>
        </w:trPr>
        <w:tc>
          <w:tcPr>
            <w:tcW w:w="622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311"/>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18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$11.50</w:t>
            </w:r>
          </w:p>
        </w:tc>
        <w:tc>
          <w:tcPr>
            <w:tcW w:w="1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$11.50</w:t>
            </w:r>
          </w:p>
        </w:tc>
      </w:tr>
      <w:tr>
        <w:trPr>
          <w:trHeight w:val="270"/>
        </w:trPr>
        <w:tc>
          <w:tcPr>
            <w:tcW w:w="6220" w:type="dxa"/>
            <w:vAlign w:val="bottom"/>
          </w:tcPr>
          <w:p>
            <w:pPr>
              <w:spacing w:after="0"/>
              <w:rPr>
                <w:sz w:val="20"/>
                <w:szCs w:val="20"/>
                <w:color w:val="auto"/>
              </w:rPr>
            </w:pPr>
            <w:r>
              <w:rPr>
                <w:rFonts w:ascii="Arial" w:cs="Arial" w:eastAsia="Arial" w:hAnsi="Arial"/>
                <w:sz w:val="18"/>
                <w:szCs w:val="18"/>
                <w:color w:val="auto"/>
              </w:rPr>
              <w:t>Stock price</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50"/>
              <w:spacing w:after="0"/>
              <w:rPr>
                <w:sz w:val="20"/>
                <w:szCs w:val="20"/>
                <w:color w:val="auto"/>
              </w:rPr>
            </w:pPr>
            <w:r>
              <w:rPr>
                <w:rFonts w:ascii="Arial" w:cs="Arial" w:eastAsia="Arial" w:hAnsi="Arial"/>
                <w:sz w:val="18"/>
                <w:szCs w:val="18"/>
                <w:color w:val="auto"/>
                <w:w w:val="96"/>
              </w:rPr>
              <w:t>5.98</w:t>
            </w:r>
          </w:p>
        </w:tc>
        <w:tc>
          <w:tcPr>
            <w:tcW w:w="160" w:type="dxa"/>
            <w:vAlign w:val="bottom"/>
          </w:tcPr>
          <w:p>
            <w:pPr>
              <w:spacing w:after="0"/>
              <w:rPr>
                <w:sz w:val="23"/>
                <w:szCs w:val="23"/>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$20.55</w:t>
            </w:r>
          </w:p>
        </w:tc>
      </w:tr>
      <w:tr>
        <w:trPr>
          <w:trHeight w:val="54"/>
        </w:trPr>
        <w:tc>
          <w:tcPr>
            <w:tcW w:w="6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304"/>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Volatility</w:t>
            </w:r>
          </w:p>
        </w:tc>
        <w:tc>
          <w:tcPr>
            <w:tcW w:w="4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52.4%</w:t>
            </w:r>
          </w:p>
        </w:tc>
        <w:tc>
          <w:tcPr>
            <w:tcW w:w="1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70"/>
        </w:trPr>
        <w:tc>
          <w:tcPr>
            <w:tcW w:w="6220" w:type="dxa"/>
            <w:vAlign w:val="bottom"/>
          </w:tcPr>
          <w:p>
            <w:pPr>
              <w:spacing w:after="0"/>
              <w:rPr>
                <w:sz w:val="20"/>
                <w:szCs w:val="20"/>
                <w:color w:val="auto"/>
              </w:rPr>
            </w:pPr>
            <w:r>
              <w:rPr>
                <w:rFonts w:ascii="Arial" w:cs="Arial" w:eastAsia="Arial" w:hAnsi="Arial"/>
                <w:sz w:val="18"/>
                <w:szCs w:val="18"/>
                <w:color w:val="auto"/>
              </w:rPr>
              <w:t>Term (years)</w:t>
            </w:r>
          </w:p>
        </w:tc>
        <w:tc>
          <w:tcPr>
            <w:tcW w:w="480" w:type="dxa"/>
            <w:vAlign w:val="bottom"/>
          </w:tcPr>
          <w:p>
            <w:pPr>
              <w:spacing w:after="0"/>
              <w:rPr>
                <w:sz w:val="23"/>
                <w:szCs w:val="23"/>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4.46</w:t>
            </w:r>
          </w:p>
        </w:tc>
        <w:tc>
          <w:tcPr>
            <w:tcW w:w="160" w:type="dxa"/>
            <w:vAlign w:val="bottom"/>
          </w:tcPr>
          <w:p>
            <w:pPr>
              <w:spacing w:after="0"/>
              <w:rPr>
                <w:sz w:val="23"/>
                <w:szCs w:val="23"/>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5.00</w:t>
            </w:r>
          </w:p>
        </w:tc>
      </w:tr>
      <w:tr>
        <w:trPr>
          <w:trHeight w:val="54"/>
        </w:trPr>
        <w:tc>
          <w:tcPr>
            <w:tcW w:w="6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7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80" w:type="dxa"/>
            <w:vAlign w:val="bottom"/>
            <w:shd w:val="clear" w:color="auto" w:fill="CCEEFF"/>
          </w:tcPr>
          <w:p>
            <w:pPr>
              <w:spacing w:after="0"/>
              <w:rPr>
                <w:sz w:val="23"/>
                <w:szCs w:val="23"/>
                <w:color w:val="auto"/>
              </w:rPr>
            </w:pPr>
          </w:p>
        </w:tc>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r>
      <w:tr>
        <w:trPr>
          <w:trHeight w:val="54"/>
        </w:trPr>
        <w:tc>
          <w:tcPr>
            <w:tcW w:w="622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-1045210</wp:posOffset>
            </wp:positionV>
            <wp:extent cx="10287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-1045210</wp:posOffset>
            </wp:positionV>
            <wp:extent cx="514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valuations of the Private Placement Warrants use assumptions and estimates the Company believes would be made by a market participant in making the same valuation. The Company assess these assumptions and estimates on an on-going basis as additional data impacting the assumptions and estimates are obtained. Changes in the fair value of the Private Placement Warrants related to updated assumptions and estimates are recognized within the consolidated statements of operations.</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fair value of the Private Placement Warrants may change significantly as additional data is obtained. In evaluating this information, considerable judgment is required to interpret the data used to develop the assumptions and estimates. The estimates of fair value may not be indicative of the amounts that could be realized in a current market exchange. Accordingly, the use of different market assumptions and/or different valuation techniques may have a material effect on the estimated fair value, and such changes could materially impact the Company’s results of operations in future periods.</w:t>
      </w:r>
    </w:p>
    <w:p>
      <w:pPr>
        <w:spacing w:after="0" w:line="84"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Significant changes in the volatility would result in a significant lower or higher fair value measurement, respectively.</w:t>
      </w:r>
    </w:p>
    <w:p>
      <w:pPr>
        <w:spacing w:after="0" w:line="6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fair value of the Private Placement Warrants was $10.7 million and $93.2 million as of December 31, 2021 and June 16, 2021, respectively.</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 xml:space="preserve">The Warrants were accounted for as liabilities 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and are presented within warrant liability on the accompanying consolidated balance sheets. The warrant liabilities are measured at fair value at inception and on a recurring basis, with changes in fair value presented within change in fair value of warrant liability in the consolidated statements of operations.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in or out of Level 3 from other levels in the fair value hierarchy.</w:t>
      </w:r>
    </w:p>
    <w:p>
      <w:pPr>
        <w:spacing w:after="0" w:line="221" w:lineRule="exact"/>
        <w:rPr>
          <w:sz w:val="20"/>
          <w:szCs w:val="20"/>
          <w:color w:val="auto"/>
        </w:rPr>
      </w:pPr>
    </w:p>
    <w:p>
      <w:pPr>
        <w:ind w:left="640" w:hanging="348"/>
        <w:spacing w:after="0"/>
        <w:tabs>
          <w:tab w:leader="none" w:pos="6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12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As discussed in Note 1, on June 16, 2021, the Company consummated the Business Combination pursuant to the Merger Agreement.</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the Closing, the following occurred:</w:t>
      </w:r>
    </w:p>
    <w:p>
      <w:pPr>
        <w:spacing w:after="0" w:line="117" w:lineRule="exact"/>
        <w:rPr>
          <w:sz w:val="20"/>
          <w:szCs w:val="20"/>
          <w:color w:val="auto"/>
        </w:rPr>
      </w:pPr>
    </w:p>
    <w:p>
      <w:pPr>
        <w:ind w:left="1000" w:right="319" w:hanging="348"/>
        <w:spacing w:after="0" w:line="277" w:lineRule="auto"/>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Silver Spike was domesticated and continues as a Delaware corporation, changing its name to “WM Technology, Inc.”</w:t>
      </w:r>
    </w:p>
    <w:p>
      <w:pPr>
        <w:spacing w:after="0" w:line="62" w:lineRule="exact"/>
        <w:rPr>
          <w:rFonts w:ascii="Arial" w:cs="Arial" w:eastAsia="Arial" w:hAnsi="Arial"/>
          <w:sz w:val="18"/>
          <w:szCs w:val="18"/>
          <w:color w:val="auto"/>
        </w:rPr>
      </w:pPr>
    </w:p>
    <w:p>
      <w:pPr>
        <w:jc w:val="both"/>
        <w:ind w:left="1000" w:right="319" w:hanging="348"/>
        <w:spacing w:after="0" w:line="311" w:lineRule="auto"/>
        <w:tabs>
          <w:tab w:leader="none" w:pos="10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w:t>
      </w:r>
    </w:p>
    <w:p>
      <w:pPr>
        <w:spacing w:after="0" w:line="40" w:lineRule="exact"/>
        <w:rPr>
          <w:rFonts w:ascii="Arial" w:cs="Arial" w:eastAsia="Arial" w:hAnsi="Arial"/>
          <w:sz w:val="16"/>
          <w:szCs w:val="16"/>
          <w:color w:val="auto"/>
        </w:rPr>
      </w:pPr>
    </w:p>
    <w:p>
      <w:pPr>
        <w:jc w:val="both"/>
        <w:ind w:left="1000" w:right="319" w:hanging="348"/>
        <w:spacing w:after="0" w:line="286" w:lineRule="auto"/>
        <w:tabs>
          <w:tab w:leader="none" w:pos="10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Company consummated the sale of 32,500,000 shares of Class A Common Stock for a purchase price of $10.00 per share (together, the “PIPE Financing”) pursuant to certain subscription agreements dated as of December 10, 2020, for an aggregate price of $325.0 million.</w:t>
      </w:r>
    </w:p>
    <w:p>
      <w:pPr>
        <w:spacing w:after="0" w:line="57" w:lineRule="exact"/>
        <w:rPr>
          <w:rFonts w:ascii="Arial" w:cs="Arial" w:eastAsia="Arial" w:hAnsi="Arial"/>
          <w:sz w:val="17"/>
          <w:szCs w:val="17"/>
          <w:color w:val="auto"/>
        </w:rPr>
      </w:pPr>
    </w:p>
    <w:p>
      <w:pPr>
        <w:jc w:val="both"/>
        <w:ind w:left="1000" w:right="319" w:hanging="348"/>
        <w:spacing w:after="0" w:line="263" w:lineRule="auto"/>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Company contributed approximately $80.3 million of cash to WMH LLC, representing (a) the net amount held in the Company’s trust account following the redemption of 10,012 shares of Class A Common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6" w:name="page147"/>
    <w:bookmarkEnd w:id="146"/>
    <w:p>
      <w:pPr>
        <w:ind w:left="1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2020" w:right="1300"/>
        <w:spacing w:after="0" w:line="259" w:lineRule="auto"/>
        <w:rPr>
          <w:sz w:val="20"/>
          <w:szCs w:val="20"/>
          <w:color w:val="auto"/>
        </w:rPr>
      </w:pPr>
      <w:r>
        <w:rPr>
          <w:rFonts w:ascii="Arial" w:cs="Arial" w:eastAsia="Arial" w:hAnsi="Arial"/>
          <w:sz w:val="18"/>
          <w:szCs w:val="18"/>
          <w:color w:val="auto"/>
        </w:rPr>
        <w:t>Stock originally sold in the Silver Spike’s initial public offering, less (b) cash consideration of $455.2 million paid to Legacy WMH Class A equity holders, plus (c) $325.0 million in aggregate proceeds from the PIPE Financing, less (d) the aggregate amount of transaction expenses incurred by the parties to the Business Combination Agreement.</w:t>
      </w:r>
    </w:p>
    <w:p>
      <w:pPr>
        <w:spacing w:after="0" w:line="79" w:lineRule="exact"/>
        <w:rPr>
          <w:sz w:val="20"/>
          <w:szCs w:val="20"/>
          <w:color w:val="auto"/>
        </w:rPr>
      </w:pPr>
    </w:p>
    <w:p>
      <w:pPr>
        <w:ind w:left="2000" w:hanging="348"/>
        <w:spacing w:after="0"/>
        <w:tabs>
          <w:tab w:leader="none" w:pos="2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Company transferred $455.2 million to the Legacy WMH equity holders as cash consideration.</w:t>
      </w:r>
    </w:p>
    <w:p>
      <w:pPr>
        <w:spacing w:after="0" w:line="117" w:lineRule="exact"/>
        <w:rPr>
          <w:rFonts w:ascii="Arial" w:cs="Arial" w:eastAsia="Arial" w:hAnsi="Arial"/>
          <w:sz w:val="18"/>
          <w:szCs w:val="18"/>
          <w:color w:val="auto"/>
        </w:rPr>
      </w:pPr>
    </w:p>
    <w:p>
      <w:pPr>
        <w:ind w:left="2000" w:right="1320" w:hanging="348"/>
        <w:spacing w:after="0" w:line="277" w:lineRule="auto"/>
        <w:tabs>
          <w:tab w:leader="none" w:pos="2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Legacy WMH equity holders retained an aggregate of 65,502,347 Class A Units and 25,896,042 Class P Units.</w:t>
      </w:r>
    </w:p>
    <w:p>
      <w:pPr>
        <w:spacing w:after="0" w:line="62" w:lineRule="exact"/>
        <w:rPr>
          <w:rFonts w:ascii="Arial" w:cs="Arial" w:eastAsia="Arial" w:hAnsi="Arial"/>
          <w:sz w:val="18"/>
          <w:szCs w:val="18"/>
          <w:color w:val="auto"/>
        </w:rPr>
      </w:pPr>
    </w:p>
    <w:p>
      <w:pPr>
        <w:ind w:left="2000" w:right="1320" w:hanging="348"/>
        <w:spacing w:after="0" w:line="277" w:lineRule="auto"/>
        <w:tabs>
          <w:tab w:leader="none" w:pos="2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Company issued 65,502,347 shares of Class V Common Stock to Class A Unit holders, representing the same number of Class A Units retained by the Legacy WMH equity holders.</w:t>
      </w:r>
    </w:p>
    <w:p>
      <w:pPr>
        <w:spacing w:after="0" w:line="62" w:lineRule="exact"/>
        <w:rPr>
          <w:rFonts w:ascii="Arial" w:cs="Arial" w:eastAsia="Arial" w:hAnsi="Arial"/>
          <w:sz w:val="18"/>
          <w:szCs w:val="18"/>
          <w:color w:val="auto"/>
        </w:rPr>
      </w:pPr>
    </w:p>
    <w:p>
      <w:pPr>
        <w:jc w:val="both"/>
        <w:ind w:left="2000" w:right="1300" w:hanging="348"/>
        <w:spacing w:after="0" w:line="254" w:lineRule="auto"/>
        <w:tabs>
          <w:tab w:leader="none" w:pos="2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Company, the Holder Representative and the Class A Unit holders entered into the Tax Receivable Agreement, pursuant to which WM Technology, Inc. will pay to WMH LLC Class A equity holders 85% of the net income tax savings that WM Technology, Inc. actually realizes as a result of increases in the tax basis of WMH LLC’s assets as a result of the exchange of Units for cash in the Business Combination and future exchanges of the Class A Units for shares of Class A Common Stock or cash pursuant to the Exchange Agreement, and certain other tax attributes of WMH LLC and tax benefits related to the Tax Receivable Agreement, including tax benefits attributable to payments under the Tax Receivable Agreement.</w:t>
      </w:r>
    </w:p>
    <w:p>
      <w:pPr>
        <w:spacing w:after="0" w:line="84" w:lineRule="exact"/>
        <w:rPr>
          <w:sz w:val="20"/>
          <w:szCs w:val="20"/>
          <w:color w:val="auto"/>
        </w:rPr>
      </w:pPr>
    </w:p>
    <w:p>
      <w:pPr>
        <w:jc w:val="both"/>
        <w:ind w:left="1300" w:right="1300" w:firstLine="360"/>
        <w:spacing w:after="0" w:line="254" w:lineRule="auto"/>
        <w:rPr>
          <w:sz w:val="20"/>
          <w:szCs w:val="20"/>
          <w:color w:val="auto"/>
        </w:rPr>
      </w:pPr>
      <w:r>
        <w:rPr>
          <w:rFonts w:ascii="Arial" w:cs="Arial" w:eastAsia="Arial" w:hAnsi="Arial"/>
          <w:sz w:val="18"/>
          <w:szCs w:val="18"/>
          <w:color w:val="auto"/>
        </w:rPr>
        <w:t>Concurrently with the closing of the Business Combination, the Unit holders entered into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84" w:lineRule="exact"/>
        <w:rPr>
          <w:sz w:val="20"/>
          <w:szCs w:val="20"/>
          <w:color w:val="auto"/>
        </w:rPr>
      </w:pPr>
    </w:p>
    <w:p>
      <w:pPr>
        <w:jc w:val="both"/>
        <w:ind w:left="1300" w:right="1320" w:firstLine="360"/>
        <w:spacing w:after="0" w:line="308" w:lineRule="auto"/>
        <w:rPr>
          <w:sz w:val="20"/>
          <w:szCs w:val="20"/>
          <w:color w:val="auto"/>
        </w:rPr>
      </w:pPr>
      <w:r>
        <w:rPr>
          <w:rFonts w:ascii="Arial" w:cs="Arial" w:eastAsia="Arial" w:hAnsi="Arial"/>
          <w:sz w:val="17"/>
          <w:szCs w:val="17"/>
          <w:color w:val="auto"/>
        </w:rPr>
        <w:t>The following table reconciles the elements of the Business Combination to the consolidated statements of cash flows and the consolidated statements of equity for the year ended December 31, 2021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2700" w:type="dxa"/>
            <w:vAlign w:val="bottom"/>
            <w:gridSpan w:val="5"/>
          </w:tcPr>
          <w:p>
            <w:pPr>
              <w:ind w:left="20"/>
              <w:spacing w:after="0"/>
              <w:rPr>
                <w:sz w:val="20"/>
                <w:szCs w:val="20"/>
                <w:color w:val="auto"/>
              </w:rPr>
            </w:pPr>
            <w:r>
              <w:rPr>
                <w:rFonts w:ascii="Arial" w:cs="Arial" w:eastAsia="Arial" w:hAnsi="Arial"/>
                <w:sz w:val="14"/>
                <w:szCs w:val="14"/>
                <w:b w:val="1"/>
                <w:bCs w:val="1"/>
                <w:color w:val="auto"/>
              </w:rPr>
              <w:t>Business Combination</w:t>
            </w:r>
          </w:p>
        </w:tc>
      </w:tr>
      <w:tr>
        <w:trPr>
          <w:trHeight w:val="53"/>
        </w:trPr>
        <w:tc>
          <w:tcPr>
            <w:tcW w:w="1300" w:type="dxa"/>
            <w:vAlign w:val="bottom"/>
          </w:tcPr>
          <w:p>
            <w:pPr>
              <w:spacing w:after="0"/>
              <w:rPr>
                <w:sz w:val="4"/>
                <w:szCs w:val="4"/>
                <w:color w:val="auto"/>
              </w:rPr>
            </w:pPr>
          </w:p>
        </w:tc>
        <w:tc>
          <w:tcPr>
            <w:tcW w:w="70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 Silver Spike trust and cash, net of redemptions</w:t>
            </w:r>
          </w:p>
        </w:tc>
        <w:tc>
          <w:tcPr>
            <w:tcW w:w="4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254,203</w:t>
            </w:r>
          </w:p>
        </w:tc>
        <w:tc>
          <w:tcPr>
            <w:tcW w:w="34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Cash - PIPE Financing</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325,000</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7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cash consideration paid to Legacy WMH equity holders</w:t>
            </w:r>
          </w:p>
        </w:tc>
        <w:tc>
          <w:tcPr>
            <w:tcW w:w="140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(455,182)</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Less: transaction costs and advisory fees</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(44,052)</w:t>
            </w:r>
          </w:p>
        </w:tc>
        <w:tc>
          <w:tcPr>
            <w:tcW w:w="1300" w:type="dxa"/>
            <w:vAlign w:val="bottom"/>
          </w:tcPr>
          <w:p>
            <w:pPr>
              <w:spacing w:after="0"/>
              <w:rPr>
                <w:sz w:val="23"/>
                <w:szCs w:val="23"/>
                <w:color w:val="auto"/>
              </w:rPr>
            </w:pPr>
          </w:p>
        </w:tc>
      </w:tr>
      <w:tr>
        <w:trPr>
          <w:trHeight w:val="48"/>
        </w:trPr>
        <w:tc>
          <w:tcPr>
            <w:tcW w:w="1300" w:type="dxa"/>
            <w:vAlign w:val="bottom"/>
          </w:tcPr>
          <w:p>
            <w:pPr>
              <w:spacing w:after="0"/>
              <w:rPr>
                <w:sz w:val="4"/>
                <w:szCs w:val="4"/>
                <w:color w:val="auto"/>
              </w:rPr>
            </w:pPr>
          </w:p>
        </w:tc>
        <w:tc>
          <w:tcPr>
            <w:tcW w:w="7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18"/>
        </w:trPr>
        <w:tc>
          <w:tcPr>
            <w:tcW w:w="1300" w:type="dxa"/>
            <w:vAlign w:val="bottom"/>
          </w:tcPr>
          <w:p>
            <w:pPr>
              <w:spacing w:after="0"/>
              <w:rPr>
                <w:sz w:val="24"/>
                <w:szCs w:val="24"/>
                <w:color w:val="auto"/>
              </w:rPr>
            </w:pPr>
          </w:p>
        </w:tc>
        <w:tc>
          <w:tcPr>
            <w:tcW w:w="7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proceeds from the Business Combination</w:t>
            </w:r>
          </w:p>
        </w:tc>
        <w:tc>
          <w:tcPr>
            <w:tcW w:w="3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79,969</w:t>
            </w:r>
          </w:p>
        </w:tc>
        <w:tc>
          <w:tcPr>
            <w:tcW w:w="34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Less: initial fair value of warrant liability recognized in the Business Combination</w:t>
            </w:r>
          </w:p>
        </w:tc>
        <w:tc>
          <w:tcPr>
            <w:tcW w:w="1400" w:type="dxa"/>
            <w:vAlign w:val="bottom"/>
            <w:gridSpan w:val="4"/>
          </w:tcPr>
          <w:p>
            <w:pPr>
              <w:jc w:val="right"/>
              <w:ind w:right="280"/>
              <w:spacing w:after="0"/>
              <w:rPr>
                <w:sz w:val="20"/>
                <w:szCs w:val="20"/>
                <w:color w:val="auto"/>
              </w:rPr>
            </w:pPr>
            <w:r>
              <w:rPr>
                <w:rFonts w:ascii="Arial" w:cs="Arial" w:eastAsia="Arial" w:hAnsi="Arial"/>
                <w:sz w:val="18"/>
                <w:szCs w:val="18"/>
                <w:color w:val="auto"/>
              </w:rPr>
              <w:t>(193,978)</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7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 transaction costs allocated to Warrants</w:t>
            </w:r>
          </w:p>
        </w:tc>
        <w:tc>
          <w:tcPr>
            <w:tcW w:w="3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5,547</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Add: non-cash assets assumed from Silver Spike</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1,053</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7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 deferred tax asset</w:t>
            </w:r>
          </w:p>
        </w:tc>
        <w:tc>
          <w:tcPr>
            <w:tcW w:w="3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151,255</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Less: tax receivable agreement liability</w:t>
            </w:r>
          </w:p>
        </w:tc>
        <w:tc>
          <w:tcPr>
            <w:tcW w:w="1400" w:type="dxa"/>
            <w:vAlign w:val="bottom"/>
            <w:gridSpan w:val="4"/>
          </w:tcPr>
          <w:p>
            <w:pPr>
              <w:jc w:val="right"/>
              <w:ind w:right="280"/>
              <w:spacing w:after="0"/>
              <w:rPr>
                <w:sz w:val="20"/>
                <w:szCs w:val="20"/>
                <w:color w:val="auto"/>
              </w:rPr>
            </w:pPr>
            <w:r>
              <w:rPr>
                <w:rFonts w:ascii="Arial" w:cs="Arial" w:eastAsia="Arial" w:hAnsi="Arial"/>
                <w:sz w:val="18"/>
                <w:szCs w:val="18"/>
                <w:color w:val="auto"/>
              </w:rPr>
              <w:t>(128,567)</w:t>
            </w:r>
          </w:p>
        </w:tc>
        <w:tc>
          <w:tcPr>
            <w:tcW w:w="1300" w:type="dxa"/>
            <w:vAlign w:val="bottom"/>
          </w:tcPr>
          <w:p>
            <w:pPr>
              <w:spacing w:after="0"/>
              <w:rPr>
                <w:sz w:val="23"/>
                <w:szCs w:val="23"/>
                <w:color w:val="auto"/>
              </w:rPr>
            </w:pPr>
          </w:p>
        </w:tc>
      </w:tr>
      <w:tr>
        <w:trPr>
          <w:trHeight w:val="48"/>
        </w:trPr>
        <w:tc>
          <w:tcPr>
            <w:tcW w:w="1300" w:type="dxa"/>
            <w:vAlign w:val="bottom"/>
          </w:tcPr>
          <w:p>
            <w:pPr>
              <w:spacing w:after="0"/>
              <w:rPr>
                <w:sz w:val="4"/>
                <w:szCs w:val="4"/>
                <w:color w:val="auto"/>
              </w:rPr>
            </w:pPr>
          </w:p>
        </w:tc>
        <w:tc>
          <w:tcPr>
            <w:tcW w:w="7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18"/>
        </w:trPr>
        <w:tc>
          <w:tcPr>
            <w:tcW w:w="1300" w:type="dxa"/>
            <w:vAlign w:val="bottom"/>
          </w:tcPr>
          <w:p>
            <w:pPr>
              <w:spacing w:after="0"/>
              <w:rPr>
                <w:sz w:val="24"/>
                <w:szCs w:val="24"/>
                <w:color w:val="auto"/>
              </w:rPr>
            </w:pPr>
          </w:p>
        </w:tc>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adjustment to total equity from the Business Combination</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(84,721)</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7020" w:type="dxa"/>
            <w:vAlign w:val="bottom"/>
            <w:tcBorders>
              <w:top w:val="single" w:sz="8" w:color="CCEEFF"/>
            </w:tcBorders>
          </w:tcPr>
          <w:p>
            <w:pPr>
              <w:ind w:left="4040"/>
              <w:spacing w:after="0"/>
              <w:rPr>
                <w:sz w:val="20"/>
                <w:szCs w:val="20"/>
                <w:color w:val="auto"/>
              </w:rPr>
            </w:pPr>
            <w:r>
              <w:rPr>
                <w:rFonts w:ascii="Arial" w:cs="Arial" w:eastAsia="Arial" w:hAnsi="Arial"/>
                <w:sz w:val="18"/>
                <w:szCs w:val="18"/>
                <w:color w:val="auto"/>
              </w:rPr>
              <w:t>F-22</w:t>
            </w:r>
          </w:p>
        </w:tc>
        <w:tc>
          <w:tcPr>
            <w:tcW w:w="3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70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-2725420</wp:posOffset>
            </wp:positionV>
            <wp:extent cx="17145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47" w:name="page148"/>
    <w:bookmarkEnd w:id="14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number of shares of common stock issued immediately following the Closing:</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280" w:type="dxa"/>
            <w:vAlign w:val="bottom"/>
          </w:tcPr>
          <w:p>
            <w:pPr>
              <w:spacing w:after="0"/>
              <w:rPr>
                <w:sz w:val="16"/>
                <w:szCs w:val="16"/>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1"/>
              </w:rPr>
              <w:t>Number of Shares</w:t>
            </w:r>
          </w:p>
        </w:tc>
      </w:tr>
      <w:tr>
        <w:trPr>
          <w:trHeight w:val="53"/>
        </w:trPr>
        <w:tc>
          <w:tcPr>
            <w:tcW w:w="72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98"/>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outstanding prior to the Business Combination</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24,998,575</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56"/>
        </w:trPr>
        <w:tc>
          <w:tcPr>
            <w:tcW w:w="7280" w:type="dxa"/>
            <w:vAlign w:val="bottom"/>
          </w:tcPr>
          <w:p>
            <w:pPr>
              <w:spacing w:after="0"/>
              <w:rPr>
                <w:sz w:val="20"/>
                <w:szCs w:val="20"/>
                <w:color w:val="auto"/>
              </w:rPr>
            </w:pPr>
            <w:r>
              <w:rPr>
                <w:rFonts w:ascii="Arial" w:cs="Arial" w:eastAsia="Arial" w:hAnsi="Arial"/>
                <w:sz w:val="18"/>
                <w:szCs w:val="18"/>
                <w:color w:val="auto"/>
              </w:rPr>
              <w:t>Less: redemption of shares of Silver Spike’s Class A common stock</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10,012</w:t>
            </w:r>
          </w:p>
        </w:tc>
      </w:tr>
      <w:tr>
        <w:trPr>
          <w:trHeight w:val="48"/>
        </w:trPr>
        <w:tc>
          <w:tcPr>
            <w:tcW w:w="7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7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of Silver Spike’s Class A common stock</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24,988,563</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57"/>
        </w:trPr>
        <w:tc>
          <w:tcPr>
            <w:tcW w:w="7280" w:type="dxa"/>
            <w:vAlign w:val="bottom"/>
          </w:tcPr>
          <w:p>
            <w:pPr>
              <w:spacing w:after="0"/>
              <w:rPr>
                <w:sz w:val="20"/>
                <w:szCs w:val="20"/>
                <w:color w:val="auto"/>
              </w:rPr>
            </w:pPr>
            <w:r>
              <w:rPr>
                <w:rFonts w:ascii="Arial" w:cs="Arial" w:eastAsia="Arial" w:hAnsi="Arial"/>
                <w:sz w:val="18"/>
                <w:szCs w:val="18"/>
                <w:color w:val="auto"/>
              </w:rPr>
              <w:t>Shares of Class A Common Stock held by Silver Spike’s Sponsor</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6,250,000</w:t>
            </w:r>
          </w:p>
        </w:tc>
        <w:tc>
          <w:tcPr>
            <w:tcW w:w="120" w:type="dxa"/>
            <w:vAlign w:val="bottom"/>
          </w:tcPr>
          <w:p>
            <w:pPr>
              <w:spacing w:after="0"/>
              <w:rPr>
                <w:sz w:val="22"/>
                <w:szCs w:val="22"/>
                <w:color w:val="auto"/>
              </w:rPr>
            </w:pPr>
          </w:p>
        </w:tc>
      </w:tr>
      <w:tr>
        <w:trPr>
          <w:trHeight w:val="41"/>
        </w:trPr>
        <w:tc>
          <w:tcPr>
            <w:tcW w:w="7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304"/>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of Class A Common Stock issued in the PIPE Financing</w:t>
            </w: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32,500,000</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84"/>
        </w:trPr>
        <w:tc>
          <w:tcPr>
            <w:tcW w:w="7280" w:type="dxa"/>
            <w:vAlign w:val="bottom"/>
          </w:tcPr>
          <w:p>
            <w:pPr>
              <w:ind w:left="180"/>
              <w:spacing w:after="0"/>
              <w:rPr>
                <w:sz w:val="20"/>
                <w:szCs w:val="20"/>
                <w:color w:val="auto"/>
              </w:rPr>
            </w:pPr>
            <w:r>
              <w:rPr>
                <w:rFonts w:ascii="Arial" w:cs="Arial" w:eastAsia="Arial" w:hAnsi="Arial"/>
                <w:sz w:val="18"/>
                <w:szCs w:val="18"/>
                <w:color w:val="auto"/>
              </w:rPr>
              <w:t>Shares of Class A Common Stock issued in the Business Combination</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63,738,563</w:t>
            </w:r>
          </w:p>
        </w:tc>
        <w:tc>
          <w:tcPr>
            <w:tcW w:w="120" w:type="dxa"/>
            <w:vAlign w:val="bottom"/>
          </w:tcPr>
          <w:p>
            <w:pPr>
              <w:spacing w:after="0"/>
              <w:rPr>
                <w:sz w:val="24"/>
                <w:szCs w:val="24"/>
                <w:color w:val="auto"/>
              </w:rPr>
            </w:pPr>
          </w:p>
        </w:tc>
      </w:tr>
      <w:tr>
        <w:trPr>
          <w:trHeight w:val="40"/>
        </w:trPr>
        <w:tc>
          <w:tcPr>
            <w:tcW w:w="7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304"/>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of Class V Common Stock issued to Legacy WMH equity holders</w:t>
            </w: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65,502,347</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7280" w:type="dxa"/>
            <w:vAlign w:val="bottom"/>
          </w:tcPr>
          <w:p>
            <w:pPr>
              <w:ind w:left="180"/>
              <w:spacing w:after="0"/>
              <w:rPr>
                <w:sz w:val="20"/>
                <w:szCs w:val="20"/>
                <w:color w:val="auto"/>
              </w:rPr>
            </w:pPr>
            <w:r>
              <w:rPr>
                <w:rFonts w:ascii="Arial" w:cs="Arial" w:eastAsia="Arial" w:hAnsi="Arial"/>
                <w:sz w:val="18"/>
                <w:szCs w:val="18"/>
                <w:color w:val="auto"/>
              </w:rPr>
              <w:t>Total shares of common stock issued in the Business Combination</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9"/>
              </w:rPr>
              <w:t>129,240,910</w:t>
            </w:r>
          </w:p>
        </w:tc>
        <w:tc>
          <w:tcPr>
            <w:tcW w:w="120" w:type="dxa"/>
            <w:vAlign w:val="bottom"/>
          </w:tcPr>
          <w:p>
            <w:pPr>
              <w:spacing w:after="0"/>
              <w:rPr>
                <w:sz w:val="23"/>
                <w:szCs w:val="23"/>
                <w:color w:val="auto"/>
              </w:rPr>
            </w:pPr>
          </w:p>
        </w:tc>
      </w:tr>
      <w:tr>
        <w:trPr>
          <w:trHeight w:val="20"/>
        </w:trPr>
        <w:tc>
          <w:tcPr>
            <w:tcW w:w="7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-1636395</wp:posOffset>
            </wp:positionV>
            <wp:extent cx="431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87"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Net income for the period from June 16, 2021 (Closing Date) to December 31, 2021 was $137.1 million, which includes change in fair value of warrant liability of $166.5 million, stock-based compensation expense of $29.3 million and transaction costs related to the warrant liability of $5.5 million. The transaction costs related to the warrant liability is included in other expense, net on the accompanying consolidated statements of operations.</w:t>
      </w:r>
    </w:p>
    <w:p>
      <w:pPr>
        <w:spacing w:after="0" w:line="153" w:lineRule="exact"/>
        <w:rPr>
          <w:sz w:val="20"/>
          <w:szCs w:val="20"/>
          <w:color w:val="auto"/>
        </w:rPr>
      </w:pPr>
    </w:p>
    <w:p>
      <w:pPr>
        <w:ind w:left="640" w:hanging="348"/>
        <w:spacing w:after="0"/>
        <w:tabs>
          <w:tab w:leader="none" w:pos="6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Sprout</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 xml:space="preserve">On September 3, 2021, the Company acquired certain assets of the Sprout business (“Sprout”), a leading, cloud-based customer relationship management (“CRM”) and marketing platform for the cannabis industry, for total consideration of approximately $31.2 million. The Company accounted for the Sprout acquisition as an acquisition of a business under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7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acquired assets and liabilities of Sprout were recorded at their preliminary acquisition date fair values. The purchase price allocations are subject to change as the Company continues to gather information relevant to its determination of the fair value of the assets and liabilities acquired primarily related to, but not limited to, intangible assets. Any adjustments to the purchase price allocations will be made as soon as practicable but no later than one year from the acquisition date.</w:t>
      </w:r>
    </w:p>
    <w:p>
      <w:pPr>
        <w:spacing w:after="0" w:line="80"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following table summarizes the components of consideration and the preliminary estimated fair value of assets acquired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22860</wp:posOffset>
            </wp:positionV>
            <wp:extent cx="5349240" cy="23177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349240" cy="231775"/>
                    </a:xfrm>
                    <a:prstGeom prst="rect">
                      <a:avLst/>
                    </a:prstGeom>
                    <a:noFill/>
                  </pic:spPr>
                </pic:pic>
              </a:graphicData>
            </a:graphic>
          </wp:anchor>
        </w:drawing>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Consideration Transferred:</w:t>
      </w:r>
    </w:p>
    <w:p>
      <w:pPr>
        <w:spacing w:after="0" w:line="94"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Cash consideration</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$12,000</w:t>
            </w:r>
          </w:p>
        </w:tc>
        <w:tc>
          <w:tcPr>
            <w:tcW w:w="60" w:type="dxa"/>
            <w:vAlign w:val="bottom"/>
          </w:tcPr>
          <w:p>
            <w:pPr>
              <w:spacing w:after="0"/>
              <w:rPr>
                <w:sz w:val="20"/>
                <w:szCs w:val="20"/>
                <w:color w:val="auto"/>
              </w:rPr>
            </w:pPr>
          </w:p>
        </w:tc>
      </w:tr>
      <w:tr>
        <w:trPr>
          <w:trHeight w:val="40"/>
        </w:trPr>
        <w:tc>
          <w:tcPr>
            <w:tcW w:w="7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43"/>
        </w:trPr>
        <w:tc>
          <w:tcPr>
            <w:tcW w:w="7760" w:type="dxa"/>
            <w:vAlign w:val="bottom"/>
            <w:tcBorders>
              <w:bottom w:val="single" w:sz="8" w:color="CCEEFF"/>
            </w:tcBorders>
            <w:shd w:val="clear" w:color="auto" w:fill="CCEEFF"/>
          </w:tcPr>
          <w:p>
            <w:pPr>
              <w:spacing w:after="0" w:line="243" w:lineRule="exact"/>
              <w:rPr>
                <w:sz w:val="20"/>
                <w:szCs w:val="20"/>
                <w:color w:val="auto"/>
              </w:rPr>
            </w:pPr>
            <w:r>
              <w:rPr>
                <w:rFonts w:ascii="Arial" w:cs="Arial" w:eastAsia="Arial" w:hAnsi="Arial"/>
                <w:sz w:val="17"/>
                <w:szCs w:val="17"/>
                <w:color w:val="auto"/>
              </w:rPr>
              <w:t>Share consideration</w:t>
            </w:r>
            <w:r>
              <w:rPr>
                <w:rFonts w:ascii="Arial" w:cs="Arial" w:eastAsia="Arial" w:hAnsi="Arial"/>
                <w:sz w:val="28"/>
                <w:szCs w:val="28"/>
                <w:color w:val="auto"/>
                <w:vertAlign w:val="superscript"/>
              </w:rPr>
              <w:t>(1)</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19,186</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r>
      <w:tr>
        <w:trPr>
          <w:trHeight w:val="61"/>
        </w:trPr>
        <w:tc>
          <w:tcPr>
            <w:tcW w:w="77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r>
      <w:tr>
        <w:trPr>
          <w:trHeight w:val="270"/>
        </w:trPr>
        <w:tc>
          <w:tcPr>
            <w:tcW w:w="7760" w:type="dxa"/>
            <w:vAlign w:val="bottom"/>
          </w:tcPr>
          <w:p>
            <w:pPr>
              <w:ind w:left="180"/>
              <w:spacing w:after="0"/>
              <w:rPr>
                <w:sz w:val="20"/>
                <w:szCs w:val="20"/>
                <w:color w:val="auto"/>
              </w:rPr>
            </w:pPr>
            <w:r>
              <w:rPr>
                <w:rFonts w:ascii="Arial" w:cs="Arial" w:eastAsia="Arial" w:hAnsi="Arial"/>
                <w:sz w:val="18"/>
                <w:szCs w:val="18"/>
                <w:color w:val="auto"/>
              </w:rPr>
              <w:t>Total consideration</w:t>
            </w: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31,186</w:t>
            </w:r>
          </w:p>
        </w:tc>
        <w:tc>
          <w:tcPr>
            <w:tcW w:w="60" w:type="dxa"/>
            <w:vAlign w:val="bottom"/>
          </w:tcPr>
          <w:p>
            <w:pPr>
              <w:spacing w:after="0"/>
              <w:rPr>
                <w:sz w:val="23"/>
                <w:szCs w:val="23"/>
                <w:color w:val="auto"/>
              </w:rPr>
            </w:pPr>
          </w:p>
        </w:tc>
      </w:tr>
      <w:tr>
        <w:trPr>
          <w:trHeight w:val="20"/>
        </w:trPr>
        <w:tc>
          <w:tcPr>
            <w:tcW w:w="77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
        </w:trPr>
        <w:tc>
          <w:tcPr>
            <w:tcW w:w="7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338"/>
        </w:trPr>
        <w:tc>
          <w:tcPr>
            <w:tcW w:w="77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56"/>
        </w:trPr>
        <w:tc>
          <w:tcPr>
            <w:tcW w:w="7760" w:type="dxa"/>
            <w:vAlign w:val="bottom"/>
          </w:tcPr>
          <w:p>
            <w:pPr>
              <w:spacing w:after="0"/>
              <w:rPr>
                <w:sz w:val="20"/>
                <w:szCs w:val="20"/>
                <w:color w:val="auto"/>
              </w:rPr>
            </w:pPr>
            <w:r>
              <w:rPr>
                <w:rFonts w:ascii="Arial" w:cs="Arial" w:eastAsia="Arial" w:hAnsi="Arial"/>
                <w:sz w:val="18"/>
                <w:szCs w:val="18"/>
                <w:b w:val="1"/>
                <w:bCs w:val="1"/>
                <w:color w:val="auto"/>
              </w:rPr>
              <w:t>Estimated Assets Acquired and Liabilities Assumed:</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40"/>
        </w:trPr>
        <w:tc>
          <w:tcPr>
            <w:tcW w:w="7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77"/>
        </w:trPr>
        <w:tc>
          <w:tcPr>
            <w:tcW w:w="7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 acquired:</w:t>
            </w: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57"/>
        </w:trPr>
        <w:tc>
          <w:tcPr>
            <w:tcW w:w="7760" w:type="dxa"/>
            <w:vAlign w:val="bottom"/>
          </w:tcPr>
          <w:p>
            <w:pPr>
              <w:ind w:left="180"/>
              <w:spacing w:after="0"/>
              <w:rPr>
                <w:sz w:val="20"/>
                <w:szCs w:val="20"/>
                <w:color w:val="auto"/>
              </w:rPr>
            </w:pPr>
            <w:r>
              <w:rPr>
                <w:rFonts w:ascii="Arial" w:cs="Arial" w:eastAsia="Arial" w:hAnsi="Arial"/>
                <w:sz w:val="18"/>
                <w:szCs w:val="18"/>
                <w:color w:val="auto"/>
              </w:rPr>
              <w:t>Software technology</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$ 2,973</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40"/>
        </w:trPr>
        <w:tc>
          <w:tcPr>
            <w:tcW w:w="7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77"/>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name</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56"/>
        </w:trPr>
        <w:tc>
          <w:tcPr>
            <w:tcW w:w="776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580" w:type="dxa"/>
            <w:vAlign w:val="bottom"/>
          </w:tcPr>
          <w:p>
            <w:pPr>
              <w:jc w:val="right"/>
              <w:spacing w:after="0"/>
              <w:rPr>
                <w:sz w:val="20"/>
                <w:szCs w:val="20"/>
                <w:color w:val="auto"/>
              </w:rPr>
            </w:pPr>
            <w:r>
              <w:rPr>
                <w:rFonts w:ascii="Arial" w:cs="Arial" w:eastAsia="Arial" w:hAnsi="Arial"/>
                <w:sz w:val="18"/>
                <w:szCs w:val="18"/>
                <w:color w:val="auto"/>
              </w:rPr>
              <w:t>1,410</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41"/>
        </w:trPr>
        <w:tc>
          <w:tcPr>
            <w:tcW w:w="7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43"/>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26,686</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r>
      <w:tr>
        <w:trPr>
          <w:trHeight w:val="61"/>
        </w:trPr>
        <w:tc>
          <w:tcPr>
            <w:tcW w:w="77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r>
      <w:tr>
        <w:trPr>
          <w:trHeight w:val="283"/>
        </w:trPr>
        <w:tc>
          <w:tcPr>
            <w:tcW w:w="7760" w:type="dxa"/>
            <w:vAlign w:val="bottom"/>
          </w:tcPr>
          <w:p>
            <w:pPr>
              <w:spacing w:after="0"/>
              <w:rPr>
                <w:sz w:val="20"/>
                <w:szCs w:val="20"/>
                <w:color w:val="auto"/>
              </w:rPr>
            </w:pPr>
            <w:r>
              <w:rPr>
                <w:rFonts w:ascii="Arial" w:cs="Arial" w:eastAsia="Arial" w:hAnsi="Arial"/>
                <w:sz w:val="18"/>
                <w:szCs w:val="18"/>
                <w:color w:val="auto"/>
              </w:rPr>
              <w:t>Total assets acquired</w:t>
            </w:r>
          </w:p>
        </w:tc>
        <w:tc>
          <w:tcPr>
            <w:tcW w:w="580" w:type="dxa"/>
            <w:vAlign w:val="bottom"/>
          </w:tcPr>
          <w:p>
            <w:pPr>
              <w:jc w:val="right"/>
              <w:spacing w:after="0"/>
              <w:rPr>
                <w:sz w:val="20"/>
                <w:szCs w:val="20"/>
                <w:color w:val="auto"/>
              </w:rPr>
            </w:pPr>
            <w:r>
              <w:rPr>
                <w:rFonts w:ascii="Arial" w:cs="Arial" w:eastAsia="Arial" w:hAnsi="Arial"/>
                <w:sz w:val="18"/>
                <w:szCs w:val="18"/>
                <w:color w:val="auto"/>
              </w:rPr>
              <w:t>31,286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
        </w:trPr>
        <w:tc>
          <w:tcPr>
            <w:tcW w:w="7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97"/>
        </w:trPr>
        <w:tc>
          <w:tcPr>
            <w:tcW w:w="77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56"/>
        </w:trPr>
        <w:tc>
          <w:tcPr>
            <w:tcW w:w="7760" w:type="dxa"/>
            <w:vAlign w:val="bottom"/>
          </w:tcPr>
          <w:p>
            <w:pPr>
              <w:spacing w:after="0"/>
              <w:rPr>
                <w:sz w:val="20"/>
                <w:szCs w:val="20"/>
                <w:color w:val="auto"/>
              </w:rPr>
            </w:pPr>
            <w:r>
              <w:rPr>
                <w:rFonts w:ascii="Arial" w:cs="Arial" w:eastAsia="Arial" w:hAnsi="Arial"/>
                <w:sz w:val="18"/>
                <w:szCs w:val="18"/>
                <w:color w:val="auto"/>
              </w:rPr>
              <w:t>Liabilities assumed:</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41"/>
        </w:trPr>
        <w:tc>
          <w:tcPr>
            <w:tcW w:w="7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43"/>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61"/>
        </w:trPr>
        <w:tc>
          <w:tcPr>
            <w:tcW w:w="77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Total net assets acquired</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31,186</w:t>
            </w:r>
          </w:p>
        </w:tc>
        <w:tc>
          <w:tcPr>
            <w:tcW w:w="60" w:type="dxa"/>
            <w:vAlign w:val="bottom"/>
          </w:tcPr>
          <w:p>
            <w:pPr>
              <w:spacing w:after="0"/>
              <w:rPr>
                <w:sz w:val="23"/>
                <w:szCs w:val="23"/>
                <w:color w:val="auto"/>
              </w:rPr>
            </w:pPr>
          </w:p>
        </w:tc>
      </w:tr>
      <w:tr>
        <w:trPr>
          <w:trHeight w:val="20"/>
        </w:trPr>
        <w:tc>
          <w:tcPr>
            <w:tcW w:w="77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72" w:lineRule="exact"/>
        <w:rPr>
          <w:sz w:val="20"/>
          <w:szCs w:val="20"/>
          <w:color w:val="auto"/>
        </w:rPr>
      </w:pPr>
    </w:p>
    <w:p>
      <w:pPr>
        <w:ind w:left="640" w:right="319" w:hanging="348"/>
        <w:spacing w:after="0" w:line="253" w:lineRule="auto"/>
        <w:tabs>
          <w:tab w:leader="none" w:pos="6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fair value of share consideration issued in connection with the Spout acquisition was calculated based on 1,244,258 shares of Class A common stock issued multiplied by the share price on the closing date of $15.42.</w:t>
      </w:r>
    </w:p>
    <w:p>
      <w:pPr>
        <w:sectPr>
          <w:pgSz w:w="11900" w:h="16838" w:orient="portrait"/>
          <w:cols w:equalWidth="0" w:num="1">
            <w:col w:w="9019"/>
          </w:cols>
          <w:pgMar w:left="1440" w:top="265" w:right="1440"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48" w:name="page149"/>
    <w:bookmarkEnd w:id="14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79"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The fair values of the trade name intangible assets were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this asset. Owning that intangible asset means that the underlying entity wouldn’t have to pay for the privilege of deploying that asset. Therefore, a portion of Sprout’s earnings, equal to the after-tax royalty that would have been paid for the use of the asset, can be attributed to the firm’s ownership. The fair value of the software technology intangible asset was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 The fair value of the customer relationships was determined using an “income approach”, specifically, the With-and-Without method, which is a commonly accepted valuation approach. This method estimates the value of customer-related assets by quantifying the impact on cash flows under a scenario in which the customer-related assets must be replaced and assuming all of the existing assets are in place except the customer-related assets. Essentially, it estimates the intangible asset’s value by calculating the difference between the two discounted cash-flow models. One that represents the status quo for the business enterprise with the asset in place and the second that represents the business enterprise with everything in place besides the customer-related asset. The projected cash flow period is the time-period it takes to build back up to that status quo. The difference between the two cash flows represents the calculated value of the customer-related asset.</w:t>
      </w:r>
    </w:p>
    <w:p>
      <w:pPr>
        <w:spacing w:after="0" w:line="7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During the year ended December 31, 2021, the Company incurred transaction expenses associated with the Sprout acquisition of $1.0 million, which is included in general and administrative expenses in the consolidated statements of operations.</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revenue and operating loss from Sprout included the Company’s consolidated statements of operations for the period from September 3, 2021 (acquisition date) through December 31, 2021 were not material. Pro forma revenue and earnings amounts on a combined basis have not been presented as they are not material to the Company’s historical pre-acquisition financial statements.</w:t>
      </w:r>
    </w:p>
    <w:p>
      <w:pPr>
        <w:spacing w:after="0" w:line="3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Transport Logistics Holding</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On September 29, 2021, the Company acquired all of the equity interests of Transport Logistics Holding Company, LLC (“TLH”), a logistics platform that enables the compliant delivery of cannabis, for total consideration of approximately $15.1 million. The Company accounted for the TLH acquisition as an acquisition of a business under ASC 805.</w:t>
      </w:r>
    </w:p>
    <w:p>
      <w:pPr>
        <w:spacing w:after="0" w:line="7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acquired assets of TLH were recorded at their preliminary acquisition date fair values. The purchase price allocations are subject to change as the Company continues to gather information relevant to its determination of the fair value of the assets and liabilities acquired primarily related to, but not limited to, intangible assets. Any adjustments to the purchase price allocations will be made as soon as practicable but no later than one year from the acquisition date.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9" w:name="page150"/>
    <w:bookmarkEnd w:id="14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following table summarizes the components of consideration and the preliminary estimated fair value of assets acquired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22860</wp:posOffset>
            </wp:positionV>
            <wp:extent cx="5349240" cy="24003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349240" cy="240030"/>
                    </a:xfrm>
                    <a:prstGeom prst="rect">
                      <a:avLst/>
                    </a:prstGeom>
                    <a:noFill/>
                  </pic:spPr>
                </pic:pic>
              </a:graphicData>
            </a:graphic>
          </wp:anchor>
        </w:drawing>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Consideration Transferred:</w:t>
      </w:r>
    </w:p>
    <w:p>
      <w:pPr>
        <w:spacing w:after="0" w:line="72" w:lineRule="exact"/>
        <w:rPr>
          <w:sz w:val="20"/>
          <w:szCs w:val="20"/>
          <w:color w:val="auto"/>
        </w:rPr>
      </w:pPr>
    </w:p>
    <w:tbl>
      <w:tblPr>
        <w:tblLayout w:type="fixed"/>
        <w:tblInd w:w="300" w:type="dxa"/>
        <w:tblCellMar>
          <w:top w:w="0" w:type="dxa"/>
          <w:left w:w="0" w:type="dxa"/>
          <w:bottom w:w="0" w:type="dxa"/>
          <w:right w:w="0" w:type="dxa"/>
        </w:tblCellMar>
      </w:tblPr>
      <w:tr>
        <w:trPr>
          <w:trHeight w:val="333"/>
        </w:trPr>
        <w:tc>
          <w:tcPr>
            <w:tcW w:w="7820" w:type="dxa"/>
            <w:vAlign w:val="bottom"/>
          </w:tcPr>
          <w:p>
            <w:pPr>
              <w:spacing w:after="0"/>
              <w:rPr>
                <w:sz w:val="20"/>
                <w:szCs w:val="20"/>
                <w:color w:val="auto"/>
              </w:rPr>
            </w:pPr>
            <w:r>
              <w:rPr>
                <w:rFonts w:ascii="Arial" w:cs="Arial" w:eastAsia="Arial" w:hAnsi="Arial"/>
                <w:sz w:val="18"/>
                <w:szCs w:val="18"/>
                <w:color w:val="auto"/>
              </w:rPr>
              <w:t>Cash consideration</w:t>
            </w:r>
            <w:r>
              <w:rPr>
                <w:rFonts w:ascii="Arial" w:cs="Arial" w:eastAsia="Arial" w:hAnsi="Arial"/>
                <w:sz w:val="29"/>
                <w:szCs w:val="29"/>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5,000</w:t>
            </w:r>
          </w:p>
        </w:tc>
      </w:tr>
      <w:tr>
        <w:trPr>
          <w:trHeight w:val="323"/>
        </w:trPr>
        <w:tc>
          <w:tcPr>
            <w:tcW w:w="7820" w:type="dxa"/>
            <w:vAlign w:val="bottom"/>
            <w:tcBorders>
              <w:bottom w:val="single" w:sz="8" w:color="CCEEFF"/>
            </w:tcBorders>
            <w:shd w:val="clear" w:color="auto" w:fill="CCEEFF"/>
          </w:tcPr>
          <w:p>
            <w:pPr>
              <w:spacing w:after="0" w:line="270" w:lineRule="exact"/>
              <w:rPr>
                <w:sz w:val="20"/>
                <w:szCs w:val="20"/>
                <w:color w:val="auto"/>
              </w:rPr>
            </w:pPr>
            <w:r>
              <w:rPr>
                <w:rFonts w:ascii="Arial" w:cs="Arial" w:eastAsia="Arial" w:hAnsi="Arial"/>
                <w:sz w:val="18"/>
                <w:szCs w:val="18"/>
                <w:color w:val="auto"/>
              </w:rPr>
              <w:t>Share consideration</w:t>
            </w:r>
            <w:r>
              <w:rPr>
                <w:rFonts w:ascii="Arial" w:cs="Arial" w:eastAsia="Arial" w:hAnsi="Arial"/>
                <w:sz w:val="29"/>
                <w:szCs w:val="29"/>
                <w:color w:val="auto"/>
                <w:vertAlign w:val="superscript"/>
              </w:rPr>
              <w:t>(2)</w:t>
            </w:r>
          </w:p>
        </w:tc>
        <w:tc>
          <w:tcPr>
            <w:tcW w:w="60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10,126</w:t>
            </w:r>
          </w:p>
        </w:tc>
      </w:tr>
      <w:tr>
        <w:trPr>
          <w:trHeight w:val="270"/>
        </w:trPr>
        <w:tc>
          <w:tcPr>
            <w:tcW w:w="782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 consideration</w:t>
            </w:r>
          </w:p>
        </w:tc>
        <w:tc>
          <w:tcPr>
            <w:tcW w:w="6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15,126</w:t>
            </w:r>
          </w:p>
        </w:tc>
      </w:tr>
      <w:tr>
        <w:trPr>
          <w:trHeight w:val="21"/>
        </w:trPr>
        <w:tc>
          <w:tcPr>
            <w:tcW w:w="7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7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364"/>
        </w:trPr>
        <w:tc>
          <w:tcPr>
            <w:tcW w:w="7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tcBorders>
              <w:right w:val="single" w:sz="8" w:color="CCEEFF"/>
            </w:tcBorders>
            <w:shd w:val="clear" w:color="auto" w:fill="CCEEFF"/>
          </w:tcPr>
          <w:p>
            <w:pPr>
              <w:spacing w:after="0"/>
              <w:rPr>
                <w:sz w:val="24"/>
                <w:szCs w:val="24"/>
                <w:color w:val="auto"/>
              </w:rPr>
            </w:pPr>
          </w:p>
        </w:tc>
      </w:tr>
      <w:tr>
        <w:trPr>
          <w:trHeight w:val="270"/>
        </w:trPr>
        <w:tc>
          <w:tcPr>
            <w:tcW w:w="7820" w:type="dxa"/>
            <w:vAlign w:val="bottom"/>
          </w:tcPr>
          <w:p>
            <w:pPr>
              <w:spacing w:after="0"/>
              <w:rPr>
                <w:sz w:val="20"/>
                <w:szCs w:val="20"/>
                <w:color w:val="auto"/>
              </w:rPr>
            </w:pPr>
            <w:r>
              <w:rPr>
                <w:rFonts w:ascii="Arial" w:cs="Arial" w:eastAsia="Arial" w:hAnsi="Arial"/>
                <w:sz w:val="18"/>
                <w:szCs w:val="18"/>
                <w:b w:val="1"/>
                <w:bCs w:val="1"/>
                <w:color w:val="auto"/>
              </w:rPr>
              <w:t>Estimated Assets Acquired:</w:t>
            </w: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54"/>
        </w:trPr>
        <w:tc>
          <w:tcPr>
            <w:tcW w:w="7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304"/>
        </w:trPr>
        <w:tc>
          <w:tcPr>
            <w:tcW w:w="7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Software technology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Trade name</w:t>
            </w:r>
          </w:p>
        </w:tc>
        <w:tc>
          <w:tcPr>
            <w:tcW w:w="1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54"/>
        </w:trPr>
        <w:tc>
          <w:tcPr>
            <w:tcW w:w="7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304"/>
        </w:trPr>
        <w:tc>
          <w:tcPr>
            <w:tcW w:w="7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70"/>
        </w:trPr>
        <w:tc>
          <w:tcPr>
            <w:tcW w:w="7820" w:type="dxa"/>
            <w:vAlign w:val="bottom"/>
          </w:tcPr>
          <w:p>
            <w:pPr>
              <w:spacing w:after="0"/>
              <w:rPr>
                <w:sz w:val="20"/>
                <w:szCs w:val="20"/>
                <w:color w:val="auto"/>
              </w:rPr>
            </w:pPr>
            <w:r>
              <w:rPr>
                <w:rFonts w:ascii="Arial" w:cs="Arial" w:eastAsia="Arial" w:hAnsi="Arial"/>
                <w:sz w:val="18"/>
                <w:szCs w:val="18"/>
                <w:color w:val="auto"/>
              </w:rPr>
              <w:t>Goodwill</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14,648</w:t>
            </w:r>
          </w:p>
        </w:tc>
      </w:tr>
      <w:tr>
        <w:trPr>
          <w:trHeight w:val="48"/>
        </w:trPr>
        <w:tc>
          <w:tcPr>
            <w:tcW w:w="7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91"/>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Total asset acquired</w:t>
            </w: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15,126</w:t>
            </w:r>
          </w:p>
        </w:tc>
      </w:tr>
      <w:tr>
        <w:trPr>
          <w:trHeight w:val="27"/>
        </w:trPr>
        <w:tc>
          <w:tcPr>
            <w:tcW w:w="78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460" w:type="dxa"/>
            <w:vAlign w:val="bottom"/>
            <w:tcBorders>
              <w:top w:val="single" w:sz="8" w:color="auto"/>
              <w:right w:val="single" w:sz="8" w:color="CCEEFF"/>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hanging="348"/>
        <w:spacing w:after="0"/>
        <w:tabs>
          <w:tab w:leader="none" w:pos="6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Includes holdback of $1.0 million recorded within other current liabilities on the Company’s consolidated balance sheets.</w:t>
      </w:r>
    </w:p>
    <w:p>
      <w:pPr>
        <w:spacing w:after="0" w:line="41"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fair value of share consideration issued in connection with the TLH acquisition was calculated based on 694,540 shares of Class A common stock issued multiplied by the share price on the closing date of $14.58.</w:t>
      </w:r>
    </w:p>
    <w:p>
      <w:pPr>
        <w:spacing w:after="0" w:line="7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79"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The fair values of the trade name intangible assets were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this asset. Owning that intangible asset means that the underlying entity wouldn’t have to pay for the privilege of deploying that asset. Therefore, a portion of TLH’s earnings, equal to the after-tax royalty that would have been paid for the use of the asset, can be attributed to the firm’s ownership. The fair value of the software technology intangible asset was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w:t>
      </w:r>
    </w:p>
    <w:p>
      <w:pPr>
        <w:spacing w:after="0" w:line="60"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 The fair value of the customer relationships was determined using an “income approach”, specifically, the With-and-Without method, which is a commonly accepted valuation approach. This method estimates the value of customer-related assets by quantifying the impact on cash flows under a scenario in which the customer-related assets must be replaced and assuming all of the existing assets are in place except the customer-related assets. Essentially, it estimates the intangible asset’s value by calculating the difference between the two discounted cash-flow models. One that represents the status quo for the business enterprise with the asset in place and the second that represents the business enterprise with everything in place besides the customer-related asset. The projected cash flow period is the time-period it takes to build back up to that status quo. The difference between the two cash flows represents the calculated value of the customer-related asset.</w:t>
      </w:r>
    </w:p>
    <w:p>
      <w:pPr>
        <w:spacing w:after="0" w:line="60"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During the year ended December 31, 2021, the Company incurred transaction expenses associated with the TLH acquisition of $0.7 million, which is included in general and administrative expenses in the consolidated statements of operations.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0" w:name="page151"/>
    <w:bookmarkEnd w:id="150"/>
    <w:p>
      <w:pPr>
        <w:ind w:left="1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1300" w:right="1320" w:firstLine="360"/>
        <w:spacing w:after="0" w:line="259" w:lineRule="auto"/>
        <w:rPr>
          <w:sz w:val="20"/>
          <w:szCs w:val="20"/>
          <w:color w:val="auto"/>
        </w:rPr>
      </w:pPr>
      <w:r>
        <w:rPr>
          <w:rFonts w:ascii="Arial" w:cs="Arial" w:eastAsia="Arial" w:hAnsi="Arial"/>
          <w:sz w:val="18"/>
          <w:szCs w:val="18"/>
          <w:color w:val="auto"/>
        </w:rPr>
        <w:t>The revenue and operating loss from TLH included the Company’s consolidated statements of operations for the period from September 29, 2021 (acquisition date) through December 31, 2021 were not material. Pro forma revenue and earnings amounts on a combined basis have not been presented as they are not material to the Company’s historical pre-acquisition financial statements.</w:t>
      </w:r>
    </w:p>
    <w:p>
      <w:pPr>
        <w:spacing w:after="0" w:line="183" w:lineRule="exact"/>
        <w:rPr>
          <w:sz w:val="20"/>
          <w:szCs w:val="20"/>
          <w:color w:val="auto"/>
        </w:rPr>
      </w:pPr>
    </w:p>
    <w:p>
      <w:pPr>
        <w:ind w:left="1640" w:hanging="348"/>
        <w:spacing w:after="0"/>
        <w:tabs>
          <w:tab w:leader="none" w:pos="16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48" w:lineRule="exact"/>
        <w:rPr>
          <w:rFonts w:ascii="Arial" w:cs="Arial" w:eastAsia="Arial" w:hAnsi="Arial"/>
          <w:sz w:val="18"/>
          <w:szCs w:val="18"/>
          <w:b w:val="1"/>
          <w:bCs w:val="1"/>
          <w:color w:val="auto"/>
        </w:rPr>
      </w:pPr>
    </w:p>
    <w:p>
      <w:pPr>
        <w:ind w:left="1660"/>
        <w:spacing w:after="0"/>
        <w:rPr>
          <w:rFonts w:ascii="Arial" w:cs="Arial" w:eastAsia="Arial" w:hAnsi="Arial"/>
          <w:sz w:val="18"/>
          <w:szCs w:val="18"/>
          <w:b w:val="1"/>
          <w:bCs w:val="1"/>
          <w:color w:val="auto"/>
        </w:rPr>
      </w:pPr>
      <w:r>
        <w:rPr>
          <w:rFonts w:ascii="Arial" w:cs="Arial" w:eastAsia="Arial" w:hAnsi="Arial"/>
          <w:sz w:val="18"/>
          <w:szCs w:val="18"/>
          <w:color w:val="auto"/>
        </w:rPr>
        <w:t>A summary of changes in goodwill for the year ended December 31, 2021 is as follows (in thousands):</w:t>
      </w:r>
    </w:p>
    <w:p>
      <w:pPr>
        <w:spacing w:after="0" w:line="176"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4"/>
              </w:rPr>
              <w:t>Goodwill</w:t>
            </w:r>
          </w:p>
        </w:tc>
        <w:tc>
          <w:tcPr>
            <w:tcW w:w="0" w:type="dxa"/>
            <w:vAlign w:val="bottom"/>
          </w:tcPr>
          <w:p>
            <w:pPr>
              <w:spacing w:after="0"/>
              <w:rPr>
                <w:sz w:val="1"/>
                <w:szCs w:val="1"/>
                <w:color w:val="auto"/>
              </w:rPr>
            </w:pPr>
          </w:p>
        </w:tc>
      </w:tr>
      <w:tr>
        <w:trPr>
          <w:trHeight w:val="53"/>
        </w:trPr>
        <w:tc>
          <w:tcPr>
            <w:tcW w:w="3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right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Arial" w:cs="Arial" w:eastAsia="Arial" w:hAnsi="Arial"/>
                <w:sz w:val="18"/>
                <w:szCs w:val="18"/>
                <w:color w:val="auto"/>
              </w:rPr>
              <w:t>Acquisition of Sprout</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26,686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Acquisition of TLH</w:t>
            </w: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right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spacing w:after="0"/>
              <w:rPr>
                <w:sz w:val="24"/>
                <w:szCs w:val="24"/>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14,648</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Arial" w:cs="Arial" w:eastAsia="Arial" w:hAnsi="Arial"/>
                <w:sz w:val="18"/>
                <w:szCs w:val="18"/>
                <w:color w:val="auto"/>
              </w:rPr>
              <w:t>Balance at December 31, 2021</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gridSpan w:val="5"/>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45,295</w:t>
            </w:r>
          </w:p>
        </w:tc>
        <w:tc>
          <w:tcPr>
            <w:tcW w:w="0" w:type="dxa"/>
            <w:vAlign w:val="bottom"/>
          </w:tcPr>
          <w:p>
            <w:pPr>
              <w:spacing w:after="0"/>
              <w:rPr>
                <w:sz w:val="1"/>
                <w:szCs w:val="1"/>
                <w:color w:val="auto"/>
              </w:rPr>
            </w:pPr>
          </w:p>
        </w:tc>
      </w:tr>
      <w:tr>
        <w:trPr>
          <w:trHeight w:val="20"/>
        </w:trPr>
        <w:tc>
          <w:tcPr>
            <w:tcW w:w="7100" w:type="dxa"/>
            <w:vAlign w:val="bottom"/>
            <w:gridSpan w:val="18"/>
            <w:vMerge w:val="restart"/>
          </w:tcPr>
          <w:p>
            <w:pPr>
              <w:ind w:left="360"/>
              <w:spacing w:after="0"/>
              <w:rPr>
                <w:sz w:val="20"/>
                <w:szCs w:val="20"/>
                <w:color w:val="auto"/>
              </w:rPr>
            </w:pPr>
            <w:r>
              <w:rPr>
                <w:rFonts w:ascii="Arial" w:cs="Arial" w:eastAsia="Arial" w:hAnsi="Arial"/>
                <w:sz w:val="18"/>
                <w:szCs w:val="18"/>
                <w:color w:val="auto"/>
                <w:w w:val="93"/>
              </w:rPr>
              <w:t>Intangible assets consisted of the following for the periods presented below (in thousands):</w:t>
            </w: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7100" w:type="dxa"/>
            <w:vAlign w:val="bottom"/>
            <w:gridSpan w:val="18"/>
            <w:vMerge w:val="continue"/>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11"/>
          </w:tcPr>
          <w:p>
            <w:pPr>
              <w:ind w:left="200"/>
              <w:spacing w:after="0"/>
              <w:rPr>
                <w:sz w:val="20"/>
                <w:szCs w:val="20"/>
                <w:color w:val="auto"/>
              </w:rPr>
            </w:pPr>
            <w:r>
              <w:rPr>
                <w:rFonts w:ascii="Arial" w:cs="Arial" w:eastAsia="Arial" w:hAnsi="Arial"/>
                <w:sz w:val="14"/>
                <w:szCs w:val="14"/>
                <w:b w:val="1"/>
                <w:bCs w:val="1"/>
                <w:color w:val="auto"/>
              </w:rPr>
              <w:t>December 31, 2021</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31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160" w:type="dxa"/>
            <w:vAlign w:val="bottom"/>
          </w:tcPr>
          <w:p>
            <w:pPr>
              <w:spacing w:after="0"/>
              <w:rPr>
                <w:sz w:val="16"/>
                <w:szCs w:val="16"/>
                <w:color w:val="auto"/>
              </w:rPr>
            </w:pPr>
          </w:p>
        </w:tc>
        <w:tc>
          <w:tcPr>
            <w:tcW w:w="14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Accumulated</w:t>
            </w: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42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Amortization Period</w:t>
            </w:r>
          </w:p>
        </w:tc>
        <w:tc>
          <w:tcPr>
            <w:tcW w:w="148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9"/>
              </w:rPr>
              <w:t>Gross Intangible Assets</w:t>
            </w:r>
          </w:p>
        </w:tc>
        <w:tc>
          <w:tcPr>
            <w:tcW w:w="140" w:type="dxa"/>
            <w:vAlign w:val="bottom"/>
          </w:tcPr>
          <w:p>
            <w:pPr>
              <w:spacing w:after="0"/>
              <w:rPr>
                <w:sz w:val="12"/>
                <w:szCs w:val="12"/>
                <w:color w:val="auto"/>
              </w:rPr>
            </w:pPr>
          </w:p>
        </w:tc>
        <w:tc>
          <w:tcPr>
            <w:tcW w:w="900" w:type="dxa"/>
            <w:vAlign w:val="bottom"/>
            <w:gridSpan w:val="7"/>
            <w:vMerge w:val="continue"/>
          </w:tcPr>
          <w:p>
            <w:pPr>
              <w:spacing w:after="0"/>
              <w:rPr>
                <w:sz w:val="12"/>
                <w:szCs w:val="12"/>
                <w:color w:val="auto"/>
              </w:rPr>
            </w:pPr>
          </w:p>
        </w:tc>
        <w:tc>
          <w:tcPr>
            <w:tcW w:w="132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2"/>
              </w:rPr>
              <w:t>Net Intangible Assets</w:t>
            </w:r>
          </w:p>
        </w:tc>
        <w:tc>
          <w:tcPr>
            <w:tcW w:w="0" w:type="dxa"/>
            <w:vAlign w:val="bottom"/>
          </w:tcPr>
          <w:p>
            <w:pPr>
              <w:spacing w:after="0"/>
              <w:rPr>
                <w:sz w:val="1"/>
                <w:szCs w:val="1"/>
                <w:color w:val="auto"/>
              </w:rPr>
            </w:pPr>
          </w:p>
        </w:tc>
      </w:tr>
      <w:tr>
        <w:trPr>
          <w:trHeight w:val="186"/>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(Years)</w:t>
            </w:r>
          </w:p>
        </w:tc>
        <w:tc>
          <w:tcPr>
            <w:tcW w:w="1480" w:type="dxa"/>
            <w:vAlign w:val="bottom"/>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7"/>
          </w:tcPr>
          <w:p>
            <w:pPr>
              <w:spacing w:after="0"/>
              <w:rPr>
                <w:sz w:val="20"/>
                <w:szCs w:val="20"/>
                <w:color w:val="auto"/>
              </w:rPr>
            </w:pPr>
            <w:r>
              <w:rPr>
                <w:rFonts w:ascii="Arial" w:cs="Arial" w:eastAsia="Arial" w:hAnsi="Arial"/>
                <w:sz w:val="14"/>
                <w:szCs w:val="14"/>
                <w:b w:val="1"/>
                <w:bCs w:val="1"/>
                <w:color w:val="auto"/>
              </w:rPr>
              <w:t>Amortization</w:t>
            </w:r>
          </w:p>
        </w:tc>
        <w:tc>
          <w:tcPr>
            <w:tcW w:w="13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1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and domain names</w:t>
            </w:r>
          </w:p>
        </w:tc>
        <w:tc>
          <w:tcPr>
            <w:tcW w:w="12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14.3</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$ 7,532</w:t>
            </w:r>
          </w:p>
        </w:tc>
        <w:tc>
          <w:tcPr>
            <w:tcW w:w="2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7"/>
            <w:shd w:val="clear" w:color="auto" w:fill="CCEEFF"/>
          </w:tcPr>
          <w:p>
            <w:pPr>
              <w:jc w:val="right"/>
              <w:ind w:right="80"/>
              <w:spacing w:after="0"/>
              <w:rPr>
                <w:sz w:val="20"/>
                <w:szCs w:val="20"/>
                <w:color w:val="auto"/>
              </w:rPr>
            </w:pPr>
            <w:r>
              <w:rPr>
                <w:rFonts w:ascii="Arial" w:cs="Arial" w:eastAsia="Arial" w:hAnsi="Arial"/>
                <w:sz w:val="18"/>
                <w:szCs w:val="18"/>
                <w:color w:val="auto"/>
              </w:rPr>
              <w:t>$(4,081)</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4"/>
            <w:shd w:val="clear" w:color="auto" w:fill="CCEEFF"/>
          </w:tcPr>
          <w:p>
            <w:pPr>
              <w:jc w:val="center"/>
              <w:spacing w:after="0"/>
              <w:rPr>
                <w:sz w:val="20"/>
                <w:szCs w:val="20"/>
                <w:color w:val="auto"/>
              </w:rPr>
            </w:pPr>
            <w:r>
              <w:rPr>
                <w:rFonts w:ascii="Arial" w:cs="Arial" w:eastAsia="Arial" w:hAnsi="Arial"/>
                <w:sz w:val="18"/>
                <w:szCs w:val="18"/>
                <w:color w:val="auto"/>
                <w:w w:val="90"/>
              </w:rPr>
              <w:t>$3,451</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Arial" w:cs="Arial" w:eastAsia="Arial" w:hAnsi="Arial"/>
                <w:sz w:val="18"/>
                <w:szCs w:val="18"/>
                <w:color w:val="auto"/>
              </w:rPr>
              <w:t>Software technology</w:t>
            </w:r>
          </w:p>
        </w:tc>
        <w:tc>
          <w:tcPr>
            <w:tcW w:w="1280" w:type="dxa"/>
            <w:vAlign w:val="bottom"/>
            <w:gridSpan w:val="2"/>
          </w:tcPr>
          <w:p>
            <w:pPr>
              <w:jc w:val="right"/>
              <w:ind w:right="408"/>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6,691</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gridSpan w:val="7"/>
          </w:tcPr>
          <w:p>
            <w:pPr>
              <w:jc w:val="right"/>
              <w:ind w:right="80"/>
              <w:spacing w:after="0"/>
              <w:rPr>
                <w:sz w:val="20"/>
                <w:szCs w:val="20"/>
                <w:color w:val="auto"/>
              </w:rPr>
            </w:pPr>
            <w:r>
              <w:rPr>
                <w:rFonts w:ascii="Arial" w:cs="Arial" w:eastAsia="Arial" w:hAnsi="Arial"/>
                <w:sz w:val="18"/>
                <w:szCs w:val="18"/>
                <w:color w:val="auto"/>
              </w:rPr>
              <w:t>(3,222)</w:t>
            </w:r>
          </w:p>
        </w:tc>
        <w:tc>
          <w:tcPr>
            <w:tcW w:w="100" w:type="dxa"/>
            <w:vAlign w:val="bottom"/>
          </w:tcPr>
          <w:p>
            <w:pPr>
              <w:spacing w:after="0"/>
              <w:rPr>
                <w:sz w:val="23"/>
                <w:szCs w:val="23"/>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3,469</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gridSpan w:val="2"/>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2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gridSpan w:val="2"/>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40" w:type="dxa"/>
            <w:vAlign w:val="bottom"/>
            <w:gridSpan w:val="2"/>
            <w:shd w:val="clear" w:color="auto" w:fill="CCEEFF"/>
          </w:tcPr>
          <w:p>
            <w:pPr>
              <w:spacing w:after="0"/>
              <w:rPr>
                <w:sz w:val="23"/>
                <w:szCs w:val="23"/>
                <w:color w:val="auto"/>
              </w:rPr>
            </w:pPr>
          </w:p>
        </w:tc>
        <w:tc>
          <w:tcPr>
            <w:tcW w:w="7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23"/>
                <w:szCs w:val="23"/>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3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3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right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gridSpan w:val="2"/>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15,803</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gridSpan w:val="2"/>
          </w:tcPr>
          <w:p>
            <w:pPr>
              <w:spacing w:after="0"/>
              <w:rPr>
                <w:sz w:val="23"/>
                <w:szCs w:val="23"/>
                <w:color w:val="auto"/>
              </w:rPr>
            </w:pPr>
          </w:p>
        </w:tc>
        <w:tc>
          <w:tcPr>
            <w:tcW w:w="700" w:type="dxa"/>
            <w:vAlign w:val="bottom"/>
            <w:gridSpan w:val="5"/>
          </w:tcPr>
          <w:p>
            <w:pPr>
              <w:jc w:val="right"/>
              <w:ind w:right="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(7,504)</w:t>
            </w:r>
          </w:p>
        </w:tc>
        <w:tc>
          <w:tcPr>
            <w:tcW w:w="100" w:type="dxa"/>
            <w:vAlign w:val="bottom"/>
          </w:tcPr>
          <w:p>
            <w:pPr>
              <w:spacing w:after="0"/>
              <w:rPr>
                <w:sz w:val="23"/>
                <w:szCs w:val="23"/>
                <w:color w:val="auto"/>
              </w:rPr>
            </w:pPr>
          </w:p>
        </w:tc>
        <w:tc>
          <w:tcPr>
            <w:tcW w:w="1300" w:type="dxa"/>
            <w:vAlign w:val="bottom"/>
            <w:gridSpan w:val="4"/>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8,299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0"/>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11"/>
          </w:tcPr>
          <w:p>
            <w:pPr>
              <w:ind w:left="240"/>
              <w:spacing w:after="0"/>
              <w:rPr>
                <w:sz w:val="20"/>
                <w:szCs w:val="20"/>
                <w:color w:val="auto"/>
              </w:rPr>
            </w:pPr>
            <w:r>
              <w:rPr>
                <w:rFonts w:ascii="Arial" w:cs="Arial" w:eastAsia="Arial" w:hAnsi="Arial"/>
                <w:sz w:val="14"/>
                <w:szCs w:val="14"/>
                <w:b w:val="1"/>
                <w:bCs w:val="1"/>
                <w:color w:val="auto"/>
              </w:rPr>
              <w:t>December 31, 2020</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3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tcBorders>
              <w:bottom w:val="single" w:sz="8" w:color="auto"/>
            </w:tcBorders>
            <w:gridSpan w:val="3"/>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6"/>
                <w:szCs w:val="16"/>
                <w:color w:val="auto"/>
              </w:rPr>
            </w:pPr>
          </w:p>
        </w:tc>
        <w:tc>
          <w:tcPr>
            <w:tcW w:w="126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4"/>
              </w:rPr>
              <w:t>Gross Intangible</w:t>
            </w:r>
          </w:p>
        </w:tc>
        <w:tc>
          <w:tcPr>
            <w:tcW w:w="1040" w:type="dxa"/>
            <w:vAlign w:val="bottom"/>
            <w:gridSpan w:val="8"/>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Amortization Period</w:t>
            </w:r>
          </w:p>
        </w:tc>
        <w:tc>
          <w:tcPr>
            <w:tcW w:w="22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1040" w:type="dxa"/>
            <w:vAlign w:val="bottom"/>
            <w:gridSpan w:val="8"/>
            <w:vMerge w:val="continue"/>
          </w:tcPr>
          <w:p>
            <w:pPr>
              <w:spacing w:after="0"/>
              <w:rPr>
                <w:sz w:val="12"/>
                <w:szCs w:val="12"/>
                <w:color w:val="auto"/>
              </w:rPr>
            </w:pPr>
          </w:p>
        </w:tc>
        <w:tc>
          <w:tcPr>
            <w:tcW w:w="132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2"/>
              </w:rPr>
              <w:t>Net Intangible Assets</w:t>
            </w:r>
          </w:p>
        </w:tc>
        <w:tc>
          <w:tcPr>
            <w:tcW w:w="0" w:type="dxa"/>
            <w:vAlign w:val="bottom"/>
          </w:tcPr>
          <w:p>
            <w:pPr>
              <w:spacing w:after="0"/>
              <w:rPr>
                <w:sz w:val="1"/>
                <w:szCs w:val="1"/>
                <w:color w:val="auto"/>
              </w:rPr>
            </w:pPr>
          </w:p>
        </w:tc>
      </w:tr>
      <w:tr>
        <w:trPr>
          <w:trHeight w:val="186"/>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(Years)</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2"/>
              </w:rPr>
              <w:t>Assets</w:t>
            </w:r>
          </w:p>
        </w:tc>
        <w:tc>
          <w:tcPr>
            <w:tcW w:w="1040" w:type="dxa"/>
            <w:vAlign w:val="bottom"/>
            <w:gridSpan w:val="8"/>
          </w:tcPr>
          <w:p>
            <w:pPr>
              <w:spacing w:after="0"/>
              <w:rPr>
                <w:sz w:val="20"/>
                <w:szCs w:val="20"/>
                <w:color w:val="auto"/>
              </w:rPr>
            </w:pPr>
            <w:r>
              <w:rPr>
                <w:rFonts w:ascii="Arial" w:cs="Arial" w:eastAsia="Arial" w:hAnsi="Arial"/>
                <w:sz w:val="14"/>
                <w:szCs w:val="14"/>
                <w:b w:val="1"/>
                <w:bCs w:val="1"/>
                <w:color w:val="auto"/>
              </w:rPr>
              <w:t>Amortization</w:t>
            </w:r>
          </w:p>
        </w:tc>
        <w:tc>
          <w:tcPr>
            <w:tcW w:w="13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and domain names</w:t>
            </w:r>
          </w:p>
        </w:tc>
        <w:tc>
          <w:tcPr>
            <w:tcW w:w="1280" w:type="dxa"/>
            <w:vAlign w:val="bottom"/>
            <w:tcBorders>
              <w:bottom w:val="single" w:sz="8" w:color="CCEEFF"/>
            </w:tcBorders>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$ 7,255</w:t>
            </w:r>
          </w:p>
        </w:tc>
        <w:tc>
          <w:tcPr>
            <w:tcW w:w="2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w w:val="92"/>
              </w:rPr>
              <w:t>$(3,556)</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4"/>
            <w:shd w:val="clear" w:color="auto" w:fill="CCEEFF"/>
          </w:tcPr>
          <w:p>
            <w:pPr>
              <w:jc w:val="center"/>
              <w:spacing w:after="0"/>
              <w:rPr>
                <w:sz w:val="20"/>
                <w:szCs w:val="20"/>
                <w:color w:val="auto"/>
              </w:rPr>
            </w:pPr>
            <w:r>
              <w:rPr>
                <w:rFonts w:ascii="Arial" w:cs="Arial" w:eastAsia="Arial" w:hAnsi="Arial"/>
                <w:sz w:val="18"/>
                <w:szCs w:val="18"/>
                <w:color w:val="auto"/>
                <w:w w:val="90"/>
              </w:rPr>
              <w:t>$3,699</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160" w:type="dxa"/>
            <w:vAlign w:val="bottom"/>
          </w:tcPr>
          <w:p>
            <w:pPr>
              <w:spacing w:after="0"/>
              <w:rPr>
                <w:sz w:val="20"/>
                <w:szCs w:val="20"/>
                <w:color w:val="auto"/>
              </w:rPr>
            </w:pPr>
            <w:r>
              <w:rPr>
                <w:rFonts w:ascii="Arial" w:cs="Arial" w:eastAsia="Arial" w:hAnsi="Arial"/>
                <w:sz w:val="18"/>
                <w:szCs w:val="18"/>
                <w:color w:val="auto"/>
              </w:rPr>
              <w:t>Software technology</w:t>
            </w:r>
          </w:p>
        </w:tc>
        <w:tc>
          <w:tcPr>
            <w:tcW w:w="1280" w:type="dxa"/>
            <w:vAlign w:val="bottom"/>
            <w:gridSpan w:val="2"/>
          </w:tcPr>
          <w:p>
            <w:pPr>
              <w:jc w:val="right"/>
              <w:ind w:right="308"/>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3,469</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4"/>
          </w:tcPr>
          <w:p>
            <w:pPr>
              <w:jc w:val="right"/>
              <w:ind w:right="40"/>
              <w:spacing w:after="0"/>
              <w:rPr>
                <w:sz w:val="20"/>
                <w:szCs w:val="20"/>
                <w:color w:val="auto"/>
              </w:rPr>
            </w:pPr>
            <w:r>
              <w:rPr>
                <w:rFonts w:ascii="Arial" w:cs="Arial" w:eastAsia="Arial" w:hAnsi="Arial"/>
                <w:sz w:val="18"/>
                <w:szCs w:val="18"/>
                <w:color w:val="auto"/>
              </w:rPr>
              <w:t>(2,663)</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806</w:t>
            </w: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3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2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spacing w:after="0"/>
              <w:rPr>
                <w:sz w:val="24"/>
                <w:szCs w:val="24"/>
                <w:color w:val="auto"/>
              </w:rPr>
            </w:pPr>
          </w:p>
        </w:tc>
        <w:tc>
          <w:tcPr>
            <w:tcW w:w="8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10,724</w:t>
            </w:r>
          </w:p>
        </w:tc>
        <w:tc>
          <w:tcPr>
            <w:tcW w:w="220" w:type="dxa"/>
            <w:vAlign w:val="bottom"/>
            <w:shd w:val="clear" w:color="auto" w:fill="CCEEFF"/>
          </w:tcPr>
          <w:p>
            <w:pPr>
              <w:spacing w:after="0"/>
              <w:rPr>
                <w:sz w:val="24"/>
                <w:szCs w:val="24"/>
                <w:color w:val="auto"/>
              </w:rPr>
            </w:pPr>
          </w:p>
        </w:tc>
        <w:tc>
          <w:tcPr>
            <w:tcW w:w="780" w:type="dxa"/>
            <w:vAlign w:val="bottom"/>
            <w:gridSpan w:val="4"/>
            <w:shd w:val="clear" w:color="auto" w:fill="CCEEFF"/>
          </w:tcPr>
          <w:p>
            <w:pPr>
              <w:ind w:left="1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(6,219)</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gridSpan w:val="4"/>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4,505</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460" w:type="dxa"/>
            <w:vAlign w:val="bottom"/>
            <w:tcBorders>
              <w:top w:val="single" w:sz="8" w:color="auto"/>
              <w:right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5638165</wp:posOffset>
            </wp:positionH>
            <wp:positionV relativeFrom="paragraph">
              <wp:posOffset>-3839845</wp:posOffset>
            </wp:positionV>
            <wp:extent cx="15430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5269230</wp:posOffset>
            </wp:positionH>
            <wp:positionV relativeFrom="paragraph">
              <wp:posOffset>-2142490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4669155</wp:posOffset>
            </wp:positionH>
            <wp:positionV relativeFrom="paragraph">
              <wp:posOffset>-2142490</wp:posOffset>
            </wp:positionV>
            <wp:extent cx="7747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3649345</wp:posOffset>
            </wp:positionH>
            <wp:positionV relativeFrom="paragraph">
              <wp:posOffset>-2142490</wp:posOffset>
            </wp:positionV>
            <wp:extent cx="857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-2142490</wp:posOffset>
            </wp:positionV>
            <wp:extent cx="431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5200650</wp:posOffset>
            </wp:positionH>
            <wp:positionV relativeFrom="paragraph">
              <wp:posOffset>-650875</wp:posOffset>
            </wp:positionV>
            <wp:extent cx="13716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4531995</wp:posOffset>
            </wp:positionH>
            <wp:positionV relativeFrom="paragraph">
              <wp:posOffset>-650875</wp:posOffset>
            </wp:positionV>
            <wp:extent cx="14541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3717925</wp:posOffset>
            </wp:positionH>
            <wp:positionV relativeFrom="paragraph">
              <wp:posOffset>-650875</wp:posOffset>
            </wp:positionV>
            <wp:extent cx="15430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-650875</wp:posOffset>
            </wp:positionV>
            <wp:extent cx="7683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74" w:lineRule="exact"/>
        <w:rPr>
          <w:sz w:val="20"/>
          <w:szCs w:val="20"/>
          <w:color w:val="auto"/>
        </w:rPr>
      </w:pPr>
    </w:p>
    <w:p>
      <w:pPr>
        <w:jc w:val="both"/>
        <w:ind w:left="1300" w:right="1320" w:firstLine="360"/>
        <w:spacing w:after="0" w:line="277" w:lineRule="auto"/>
        <w:rPr>
          <w:sz w:val="20"/>
          <w:szCs w:val="20"/>
          <w:color w:val="auto"/>
        </w:rPr>
      </w:pPr>
      <w:r>
        <w:rPr>
          <w:rFonts w:ascii="Arial" w:cs="Arial" w:eastAsia="Arial" w:hAnsi="Arial"/>
          <w:sz w:val="18"/>
          <w:szCs w:val="18"/>
          <w:color w:val="auto"/>
        </w:rPr>
        <w:t>Amortization expense for intangible assets was $1.3 million, $0.9 million and $3.4 million for the years ended December 31, 2021, 2020 and 2019, respectively.</w:t>
      </w:r>
    </w:p>
    <w:p>
      <w:pPr>
        <w:spacing w:after="0" w:line="62" w:lineRule="exact"/>
        <w:rPr>
          <w:sz w:val="20"/>
          <w:szCs w:val="20"/>
          <w:color w:val="auto"/>
        </w:rPr>
      </w:pPr>
    </w:p>
    <w:p>
      <w:pPr>
        <w:jc w:val="both"/>
        <w:ind w:left="1300" w:right="1320" w:firstLine="360"/>
        <w:spacing w:after="0" w:line="277" w:lineRule="auto"/>
        <w:rPr>
          <w:sz w:val="20"/>
          <w:szCs w:val="20"/>
          <w:color w:val="auto"/>
        </w:rPr>
      </w:pPr>
      <w:r>
        <w:rPr>
          <w:rFonts w:ascii="Arial" w:cs="Arial" w:eastAsia="Arial" w:hAnsi="Arial"/>
          <w:sz w:val="18"/>
          <w:szCs w:val="18"/>
          <w:color w:val="auto"/>
        </w:rPr>
        <w:t>The estimated future amortization expense of intangible assets as of December 31, 2021 is as follows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2140" w:type="dxa"/>
            <w:vAlign w:val="bottom"/>
            <w:gridSpan w:val="5"/>
          </w:tcPr>
          <w:p>
            <w:pPr>
              <w:spacing w:after="0"/>
              <w:rPr>
                <w:sz w:val="20"/>
                <w:szCs w:val="20"/>
                <w:color w:val="auto"/>
              </w:rPr>
            </w:pPr>
            <w:r>
              <w:rPr>
                <w:rFonts w:ascii="Arial" w:cs="Arial" w:eastAsia="Arial" w:hAnsi="Arial"/>
                <w:sz w:val="14"/>
                <w:szCs w:val="14"/>
                <w:b w:val="1"/>
                <w:bCs w:val="1"/>
                <w:color w:val="auto"/>
              </w:rPr>
              <w:t>Amortization</w:t>
            </w:r>
          </w:p>
        </w:tc>
      </w:tr>
      <w:tr>
        <w:trPr>
          <w:trHeight w:val="53"/>
        </w:trPr>
        <w:tc>
          <w:tcPr>
            <w:tcW w:w="1300" w:type="dxa"/>
            <w:vAlign w:val="bottom"/>
          </w:tcPr>
          <w:p>
            <w:pPr>
              <w:spacing w:after="0"/>
              <w:rPr>
                <w:sz w:val="4"/>
                <w:szCs w:val="4"/>
                <w:color w:val="auto"/>
              </w:rPr>
            </w:pPr>
          </w:p>
        </w:tc>
        <w:tc>
          <w:tcPr>
            <w:tcW w:w="2980" w:type="dxa"/>
            <w:vAlign w:val="bottom"/>
            <w:tcBorders>
              <w:bottom w:val="single" w:sz="8" w:color="CCEEFF"/>
            </w:tcBorders>
          </w:tcPr>
          <w:p>
            <w:pPr>
              <w:spacing w:after="0"/>
              <w:rPr>
                <w:sz w:val="4"/>
                <w:szCs w:val="4"/>
                <w:color w:val="auto"/>
              </w:rPr>
            </w:pPr>
          </w:p>
        </w:tc>
        <w:tc>
          <w:tcPr>
            <w:tcW w:w="4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Years ended December 31,</w:t>
            </w:r>
          </w:p>
        </w:tc>
        <w:tc>
          <w:tcPr>
            <w:tcW w:w="46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4280" w:type="dxa"/>
            <w:vAlign w:val="bottom"/>
            <w:gridSpan w:val="2"/>
          </w:tcPr>
          <w:p>
            <w:pPr>
              <w:jc w:val="right"/>
              <w:ind w:right="2530"/>
              <w:spacing w:after="0"/>
              <w:rPr>
                <w:sz w:val="20"/>
                <w:szCs w:val="20"/>
                <w:color w:val="auto"/>
              </w:rPr>
            </w:pPr>
            <w:r>
              <w:rPr>
                <w:rFonts w:ascii="Arial" w:cs="Arial" w:eastAsia="Arial" w:hAnsi="Arial"/>
                <w:sz w:val="18"/>
                <w:szCs w:val="18"/>
                <w:color w:val="auto"/>
              </w:rPr>
              <w:t>2022</w:t>
            </w:r>
          </w:p>
        </w:tc>
        <w:tc>
          <w:tcPr>
            <w:tcW w:w="5260" w:type="dxa"/>
            <w:vAlign w:val="bottom"/>
            <w:gridSpan w:val="4"/>
          </w:tcPr>
          <w:p>
            <w:pPr>
              <w:jc w:val="right"/>
              <w:spacing w:after="0"/>
              <w:rPr>
                <w:sz w:val="20"/>
                <w:szCs w:val="20"/>
                <w:color w:val="auto"/>
              </w:rPr>
            </w:pPr>
            <w:r>
              <w:rPr>
                <w:rFonts w:ascii="Arial" w:cs="Arial" w:eastAsia="Arial" w:hAnsi="Arial"/>
                <w:sz w:val="18"/>
                <w:szCs w:val="18"/>
                <w:color w:val="auto"/>
              </w:rPr>
              <w:t>$2,094</w:t>
            </w: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4280" w:type="dxa"/>
            <w:vAlign w:val="bottom"/>
            <w:gridSpan w:val="2"/>
          </w:tcPr>
          <w:p>
            <w:pPr>
              <w:spacing w:after="0"/>
              <w:rPr>
                <w:sz w:val="4"/>
                <w:szCs w:val="4"/>
                <w:color w:val="auto"/>
              </w:rPr>
            </w:pPr>
          </w:p>
        </w:tc>
        <w:tc>
          <w:tcPr>
            <w:tcW w:w="4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2980" w:type="dxa"/>
            <w:vAlign w:val="bottom"/>
            <w:tcBorders>
              <w:bottom w:val="single" w:sz="8" w:color="CCEEFF"/>
            </w:tcBorders>
            <w:shd w:val="clear" w:color="auto" w:fill="CCEEFF"/>
          </w:tcPr>
          <w:p>
            <w:pPr>
              <w:jc w:val="right"/>
              <w:ind w:right="2530"/>
              <w:spacing w:after="0"/>
              <w:rPr>
                <w:sz w:val="20"/>
                <w:szCs w:val="20"/>
                <w:color w:val="auto"/>
              </w:rPr>
            </w:pPr>
            <w:r>
              <w:rPr>
                <w:rFonts w:ascii="Arial" w:cs="Arial" w:eastAsia="Arial" w:hAnsi="Arial"/>
                <w:sz w:val="18"/>
                <w:szCs w:val="18"/>
                <w:color w:val="auto"/>
                <w:w w:val="84"/>
              </w:rPr>
              <w:t>2023</w:t>
            </w:r>
          </w:p>
        </w:tc>
        <w:tc>
          <w:tcPr>
            <w:tcW w:w="52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1,696</w:t>
            </w:r>
          </w:p>
        </w:tc>
        <w:tc>
          <w:tcPr>
            <w:tcW w:w="1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4280" w:type="dxa"/>
            <w:vAlign w:val="bottom"/>
            <w:gridSpan w:val="2"/>
          </w:tcPr>
          <w:p>
            <w:pPr>
              <w:jc w:val="right"/>
              <w:ind w:right="2530"/>
              <w:spacing w:after="0"/>
              <w:rPr>
                <w:sz w:val="20"/>
                <w:szCs w:val="20"/>
                <w:color w:val="auto"/>
              </w:rPr>
            </w:pPr>
            <w:r>
              <w:rPr>
                <w:rFonts w:ascii="Arial" w:cs="Arial" w:eastAsia="Arial" w:hAnsi="Arial"/>
                <w:sz w:val="18"/>
                <w:szCs w:val="18"/>
                <w:color w:val="auto"/>
              </w:rPr>
              <w:t>2024</w:t>
            </w:r>
          </w:p>
        </w:tc>
        <w:tc>
          <w:tcPr>
            <w:tcW w:w="5260" w:type="dxa"/>
            <w:vAlign w:val="bottom"/>
            <w:gridSpan w:val="4"/>
          </w:tcPr>
          <w:p>
            <w:pPr>
              <w:jc w:val="right"/>
              <w:ind w:right="20"/>
              <w:spacing w:after="0"/>
              <w:rPr>
                <w:sz w:val="20"/>
                <w:szCs w:val="20"/>
                <w:color w:val="auto"/>
              </w:rPr>
            </w:pPr>
            <w:r>
              <w:rPr>
                <w:rFonts w:ascii="Arial" w:cs="Arial" w:eastAsia="Arial" w:hAnsi="Arial"/>
                <w:sz w:val="18"/>
                <w:szCs w:val="18"/>
                <w:color w:val="auto"/>
              </w:rPr>
              <w:t>1,517</w:t>
            </w: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4280" w:type="dxa"/>
            <w:vAlign w:val="bottom"/>
            <w:gridSpan w:val="2"/>
          </w:tcPr>
          <w:p>
            <w:pPr>
              <w:spacing w:after="0"/>
              <w:rPr>
                <w:sz w:val="4"/>
                <w:szCs w:val="4"/>
                <w:color w:val="auto"/>
              </w:rPr>
            </w:pPr>
          </w:p>
        </w:tc>
        <w:tc>
          <w:tcPr>
            <w:tcW w:w="4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2980" w:type="dxa"/>
            <w:vAlign w:val="bottom"/>
            <w:tcBorders>
              <w:bottom w:val="single" w:sz="8" w:color="CCEEFF"/>
            </w:tcBorders>
            <w:shd w:val="clear" w:color="auto" w:fill="CCEEFF"/>
          </w:tcPr>
          <w:p>
            <w:pPr>
              <w:jc w:val="right"/>
              <w:ind w:right="2530"/>
              <w:spacing w:after="0"/>
              <w:rPr>
                <w:sz w:val="20"/>
                <w:szCs w:val="20"/>
                <w:color w:val="auto"/>
              </w:rPr>
            </w:pPr>
            <w:r>
              <w:rPr>
                <w:rFonts w:ascii="Arial" w:cs="Arial" w:eastAsia="Arial" w:hAnsi="Arial"/>
                <w:sz w:val="18"/>
                <w:szCs w:val="18"/>
                <w:color w:val="auto"/>
                <w:w w:val="84"/>
              </w:rPr>
              <w:t>2025</w:t>
            </w:r>
          </w:p>
        </w:tc>
        <w:tc>
          <w:tcPr>
            <w:tcW w:w="52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1,186</w:t>
            </w:r>
          </w:p>
        </w:tc>
        <w:tc>
          <w:tcPr>
            <w:tcW w:w="1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4280" w:type="dxa"/>
            <w:vAlign w:val="bottom"/>
            <w:gridSpan w:val="2"/>
          </w:tcPr>
          <w:p>
            <w:pPr>
              <w:jc w:val="right"/>
              <w:ind w:right="2530"/>
              <w:spacing w:after="0"/>
              <w:rPr>
                <w:sz w:val="20"/>
                <w:szCs w:val="20"/>
                <w:color w:val="auto"/>
              </w:rPr>
            </w:pPr>
            <w:r>
              <w:rPr>
                <w:rFonts w:ascii="Arial" w:cs="Arial" w:eastAsia="Arial" w:hAnsi="Arial"/>
                <w:sz w:val="18"/>
                <w:szCs w:val="18"/>
                <w:color w:val="auto"/>
              </w:rPr>
              <w:t>2026</w:t>
            </w:r>
          </w:p>
        </w:tc>
        <w:tc>
          <w:tcPr>
            <w:tcW w:w="5260" w:type="dxa"/>
            <w:vAlign w:val="bottom"/>
            <w:gridSpan w:val="4"/>
          </w:tcPr>
          <w:p>
            <w:pPr>
              <w:jc w:val="right"/>
              <w:ind w:right="20"/>
              <w:spacing w:after="0"/>
              <w:rPr>
                <w:sz w:val="20"/>
                <w:szCs w:val="20"/>
                <w:color w:val="auto"/>
              </w:rPr>
            </w:pPr>
            <w:r>
              <w:rPr>
                <w:rFonts w:ascii="Arial" w:cs="Arial" w:eastAsia="Arial" w:hAnsi="Arial"/>
                <w:sz w:val="18"/>
                <w:szCs w:val="18"/>
                <w:color w:val="auto"/>
              </w:rPr>
              <w:t>939</w:t>
            </w: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2980" w:type="dxa"/>
            <w:vAlign w:val="bottom"/>
          </w:tcPr>
          <w:p>
            <w:pPr>
              <w:spacing w:after="0"/>
              <w:rPr>
                <w:sz w:val="4"/>
                <w:szCs w:val="4"/>
                <w:color w:val="auto"/>
              </w:rPr>
            </w:pPr>
          </w:p>
        </w:tc>
        <w:tc>
          <w:tcPr>
            <w:tcW w:w="4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5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867</w:t>
            </w:r>
          </w:p>
        </w:tc>
        <w:tc>
          <w:tcPr>
            <w:tcW w:w="1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2980" w:type="dxa"/>
            <w:vAlign w:val="bottom"/>
            <w:tcBorders>
              <w:top w:val="single" w:sz="8" w:color="CCEEFF"/>
            </w:tcBorders>
            <w:shd w:val="clear" w:color="auto" w:fill="CCEEFF"/>
          </w:tcPr>
          <w:p>
            <w:pPr>
              <w:spacing w:after="0"/>
              <w:rPr>
                <w:sz w:val="5"/>
                <w:szCs w:val="5"/>
                <w:color w:val="auto"/>
              </w:rPr>
            </w:pPr>
          </w:p>
        </w:tc>
        <w:tc>
          <w:tcPr>
            <w:tcW w:w="46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4760" w:type="dxa"/>
            <w:vAlign w:val="bottom"/>
            <w:gridSpan w:val="2"/>
          </w:tcPr>
          <w:p>
            <w:pPr>
              <w:spacing w:after="0"/>
              <w:rPr>
                <w:sz w:val="23"/>
                <w:szCs w:val="23"/>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8,299</w:t>
            </w: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0"/>
        </w:trPr>
        <w:tc>
          <w:tcPr>
            <w:tcW w:w="13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r>
      <w:tr>
        <w:trPr>
          <w:trHeight w:val="439"/>
        </w:trPr>
        <w:tc>
          <w:tcPr>
            <w:tcW w:w="1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740" w:type="dxa"/>
            <w:vAlign w:val="bottom"/>
            <w:gridSpan w:val="6"/>
          </w:tcPr>
          <w:p>
            <w:pPr>
              <w:ind w:left="1060"/>
              <w:spacing w:after="0"/>
              <w:rPr>
                <w:sz w:val="20"/>
                <w:szCs w:val="20"/>
                <w:color w:val="auto"/>
              </w:rPr>
            </w:pPr>
            <w:r>
              <w:rPr>
                <w:rFonts w:ascii="Arial" w:cs="Arial" w:eastAsia="Arial" w:hAnsi="Arial"/>
                <w:sz w:val="18"/>
                <w:szCs w:val="18"/>
                <w:color w:val="auto"/>
              </w:rPr>
              <w:t>F-26</w:t>
            </w:r>
          </w:p>
        </w:tc>
      </w:tr>
      <w:tr>
        <w:trPr>
          <w:trHeight w:val="183"/>
        </w:trPr>
        <w:tc>
          <w:tcPr>
            <w:tcW w:w="130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tcPr>
          <w:p>
            <w:pPr>
              <w:spacing w:after="0"/>
              <w:rPr>
                <w:sz w:val="15"/>
                <w:szCs w:val="15"/>
                <w:color w:val="auto"/>
              </w:rPr>
            </w:pPr>
          </w:p>
        </w:tc>
        <w:tc>
          <w:tcPr>
            <w:tcW w:w="4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5560695</wp:posOffset>
            </wp:positionH>
            <wp:positionV relativeFrom="paragraph">
              <wp:posOffset>-2082165</wp:posOffset>
            </wp:positionV>
            <wp:extent cx="7747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51" w:name="page152"/>
    <w:bookmarkEnd w:id="151"/>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Expenses</w:t>
      </w:r>
    </w:p>
    <w:p>
      <w:pPr>
        <w:spacing w:after="0" w:line="103"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Accounts payable and accrued liabilities as of December 31, 2021 and 2020 consisted of the following (in thousands):</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1380" w:type="dxa"/>
            <w:vAlign w:val="bottom"/>
            <w:gridSpan w:val="5"/>
          </w:tcPr>
          <w:p>
            <w:pPr>
              <w:spacing w:after="0"/>
              <w:rPr>
                <w:sz w:val="20"/>
                <w:szCs w:val="20"/>
                <w:color w:val="auto"/>
              </w:rPr>
            </w:pPr>
            <w:r>
              <w:rPr>
                <w:rFonts w:ascii="Arial" w:cs="Arial" w:eastAsia="Arial" w:hAnsi="Arial"/>
                <w:sz w:val="14"/>
                <w:szCs w:val="14"/>
                <w:b w:val="1"/>
                <w:bCs w:val="1"/>
                <w:color w:val="auto"/>
              </w:rPr>
              <w:t>December 31, 2021</w:t>
            </w: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w w:val="91"/>
              </w:rPr>
              <w:t>December 31, 2020</w:t>
            </w:r>
          </w:p>
        </w:tc>
      </w:tr>
      <w:tr>
        <w:trPr>
          <w:trHeight w:val="53"/>
        </w:trPr>
        <w:tc>
          <w:tcPr>
            <w:tcW w:w="586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311"/>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$ 4,298</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$ 2,244</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8"/>
                <w:szCs w:val="18"/>
                <w:color w:val="auto"/>
              </w:rPr>
              <w:t>Accrued employee expenses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10,088</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6,586</w:t>
            </w:r>
          </w:p>
        </w:tc>
        <w:tc>
          <w:tcPr>
            <w:tcW w:w="280" w:type="dxa"/>
            <w:vAlign w:val="bottom"/>
          </w:tcPr>
          <w:p>
            <w:pPr>
              <w:spacing w:after="0"/>
              <w:rPr>
                <w:sz w:val="23"/>
                <w:szCs w:val="23"/>
                <w:color w:val="auto"/>
              </w:rPr>
            </w:pPr>
          </w:p>
        </w:tc>
      </w:tr>
      <w:tr>
        <w:trPr>
          <w:trHeight w:val="54"/>
        </w:trPr>
        <w:tc>
          <w:tcPr>
            <w:tcW w:w="58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25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8,769</w:t>
            </w: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3,821</w:t>
            </w:r>
          </w:p>
        </w:tc>
        <w:tc>
          <w:tcPr>
            <w:tcW w:w="280" w:type="dxa"/>
            <w:vAlign w:val="bottom"/>
            <w:shd w:val="clear" w:color="auto" w:fill="CCEEFF"/>
          </w:tcPr>
          <w:p>
            <w:pPr>
              <w:spacing w:after="0"/>
              <w:rPr>
                <w:sz w:val="22"/>
                <w:szCs w:val="22"/>
                <w:color w:val="auto"/>
              </w:rPr>
            </w:pPr>
          </w:p>
        </w:tc>
      </w:tr>
      <w:tr>
        <w:trPr>
          <w:trHeight w:val="61"/>
        </w:trPr>
        <w:tc>
          <w:tcPr>
            <w:tcW w:w="58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r>
      <w:tr>
        <w:trPr>
          <w:trHeight w:val="270"/>
        </w:trPr>
        <w:tc>
          <w:tcPr>
            <w:tcW w:w="5860" w:type="dxa"/>
            <w:vAlign w:val="bottom"/>
          </w:tcPr>
          <w:p>
            <w:pPr>
              <w:spacing w:after="0"/>
              <w:rPr>
                <w:sz w:val="23"/>
                <w:szCs w:val="23"/>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23,155</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12,651</w:t>
            </w:r>
          </w:p>
        </w:tc>
        <w:tc>
          <w:tcPr>
            <w:tcW w:w="280" w:type="dxa"/>
            <w:vAlign w:val="bottom"/>
          </w:tcPr>
          <w:p>
            <w:pPr>
              <w:spacing w:after="0"/>
              <w:rPr>
                <w:sz w:val="23"/>
                <w:szCs w:val="23"/>
                <w:color w:val="auto"/>
              </w:rPr>
            </w:pPr>
          </w:p>
        </w:tc>
      </w:tr>
      <w:tr>
        <w:trPr>
          <w:trHeight w:val="20"/>
        </w:trPr>
        <w:tc>
          <w:tcPr>
            <w:tcW w:w="5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-847725</wp:posOffset>
            </wp:positionV>
            <wp:extent cx="13716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-847725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10.  Warrant Liability</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At December 31, 2021, there were 12,499,993 Public Warrants outstanding and 7,000,000 Private Placement Warrants outstanding.</w:t>
      </w:r>
    </w:p>
    <w:p>
      <w:pPr>
        <w:spacing w:after="0" w:line="62"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As part of Silver Spike’s initial public offering, 12,500,000 Public Warrants were sold. The Public Warrants entitle the holder thereof to purchase one share of Class A Common Stock at a price of $11.50 per share, subject to adjustments. The Public Warrants may be exercised only for a whole number of shares of Class A Common Stock. No fractional shares will be issued upon exercise of the warrants. The Public Warrants will expire at 5:00 p.m. New York City time on June 16, 2026, or earlier upon redemption or liquidation. The Public Warrants are listed on the NYSE under the symbol “MAPSW.”</w:t>
      </w:r>
    </w:p>
    <w:p>
      <w:pPr>
        <w:spacing w:after="0" w:line="84"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 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spacing w:after="0" w:line="56"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Simultaneously with Silver Spike’s initial public offering, Silver Spike consummated a private placement of 7,000,000 Private Placement Warrants with Silver Spike’s sponsor (“Silver Spike Sponsor”). Each Private Placement Warrant is exercisable for 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spacing w:after="0" w:line="60"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Company may exercise its redemption right even if it is unable to register or qualify the underlying securities for sale under all applicable state securities laws.</w:t>
      </w:r>
    </w:p>
    <w:p>
      <w:pPr>
        <w:spacing w:after="0" w:line="62"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w:t>
      </w:r>
    </w:p>
    <w:p>
      <w:pPr>
        <w:spacing w:after="0" w:line="6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Private Placement Warrants are identical to the Public Warrants underlying the units sold in the initial public offering, except that the Private Placement Warrants and the Class A Common Stock issuable upon the exercise of the Private Placement Warrants were not transferable, assignable or salable until 30 days after the completion of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2" w:name="page153"/>
    <w:bookmarkEnd w:id="152"/>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80"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 xml:space="preserve">The Company concluded the Public Warrants and Private Placement Warrants, or the Warrants, meet the definition of a derivative under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(as described in Note 2) and are recorded as liabilities. Upon the Closing, the fair value of the Warrants was recorded on the balance sheet. The fair value of the Warrants was remeasured as of December 31, 2021, resulting in a non-cash change in fair Warrant liabilities of $166.5 million in the consolidated statements of operations for the year ended December 31, 2021.</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11.  Equity</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Rights upon Liquidation, Dissolution and Winding-Up</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In the event of any voluntary or involuntary liquidation, dissolution or winding up of our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Preemptive or Other Rights</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Class V Common Stock</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3" w:name="page154"/>
    <w:bookmarkEnd w:id="153"/>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319"/>
        <w:spacing w:after="0" w:line="257" w:lineRule="auto"/>
        <w:rPr>
          <w:sz w:val="20"/>
          <w:szCs w:val="20"/>
          <w:color w:val="auto"/>
        </w:rPr>
      </w:pPr>
      <w:r>
        <w:rPr>
          <w:rFonts w:ascii="Arial" w:cs="Arial" w:eastAsia="Arial" w:hAnsi="Arial"/>
          <w:sz w:val="18"/>
          <w:szCs w:val="18"/>
          <w:color w:val="auto"/>
        </w:rPr>
        <w:t>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holders of the Class V Common Stock will not participate in any dividends declared by the Company’s board of directors.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Rights upon Liquidation, Dissolution and Winding-Up</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In the event of any voluntary or involuntary liquidation, dissolution or winding up of our affairs, the holders of Class V Common Stock are not entitled to receive any of the Company’s assets.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Preemptive or Other Rights</w:t>
      </w:r>
    </w:p>
    <w:p>
      <w:pPr>
        <w:spacing w:after="0" w:line="117"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The holders of shares of Class V Common Stock do not have preemptive, subscription, redemption or conversion rights. There will be no redemption or sinking fund provisions applicable to the Class V Common Stock.</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Issuance and Retirement of Class V Common Stock</w:t>
      </w:r>
    </w:p>
    <w:p>
      <w:pPr>
        <w:spacing w:after="0" w:line="117"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December 31, 2021, there were no shares of preferred stock issued or outstanding.</w:t>
      </w:r>
    </w:p>
    <w:p>
      <w:pPr>
        <w:spacing w:after="0" w:line="25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noncontrolling interest represents the Units held by holders other than the Company. As of December 31, 2021, the noncontrolling interests owned 55.5% of the Units outstanding. The noncontrolling interests’ ownership percentage can fluctuate over time, including as the WMH LLC equity holders elect to exchange Units for Class A Common Stock. The Company has consolidated the financial position and results of operations of WMH LLC and reflected the proportionate interest held by the WMH LLC Unit equity holders as noncontrolling interests. Net income for the period prior to the Business Combination from January 1, 2021 to June 15, 2021 is allocated to net income attributable to noncontrolling interests on the accompanying consolidated statements of operations for the year ended December 31, 2021.</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12.  Stock-based Compensation</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WM Holding Company, LLC Equity Incentive Plan</w:t>
      </w:r>
    </w:p>
    <w:p>
      <w:pPr>
        <w:spacing w:after="0" w:line="117"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The Company has accounted for the issuance of Class A-3 and Class B Units issued under WM Holding Company, LLC’s Equity Incentive Plan in accordance with ASC 718 - Stock Based Compensation. The Company considers the limitation on the exercisability of the Class A-3 and Class B Units to be a performance condition and records compensation cost when it becomes probable that the performance condition will be met.</w:t>
      </w:r>
    </w:p>
    <w:p>
      <w:pPr>
        <w:spacing w:after="0" w:line="63"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4" w:name="page155"/>
    <w:bookmarkEnd w:id="154"/>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spacing w:after="0" w:line="63"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Class P Unit activity for the periods presented is as follows: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360" w:type="dxa"/>
            <w:vAlign w:val="bottom"/>
          </w:tcPr>
          <w:p>
            <w:pPr>
              <w:spacing w:after="0"/>
              <w:rPr>
                <w:sz w:val="16"/>
                <w:szCs w:val="16"/>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93"/>
              </w:rPr>
              <w:t>Number of Units</w:t>
            </w:r>
          </w:p>
        </w:tc>
      </w:tr>
      <w:tr>
        <w:trPr>
          <w:trHeight w:val="53"/>
        </w:trPr>
        <w:tc>
          <w:tcPr>
            <w:tcW w:w="73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311"/>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Class A-3 and Class B Units, December 31, 2018</w:t>
            </w:r>
          </w:p>
        </w:tc>
        <w:tc>
          <w:tcPr>
            <w:tcW w:w="9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245,371</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736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25,990</w:t>
            </w:r>
          </w:p>
        </w:tc>
        <w:tc>
          <w:tcPr>
            <w:tcW w:w="120" w:type="dxa"/>
            <w:vAlign w:val="bottom"/>
          </w:tcPr>
          <w:p>
            <w:pPr>
              <w:spacing w:after="0"/>
              <w:rPr>
                <w:sz w:val="23"/>
                <w:szCs w:val="23"/>
                <w:color w:val="auto"/>
              </w:rPr>
            </w:pPr>
          </w:p>
        </w:tc>
      </w:tr>
      <w:tr>
        <w:trPr>
          <w:trHeight w:val="54"/>
        </w:trPr>
        <w:tc>
          <w:tcPr>
            <w:tcW w:w="7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57"/>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Cancellations</w:t>
            </w:r>
          </w:p>
        </w:tc>
        <w:tc>
          <w:tcPr>
            <w:tcW w:w="10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(7,284)</w:t>
            </w:r>
          </w:p>
        </w:tc>
      </w:tr>
      <w:tr>
        <w:trPr>
          <w:trHeight w:val="61"/>
        </w:trPr>
        <w:tc>
          <w:tcPr>
            <w:tcW w:w="73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r>
      <w:tr>
        <w:trPr>
          <w:trHeight w:val="283"/>
        </w:trPr>
        <w:tc>
          <w:tcPr>
            <w:tcW w:w="7360" w:type="dxa"/>
            <w:vAlign w:val="bottom"/>
          </w:tcPr>
          <w:p>
            <w:pPr>
              <w:spacing w:after="0"/>
              <w:rPr>
                <w:sz w:val="20"/>
                <w:szCs w:val="20"/>
                <w:color w:val="auto"/>
              </w:rPr>
            </w:pPr>
            <w:r>
              <w:rPr>
                <w:rFonts w:ascii="Arial" w:cs="Arial" w:eastAsia="Arial" w:hAnsi="Arial"/>
                <w:sz w:val="18"/>
                <w:szCs w:val="18"/>
                <w:color w:val="auto"/>
              </w:rPr>
              <w:t>Outstanding Class A-3 and Class B Units, December 31, 2019</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264,077</w:t>
            </w:r>
          </w:p>
        </w:tc>
        <w:tc>
          <w:tcPr>
            <w:tcW w:w="120" w:type="dxa"/>
            <w:vAlign w:val="bottom"/>
          </w:tcPr>
          <w:p>
            <w:pPr>
              <w:spacing w:after="0"/>
              <w:rPr>
                <w:sz w:val="24"/>
                <w:szCs w:val="24"/>
                <w:color w:val="auto"/>
              </w:rPr>
            </w:pPr>
          </w:p>
        </w:tc>
      </w:tr>
      <w:tr>
        <w:trPr>
          <w:trHeight w:val="54"/>
        </w:trPr>
        <w:tc>
          <w:tcPr>
            <w:tcW w:w="7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Granted</w:t>
            </w:r>
          </w:p>
        </w:tc>
        <w:tc>
          <w:tcPr>
            <w:tcW w:w="9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14,250</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7360" w:type="dxa"/>
            <w:vAlign w:val="bottom"/>
          </w:tcPr>
          <w:p>
            <w:pPr>
              <w:spacing w:after="0"/>
              <w:rPr>
                <w:sz w:val="20"/>
                <w:szCs w:val="20"/>
                <w:color w:val="auto"/>
              </w:rPr>
            </w:pPr>
            <w:r>
              <w:rPr>
                <w:rFonts w:ascii="Arial" w:cs="Arial" w:eastAsia="Arial" w:hAnsi="Arial"/>
                <w:sz w:val="18"/>
                <w:szCs w:val="18"/>
                <w:color w:val="auto"/>
              </w:rPr>
              <w:t>Repurchase</w:t>
            </w:r>
          </w:p>
        </w:tc>
        <w:tc>
          <w:tcPr>
            <w:tcW w:w="1060" w:type="dxa"/>
            <w:vAlign w:val="bottom"/>
            <w:gridSpan w:val="4"/>
          </w:tcPr>
          <w:p>
            <w:pPr>
              <w:jc w:val="right"/>
              <w:ind w:right="80"/>
              <w:spacing w:after="0"/>
              <w:rPr>
                <w:sz w:val="20"/>
                <w:szCs w:val="20"/>
                <w:color w:val="auto"/>
              </w:rPr>
            </w:pPr>
            <w:r>
              <w:rPr>
                <w:rFonts w:ascii="Arial" w:cs="Arial" w:eastAsia="Arial" w:hAnsi="Arial"/>
                <w:sz w:val="18"/>
                <w:szCs w:val="18"/>
                <w:color w:val="auto"/>
              </w:rPr>
              <w:t>(1,900)</w:t>
            </w:r>
          </w:p>
        </w:tc>
      </w:tr>
      <w:tr>
        <w:trPr>
          <w:trHeight w:val="54"/>
        </w:trPr>
        <w:tc>
          <w:tcPr>
            <w:tcW w:w="7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57"/>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Cancellations</w:t>
            </w:r>
          </w:p>
        </w:tc>
        <w:tc>
          <w:tcPr>
            <w:tcW w:w="10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(1,611)</w:t>
            </w:r>
          </w:p>
        </w:tc>
      </w:tr>
      <w:tr>
        <w:trPr>
          <w:trHeight w:val="61"/>
        </w:trPr>
        <w:tc>
          <w:tcPr>
            <w:tcW w:w="73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r>
      <w:tr>
        <w:trPr>
          <w:trHeight w:val="284"/>
        </w:trPr>
        <w:tc>
          <w:tcPr>
            <w:tcW w:w="7360" w:type="dxa"/>
            <w:vAlign w:val="bottom"/>
          </w:tcPr>
          <w:p>
            <w:pPr>
              <w:spacing w:after="0"/>
              <w:rPr>
                <w:sz w:val="20"/>
                <w:szCs w:val="20"/>
                <w:color w:val="auto"/>
              </w:rPr>
            </w:pPr>
            <w:r>
              <w:rPr>
                <w:rFonts w:ascii="Arial" w:cs="Arial" w:eastAsia="Arial" w:hAnsi="Arial"/>
                <w:sz w:val="18"/>
                <w:szCs w:val="18"/>
                <w:color w:val="auto"/>
              </w:rPr>
              <w:t>Outstanding Class A-3 and Class B Units, December 31, 2020</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274,816</w:t>
            </w:r>
          </w:p>
        </w:tc>
        <w:tc>
          <w:tcPr>
            <w:tcW w:w="120" w:type="dxa"/>
            <w:vAlign w:val="bottom"/>
          </w:tcPr>
          <w:p>
            <w:pPr>
              <w:spacing w:after="0"/>
              <w:rPr>
                <w:sz w:val="24"/>
                <w:szCs w:val="24"/>
                <w:color w:val="auto"/>
              </w:rPr>
            </w:pPr>
          </w:p>
        </w:tc>
      </w:tr>
      <w:tr>
        <w:trPr>
          <w:trHeight w:val="54"/>
        </w:trPr>
        <w:tc>
          <w:tcPr>
            <w:tcW w:w="7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Repurchases</w:t>
            </w:r>
          </w:p>
        </w:tc>
        <w:tc>
          <w:tcPr>
            <w:tcW w:w="10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(8,279)</w:t>
            </w:r>
          </w:p>
        </w:tc>
      </w:tr>
      <w:tr>
        <w:trPr>
          <w:trHeight w:val="256"/>
        </w:trPr>
        <w:tc>
          <w:tcPr>
            <w:tcW w:w="7360" w:type="dxa"/>
            <w:vAlign w:val="bottom"/>
          </w:tcPr>
          <w:p>
            <w:pPr>
              <w:spacing w:after="0"/>
              <w:rPr>
                <w:sz w:val="20"/>
                <w:szCs w:val="20"/>
                <w:color w:val="auto"/>
              </w:rPr>
            </w:pPr>
            <w:r>
              <w:rPr>
                <w:rFonts w:ascii="Arial" w:cs="Arial" w:eastAsia="Arial" w:hAnsi="Arial"/>
                <w:sz w:val="18"/>
                <w:szCs w:val="18"/>
                <w:color w:val="auto"/>
              </w:rPr>
              <w:t>Cancellations</w:t>
            </w:r>
          </w:p>
        </w:tc>
        <w:tc>
          <w:tcPr>
            <w:tcW w:w="1060" w:type="dxa"/>
            <w:vAlign w:val="bottom"/>
            <w:gridSpan w:val="4"/>
          </w:tcPr>
          <w:p>
            <w:pPr>
              <w:jc w:val="right"/>
              <w:ind w:right="80"/>
              <w:spacing w:after="0"/>
              <w:rPr>
                <w:sz w:val="20"/>
                <w:szCs w:val="20"/>
                <w:color w:val="auto"/>
              </w:rPr>
            </w:pPr>
            <w:r>
              <w:rPr>
                <w:rFonts w:ascii="Arial" w:cs="Arial" w:eastAsia="Arial" w:hAnsi="Arial"/>
                <w:sz w:val="18"/>
                <w:szCs w:val="18"/>
                <w:color w:val="auto"/>
              </w:rPr>
              <w:t>(4,288)</w:t>
            </w:r>
          </w:p>
        </w:tc>
      </w:tr>
      <w:tr>
        <w:trPr>
          <w:trHeight w:val="61"/>
        </w:trPr>
        <w:tc>
          <w:tcPr>
            <w:tcW w:w="7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318"/>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Class A-3 and Class B Units, June 15, 2021 (Pre-Business Combination)</w:t>
            </w:r>
          </w:p>
        </w:tc>
        <w:tc>
          <w:tcPr>
            <w:tcW w:w="9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262,249</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56"/>
        </w:trPr>
        <w:tc>
          <w:tcPr>
            <w:tcW w:w="7360" w:type="dxa"/>
            <w:vAlign w:val="bottom"/>
          </w:tcPr>
          <w:p>
            <w:pPr>
              <w:spacing w:after="0"/>
              <w:rPr>
                <w:sz w:val="20"/>
                <w:szCs w:val="20"/>
                <w:color w:val="auto"/>
              </w:rPr>
            </w:pPr>
            <w:r>
              <w:rPr>
                <w:rFonts w:ascii="Arial" w:cs="Arial" w:eastAsia="Arial" w:hAnsi="Arial"/>
                <w:sz w:val="18"/>
                <w:szCs w:val="18"/>
                <w:color w:val="auto"/>
              </w:rPr>
              <w:t>Class A-3 Units outstanding exchanged for Class A Units in connection with the Business</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30"/>
        </w:trPr>
        <w:tc>
          <w:tcPr>
            <w:tcW w:w="7360" w:type="dxa"/>
            <w:vAlign w:val="bottom"/>
          </w:tcPr>
          <w:p>
            <w:pPr>
              <w:ind w:left="180"/>
              <w:spacing w:after="0"/>
              <w:rPr>
                <w:sz w:val="20"/>
                <w:szCs w:val="20"/>
                <w:color w:val="auto"/>
              </w:rPr>
            </w:pPr>
            <w:r>
              <w:rPr>
                <w:rFonts w:ascii="Arial" w:cs="Arial" w:eastAsia="Arial" w:hAnsi="Arial"/>
                <w:sz w:val="18"/>
                <w:szCs w:val="18"/>
                <w:color w:val="auto"/>
              </w:rPr>
              <w:t>Combination</w:t>
            </w:r>
          </w:p>
        </w:tc>
        <w:tc>
          <w:tcPr>
            <w:tcW w:w="1060" w:type="dxa"/>
            <w:vAlign w:val="bottom"/>
            <w:gridSpan w:val="4"/>
          </w:tcPr>
          <w:p>
            <w:pPr>
              <w:jc w:val="right"/>
              <w:ind w:right="80"/>
              <w:spacing w:after="0"/>
              <w:rPr>
                <w:sz w:val="20"/>
                <w:szCs w:val="20"/>
                <w:color w:val="auto"/>
              </w:rPr>
            </w:pPr>
            <w:r>
              <w:rPr>
                <w:rFonts w:ascii="Arial" w:cs="Arial" w:eastAsia="Arial" w:hAnsi="Arial"/>
                <w:sz w:val="18"/>
                <w:szCs w:val="18"/>
                <w:color w:val="auto"/>
              </w:rPr>
              <w:t>(53,333)</w:t>
            </w:r>
          </w:p>
        </w:tc>
      </w:tr>
      <w:tr>
        <w:trPr>
          <w:trHeight w:val="54"/>
        </w:trPr>
        <w:tc>
          <w:tcPr>
            <w:tcW w:w="7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5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Recapitalization in connection with the Business Combination</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25,687,126</w:t>
            </w:r>
          </w:p>
        </w:tc>
        <w:tc>
          <w:tcPr>
            <w:tcW w:w="120" w:type="dxa"/>
            <w:vAlign w:val="bottom"/>
            <w:shd w:val="clear" w:color="auto" w:fill="CCEEFF"/>
          </w:tcPr>
          <w:p>
            <w:pPr>
              <w:spacing w:after="0"/>
              <w:rPr>
                <w:sz w:val="22"/>
                <w:szCs w:val="22"/>
                <w:color w:val="auto"/>
              </w:rPr>
            </w:pPr>
          </w:p>
        </w:tc>
      </w:tr>
      <w:tr>
        <w:trPr>
          <w:trHeight w:val="61"/>
        </w:trPr>
        <w:tc>
          <w:tcPr>
            <w:tcW w:w="73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r>
      <w:tr>
        <w:trPr>
          <w:trHeight w:val="283"/>
        </w:trPr>
        <w:tc>
          <w:tcPr>
            <w:tcW w:w="7360" w:type="dxa"/>
            <w:vAlign w:val="bottom"/>
          </w:tcPr>
          <w:p>
            <w:pPr>
              <w:spacing w:after="0"/>
              <w:rPr>
                <w:sz w:val="20"/>
                <w:szCs w:val="20"/>
                <w:color w:val="auto"/>
              </w:rPr>
            </w:pPr>
            <w:r>
              <w:rPr>
                <w:rFonts w:ascii="Arial" w:cs="Arial" w:eastAsia="Arial" w:hAnsi="Arial"/>
                <w:sz w:val="18"/>
                <w:szCs w:val="18"/>
                <w:color w:val="auto"/>
              </w:rPr>
              <w:t>Outstanding Class P Units, June 16, 2021</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25,896,042</w:t>
            </w:r>
          </w:p>
        </w:tc>
        <w:tc>
          <w:tcPr>
            <w:tcW w:w="120" w:type="dxa"/>
            <w:vAlign w:val="bottom"/>
          </w:tcPr>
          <w:p>
            <w:pPr>
              <w:spacing w:after="0"/>
              <w:rPr>
                <w:sz w:val="24"/>
                <w:szCs w:val="24"/>
                <w:color w:val="auto"/>
              </w:rPr>
            </w:pPr>
          </w:p>
        </w:tc>
      </w:tr>
      <w:tr>
        <w:trPr>
          <w:trHeight w:val="54"/>
        </w:trPr>
        <w:tc>
          <w:tcPr>
            <w:tcW w:w="7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57"/>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Cancellations</w:t>
            </w:r>
          </w:p>
        </w:tc>
        <w:tc>
          <w:tcPr>
            <w:tcW w:w="10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(235,513)</w:t>
            </w:r>
          </w:p>
        </w:tc>
      </w:tr>
      <w:tr>
        <w:trPr>
          <w:trHeight w:val="61"/>
        </w:trPr>
        <w:tc>
          <w:tcPr>
            <w:tcW w:w="73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r>
      <w:tr>
        <w:trPr>
          <w:trHeight w:val="270"/>
        </w:trPr>
        <w:tc>
          <w:tcPr>
            <w:tcW w:w="7360" w:type="dxa"/>
            <w:vAlign w:val="bottom"/>
          </w:tcPr>
          <w:p>
            <w:pPr>
              <w:spacing w:after="0"/>
              <w:rPr>
                <w:sz w:val="20"/>
                <w:szCs w:val="20"/>
                <w:color w:val="auto"/>
              </w:rPr>
            </w:pPr>
            <w:r>
              <w:rPr>
                <w:rFonts w:ascii="Arial" w:cs="Arial" w:eastAsia="Arial" w:hAnsi="Arial"/>
                <w:sz w:val="18"/>
                <w:szCs w:val="18"/>
                <w:color w:val="auto"/>
              </w:rPr>
              <w:t>Outstanding Class P Units, December 31, 2021</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25,660,529</w:t>
            </w:r>
          </w:p>
        </w:tc>
        <w:tc>
          <w:tcPr>
            <w:tcW w:w="120" w:type="dxa"/>
            <w:vAlign w:val="bottom"/>
          </w:tcPr>
          <w:p>
            <w:pPr>
              <w:spacing w:after="0"/>
              <w:rPr>
                <w:sz w:val="23"/>
                <w:szCs w:val="23"/>
                <w:color w:val="auto"/>
              </w:rPr>
            </w:pPr>
          </w:p>
        </w:tc>
      </w:tr>
      <w:tr>
        <w:trPr>
          <w:trHeight w:val="21"/>
        </w:trPr>
        <w:tc>
          <w:tcPr>
            <w:tcW w:w="7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8"/>
        </w:trPr>
        <w:tc>
          <w:tcPr>
            <w:tcW w:w="7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44"/>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December 31, 2021</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23,685,659</w:t>
            </w:r>
          </w:p>
        </w:tc>
        <w:tc>
          <w:tcPr>
            <w:tcW w:w="12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-3788410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As of December 31, 2021, unrecognized stock-based compensation expense for non-vested Class P Units was $4.2 million, which is expected to be recognized over a weighted-average period of 2.1 years. For the year ended December 31, 2021, the Company recorded stock-based compensation expense for the Class P Units of $20.9 million. Due to the Business Combination completed in the second quarter of 2021, certain limitations on exercisability related to the Company’s Class P equity awards issued to employees and consultants were removed and as a result the Company recognized the life-to-date expense on units vested through the Business Combination date on those equity awards. The stock-based compensation expense recognized during the year ended December 31, 2021 includes a one-time incremental expense of $4.1 million related to an award modification as a result of an advisory agreement entered into with a former executive.</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WM Technology, Inc. Equity Incentive Plan</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forms of stock awards to employees, directors and consultants. As of December 31, 2021, 19,209,986 shares of Class A Common Stock are authorized for issuance pursuant to awards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5" w:name="page156"/>
    <w:bookmarkEnd w:id="155"/>
    <w:p>
      <w:pPr>
        <w:ind w:left="1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1300" w:right="1300"/>
        <w:spacing w:after="0" w:line="254" w:lineRule="auto"/>
        <w:rPr>
          <w:sz w:val="20"/>
          <w:szCs w:val="20"/>
          <w:color w:val="auto"/>
        </w:rPr>
      </w:pPr>
      <w:r>
        <w:rPr>
          <w:rFonts w:ascii="Arial" w:cs="Arial" w:eastAsia="Arial" w:hAnsi="Arial"/>
          <w:sz w:val="18"/>
          <w:szCs w:val="18"/>
          <w:color w:val="auto"/>
        </w:rPr>
        <w:t>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1st of a given year to provide that the increase for such year will be a lesser number of shares of Common Stock. As of December 31, 2021, 10,373,779 shares of Class A Common Stock are available for future issuance.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 summary of the restricted stock unit (“RSU”) activity for the year ended December 31, 2021 is as follows:</w:t>
      </w:r>
    </w:p>
    <w:p>
      <w:pPr>
        <w:spacing w:after="0" w:line="177"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2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Number of RSUs</w:t>
            </w: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86"/>
        </w:trPr>
        <w:tc>
          <w:tcPr>
            <w:tcW w:w="5780" w:type="dxa"/>
            <w:vAlign w:val="bottom"/>
          </w:tcPr>
          <w:p>
            <w:pPr>
              <w:spacing w:after="0"/>
              <w:rPr>
                <w:sz w:val="16"/>
                <w:szCs w:val="16"/>
                <w:color w:val="auto"/>
              </w:rPr>
            </w:pPr>
          </w:p>
        </w:tc>
        <w:tc>
          <w:tcPr>
            <w:tcW w:w="1240" w:type="dxa"/>
            <w:vAlign w:val="bottom"/>
            <w:gridSpan w:val="4"/>
            <w:vMerge w:val="continue"/>
          </w:tcPr>
          <w:p>
            <w:pPr>
              <w:spacing w:after="0"/>
              <w:rPr>
                <w:sz w:val="16"/>
                <w:szCs w:val="16"/>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53"/>
        </w:trPr>
        <w:tc>
          <w:tcPr>
            <w:tcW w:w="57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December 31, 2020</w:t>
            </w: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8"/>
                <w:szCs w:val="18"/>
                <w:color w:val="auto"/>
              </w:rPr>
              <w:t>Granted</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6,581,369</w:t>
            </w:r>
          </w:p>
        </w:tc>
        <w:tc>
          <w:tcPr>
            <w:tcW w:w="180" w:type="dxa"/>
            <w:vAlign w:val="bottom"/>
          </w:tcPr>
          <w:p>
            <w:pPr>
              <w:spacing w:after="0"/>
              <w:rPr>
                <w:sz w:val="23"/>
                <w:szCs w:val="23"/>
                <w:color w:val="auto"/>
              </w:rPr>
            </w:pPr>
          </w:p>
        </w:tc>
        <w:tc>
          <w:tcPr>
            <w:tcW w:w="1400" w:type="dxa"/>
            <w:vAlign w:val="bottom"/>
            <w:gridSpan w:val="2"/>
          </w:tcPr>
          <w:p>
            <w:pPr>
              <w:ind w:left="46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54"/>
        </w:trPr>
        <w:tc>
          <w:tcPr>
            <w:tcW w:w="5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w:t>
            </w:r>
          </w:p>
        </w:tc>
        <w:tc>
          <w:tcPr>
            <w:tcW w:w="1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(568,826)</w:t>
            </w:r>
          </w:p>
        </w:tc>
        <w:tc>
          <w:tcPr>
            <w:tcW w:w="18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57"/>
        </w:trPr>
        <w:tc>
          <w:tcPr>
            <w:tcW w:w="5780" w:type="dxa"/>
            <w:vAlign w:val="bottom"/>
          </w:tcPr>
          <w:p>
            <w:pPr>
              <w:spacing w:after="0"/>
              <w:rPr>
                <w:sz w:val="20"/>
                <w:szCs w:val="20"/>
                <w:color w:val="auto"/>
              </w:rPr>
            </w:pPr>
            <w:r>
              <w:rPr>
                <w:rFonts w:ascii="Arial" w:cs="Arial" w:eastAsia="Arial" w:hAnsi="Arial"/>
                <w:sz w:val="18"/>
                <w:szCs w:val="18"/>
                <w:color w:val="auto"/>
              </w:rPr>
              <w:t>Forfeited</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(182,662)</w:t>
            </w:r>
          </w:p>
        </w:tc>
        <w:tc>
          <w:tcPr>
            <w:tcW w:w="180" w:type="dxa"/>
            <w:vAlign w:val="bottom"/>
          </w:tcPr>
          <w:p>
            <w:pPr>
              <w:spacing w:after="0"/>
              <w:rPr>
                <w:sz w:val="22"/>
                <w:szCs w:val="22"/>
                <w:color w:val="auto"/>
              </w:rPr>
            </w:pPr>
          </w:p>
        </w:tc>
        <w:tc>
          <w:tcPr>
            <w:tcW w:w="1400" w:type="dxa"/>
            <w:vAlign w:val="bottom"/>
            <w:gridSpan w:val="2"/>
          </w:tcPr>
          <w:p>
            <w:pPr>
              <w:ind w:left="460"/>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61"/>
        </w:trPr>
        <w:tc>
          <w:tcPr>
            <w:tcW w:w="5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2021</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5,829,881</w:t>
            </w:r>
          </w:p>
        </w:tc>
        <w:tc>
          <w:tcPr>
            <w:tcW w:w="18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7"/>
        </w:trPr>
        <w:tc>
          <w:tcPr>
            <w:tcW w:w="57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5175250</wp:posOffset>
            </wp:positionH>
            <wp:positionV relativeFrom="paragraph">
              <wp:posOffset>-1062355</wp:posOffset>
            </wp:positionV>
            <wp:extent cx="1028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4446270</wp:posOffset>
            </wp:positionH>
            <wp:positionV relativeFrom="paragraph">
              <wp:posOffset>-1062355</wp:posOffset>
            </wp:positionV>
            <wp:extent cx="514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jc w:val="both"/>
        <w:ind w:left="1300" w:right="1320" w:firstLine="360"/>
        <w:spacing w:after="0" w:line="311" w:lineRule="auto"/>
        <w:rPr>
          <w:sz w:val="20"/>
          <w:szCs w:val="20"/>
          <w:color w:val="auto"/>
        </w:rPr>
      </w:pPr>
      <w:r>
        <w:rPr>
          <w:rFonts w:ascii="Arial" w:cs="Arial" w:eastAsia="Arial" w:hAnsi="Arial"/>
          <w:sz w:val="16"/>
          <w:szCs w:val="16"/>
          <w:color w:val="auto"/>
        </w:rPr>
        <w:t>As of December 31, 2021, unrecognized stock-based compensation expense for non-vested RSUs was $60.5 million, which is expected to be recognized over a weighted-average period of 3.3 years. For the year ended December 31, 2021, the Company recorded stock-based compensation expense for the RSUs of $8.0 million.</w:t>
      </w:r>
    </w:p>
    <w:p>
      <w:pPr>
        <w:spacing w:after="0" w:line="41" w:lineRule="exact"/>
        <w:rPr>
          <w:sz w:val="20"/>
          <w:szCs w:val="20"/>
          <w:color w:val="auto"/>
        </w:rPr>
      </w:pPr>
    </w:p>
    <w:p>
      <w:pPr>
        <w:jc w:val="both"/>
        <w:ind w:left="1300" w:right="1300" w:firstLine="360"/>
        <w:spacing w:after="0" w:line="275" w:lineRule="auto"/>
        <w:rPr>
          <w:sz w:val="20"/>
          <w:szCs w:val="20"/>
          <w:color w:val="auto"/>
        </w:rPr>
      </w:pPr>
      <w:r>
        <w:rPr>
          <w:rFonts w:ascii="Arial" w:cs="Arial" w:eastAsia="Arial" w:hAnsi="Arial"/>
          <w:sz w:val="17"/>
          <w:szCs w:val="17"/>
          <w:color w:val="auto"/>
        </w:rPr>
        <w:t>The Company grants performance-based restricted stock units (“PSUs”) with performance and service-based vesting conditions. The level of achievement of such goals may cause the actual number of units that ultimately vest to range from 0% to 200% of the original units granted. The Company recognizes expense ratably over the vesting period for the PSUs when it is probable that the performance criteria specified will be achieved. The fair value is equal to the market price of the Company’s common stock on the date of grant.</w:t>
      </w:r>
    </w:p>
    <w:p>
      <w:pPr>
        <w:spacing w:after="0" w:line="10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A summary of the PSU activity for the year ended December 31, 2021 is as follows:</w:t>
      </w:r>
    </w:p>
    <w:p>
      <w:pPr>
        <w:spacing w:after="0" w:line="16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2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Number of PSUs</w:t>
            </w:r>
          </w:p>
        </w:tc>
        <w:tc>
          <w:tcPr>
            <w:tcW w:w="14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86"/>
        </w:trPr>
        <w:tc>
          <w:tcPr>
            <w:tcW w:w="5800" w:type="dxa"/>
            <w:vAlign w:val="bottom"/>
          </w:tcPr>
          <w:p>
            <w:pPr>
              <w:spacing w:after="0"/>
              <w:rPr>
                <w:sz w:val="16"/>
                <w:szCs w:val="16"/>
                <w:color w:val="auto"/>
              </w:rPr>
            </w:pPr>
          </w:p>
        </w:tc>
        <w:tc>
          <w:tcPr>
            <w:tcW w:w="1220" w:type="dxa"/>
            <w:vAlign w:val="bottom"/>
            <w:gridSpan w:val="4"/>
            <w:vMerge w:val="continue"/>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Grant Date Fair Value</w:t>
            </w:r>
          </w:p>
        </w:tc>
        <w:tc>
          <w:tcPr>
            <w:tcW w:w="0" w:type="dxa"/>
            <w:vAlign w:val="bottom"/>
          </w:tcPr>
          <w:p>
            <w:pPr>
              <w:spacing w:after="0"/>
              <w:rPr>
                <w:sz w:val="1"/>
                <w:szCs w:val="1"/>
                <w:color w:val="auto"/>
              </w:rPr>
            </w:pPr>
          </w:p>
        </w:tc>
      </w:tr>
      <w:tr>
        <w:trPr>
          <w:trHeight w:val="53"/>
        </w:trPr>
        <w:tc>
          <w:tcPr>
            <w:tcW w:w="58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December 31, 2020</w:t>
            </w:r>
          </w:p>
        </w:tc>
        <w:tc>
          <w:tcPr>
            <w:tcW w:w="1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800" w:type="dxa"/>
            <w:vAlign w:val="bottom"/>
          </w:tcPr>
          <w:p>
            <w:pPr>
              <w:spacing w:after="0"/>
              <w:rPr>
                <w:sz w:val="20"/>
                <w:szCs w:val="20"/>
                <w:color w:val="auto"/>
              </w:rPr>
            </w:pPr>
            <w:r>
              <w:rPr>
                <w:rFonts w:ascii="Arial" w:cs="Arial" w:eastAsia="Arial" w:hAnsi="Arial"/>
                <w:sz w:val="18"/>
                <w:szCs w:val="18"/>
                <w:color w:val="auto"/>
              </w:rPr>
              <w:t>Granted</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2,437,500</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right"/>
              <w:ind w:right="41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54"/>
        </w:trPr>
        <w:tc>
          <w:tcPr>
            <w:tcW w:w="5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w:t>
            </w:r>
          </w:p>
        </w:tc>
        <w:tc>
          <w:tcPr>
            <w:tcW w:w="1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800" w:type="dxa"/>
            <w:vAlign w:val="bottom"/>
          </w:tcPr>
          <w:p>
            <w:pPr>
              <w:spacing w:after="0"/>
              <w:rPr>
                <w:sz w:val="20"/>
                <w:szCs w:val="20"/>
                <w:color w:val="auto"/>
              </w:rPr>
            </w:pPr>
            <w:r>
              <w:rPr>
                <w:rFonts w:ascii="Arial" w:cs="Arial" w:eastAsia="Arial" w:hAnsi="Arial"/>
                <w:sz w:val="18"/>
                <w:szCs w:val="18"/>
                <w:color w:val="auto"/>
              </w:rPr>
              <w:t>Forfeited</w:t>
            </w:r>
          </w:p>
        </w:tc>
        <w:tc>
          <w:tcPr>
            <w:tcW w:w="160" w:type="dxa"/>
            <w:vAlign w:val="bottom"/>
          </w:tcPr>
          <w:p>
            <w:pPr>
              <w:spacing w:after="0"/>
              <w:rPr>
                <w:sz w:val="23"/>
                <w:szCs w:val="23"/>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
        </w:trPr>
        <w:tc>
          <w:tcPr>
            <w:tcW w:w="5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December 31, 2021</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2,437,500</w:t>
            </w: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5175250</wp:posOffset>
            </wp:positionH>
            <wp:positionV relativeFrom="paragraph">
              <wp:posOffset>-1062355</wp:posOffset>
            </wp:positionV>
            <wp:extent cx="10287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-1062355</wp:posOffset>
            </wp:positionV>
            <wp:extent cx="514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jc w:val="both"/>
        <w:ind w:left="1300" w:right="1300" w:firstLine="360"/>
        <w:spacing w:after="0" w:line="311" w:lineRule="auto"/>
        <w:rPr>
          <w:sz w:val="20"/>
          <w:szCs w:val="20"/>
          <w:color w:val="auto"/>
        </w:rPr>
      </w:pPr>
      <w:r>
        <w:rPr>
          <w:rFonts w:ascii="Arial" w:cs="Arial" w:eastAsia="Arial" w:hAnsi="Arial"/>
          <w:sz w:val="16"/>
          <w:szCs w:val="16"/>
          <w:color w:val="auto"/>
        </w:rPr>
        <w:t>As of December 31, 2021, unrecognized stock-based compensation expense for non-vested PSUs was $15.2 million, which is expected to be recognized over a weighted-average period of 2.0 years. For the year ended December 31, 2021, the Company recorded stock-based compensation expense for the PSUs of $0.4 million.</w:t>
      </w:r>
    </w:p>
    <w:p>
      <w:pPr>
        <w:spacing w:after="0" w:line="41" w:lineRule="exact"/>
        <w:rPr>
          <w:sz w:val="20"/>
          <w:szCs w:val="20"/>
          <w:color w:val="auto"/>
        </w:rPr>
      </w:pPr>
    </w:p>
    <w:p>
      <w:pPr>
        <w:jc w:val="both"/>
        <w:ind w:left="1300" w:right="1300" w:firstLine="360"/>
        <w:spacing w:after="0" w:line="308" w:lineRule="auto"/>
        <w:rPr>
          <w:sz w:val="20"/>
          <w:szCs w:val="20"/>
          <w:color w:val="auto"/>
        </w:rPr>
      </w:pPr>
      <w:r>
        <w:rPr>
          <w:rFonts w:ascii="Arial" w:cs="Arial" w:eastAsia="Arial" w:hAnsi="Arial"/>
          <w:sz w:val="17"/>
          <w:szCs w:val="17"/>
          <w:color w:val="auto"/>
        </w:rPr>
        <w:t>The Company recorded stock-based compensation cost related to the Class P Units, RSUs and PSUs in the following expense categories on the accompanying consolidated statements of operations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920" w:type="dxa"/>
            <w:vAlign w:val="bottom"/>
            <w:gridSpan w:val="5"/>
          </w:tcPr>
          <w:p>
            <w:pPr>
              <w:jc w:val="center"/>
              <w:ind w:right="1320"/>
              <w:spacing w:after="0"/>
              <w:rPr>
                <w:sz w:val="20"/>
                <w:szCs w:val="20"/>
                <w:color w:val="auto"/>
              </w:rPr>
            </w:pPr>
            <w:r>
              <w:rPr>
                <w:rFonts w:ascii="Arial" w:cs="Arial" w:eastAsia="Arial" w:hAnsi="Arial"/>
                <w:sz w:val="14"/>
                <w:szCs w:val="14"/>
                <w:b w:val="1"/>
                <w:bCs w:val="1"/>
                <w:color w:val="auto"/>
                <w:w w:val="93"/>
              </w:rPr>
              <w:t>Year Ended December 31,</w:t>
            </w:r>
          </w:p>
        </w:tc>
      </w:tr>
      <w:tr>
        <w:trPr>
          <w:trHeight w:val="186"/>
        </w:trPr>
        <w:tc>
          <w:tcPr>
            <w:tcW w:w="13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42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2"/>
        </w:trPr>
        <w:tc>
          <w:tcPr>
            <w:tcW w:w="1300" w:type="dxa"/>
            <w:vAlign w:val="bottom"/>
          </w:tcPr>
          <w:p>
            <w:pPr>
              <w:spacing w:after="0"/>
              <w:rPr>
                <w:sz w:val="4"/>
                <w:szCs w:val="4"/>
                <w:color w:val="auto"/>
              </w:rPr>
            </w:pPr>
          </w:p>
        </w:tc>
        <w:tc>
          <w:tcPr>
            <w:tcW w:w="3640" w:type="dxa"/>
            <w:vAlign w:val="bottom"/>
            <w:tcBorders>
              <w:bottom w:val="single" w:sz="8" w:color="CCEEFF"/>
            </w:tcBorders>
          </w:tcPr>
          <w:p>
            <w:pPr>
              <w:spacing w:after="0"/>
              <w:rPr>
                <w:sz w:val="4"/>
                <w:szCs w:val="4"/>
                <w:color w:val="auto"/>
              </w:rPr>
            </w:pPr>
          </w:p>
        </w:tc>
        <w:tc>
          <w:tcPr>
            <w:tcW w:w="316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42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$ 6,021</w:t>
            </w:r>
          </w:p>
        </w:tc>
        <w:tc>
          <w:tcPr>
            <w:tcW w:w="52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Product development</w:t>
            </w:r>
          </w:p>
        </w:tc>
        <w:tc>
          <w:tcPr>
            <w:tcW w:w="4260" w:type="dxa"/>
            <w:vAlign w:val="bottom"/>
            <w:gridSpan w:val="4"/>
          </w:tcPr>
          <w:p>
            <w:pPr>
              <w:jc w:val="right"/>
              <w:spacing w:after="0"/>
              <w:rPr>
                <w:sz w:val="20"/>
                <w:szCs w:val="20"/>
                <w:color w:val="auto"/>
              </w:rPr>
            </w:pPr>
            <w:r>
              <w:rPr>
                <w:rFonts w:ascii="Arial" w:cs="Arial" w:eastAsia="Arial" w:hAnsi="Arial"/>
                <w:sz w:val="18"/>
                <w:szCs w:val="18"/>
                <w:color w:val="auto"/>
              </w:rPr>
              <w:t>5,103</w:t>
            </w:r>
          </w:p>
        </w:tc>
        <w:tc>
          <w:tcPr>
            <w:tcW w:w="5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640" w:type="dxa"/>
            <w:vAlign w:val="bottom"/>
          </w:tcPr>
          <w:p>
            <w:pPr>
              <w:spacing w:after="0"/>
              <w:rPr>
                <w:sz w:val="4"/>
                <w:szCs w:val="4"/>
                <w:color w:val="auto"/>
              </w:rPr>
            </w:pPr>
          </w:p>
        </w:tc>
        <w:tc>
          <w:tcPr>
            <w:tcW w:w="3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7"/>
        </w:trPr>
        <w:tc>
          <w:tcPr>
            <w:tcW w:w="1300" w:type="dxa"/>
            <w:vAlign w:val="bottom"/>
          </w:tcPr>
          <w:p>
            <w:pPr>
              <w:spacing w:after="0"/>
              <w:rPr>
                <w:sz w:val="22"/>
                <w:szCs w:val="22"/>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4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18,200</w:t>
            </w:r>
          </w:p>
        </w:tc>
        <w:tc>
          <w:tcPr>
            <w:tcW w:w="52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3640" w:type="dxa"/>
            <w:vAlign w:val="bottom"/>
            <w:tcBorders>
              <w:top w:val="single" w:sz="8" w:color="CCEEFF"/>
            </w:tcBorders>
            <w:shd w:val="clear" w:color="auto" w:fill="CCEEFF"/>
          </w:tcPr>
          <w:p>
            <w:pPr>
              <w:spacing w:after="0"/>
              <w:rPr>
                <w:sz w:val="5"/>
                <w:szCs w:val="5"/>
                <w:color w:val="auto"/>
              </w:rPr>
            </w:pPr>
          </w:p>
        </w:tc>
        <w:tc>
          <w:tcPr>
            <w:tcW w:w="31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84"/>
        </w:trPr>
        <w:tc>
          <w:tcPr>
            <w:tcW w:w="1300" w:type="dxa"/>
            <w:vAlign w:val="bottom"/>
          </w:tcPr>
          <w:p>
            <w:pPr>
              <w:spacing w:after="0"/>
              <w:rPr>
                <w:sz w:val="24"/>
                <w:szCs w:val="24"/>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Total stock-based compensation expense</w:t>
            </w:r>
          </w:p>
        </w:tc>
        <w:tc>
          <w:tcPr>
            <w:tcW w:w="4260" w:type="dxa"/>
            <w:vAlign w:val="bottom"/>
            <w:gridSpan w:val="4"/>
          </w:tcPr>
          <w:p>
            <w:pPr>
              <w:jc w:val="right"/>
              <w:spacing w:after="0"/>
              <w:rPr>
                <w:sz w:val="20"/>
                <w:szCs w:val="20"/>
                <w:color w:val="auto"/>
              </w:rPr>
            </w:pPr>
            <w:r>
              <w:rPr>
                <w:rFonts w:ascii="Arial" w:cs="Arial" w:eastAsia="Arial" w:hAnsi="Arial"/>
                <w:sz w:val="18"/>
                <w:szCs w:val="18"/>
                <w:color w:val="auto"/>
              </w:rPr>
              <w:t>29,324</w:t>
            </w: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4"/>
        </w:trPr>
        <w:tc>
          <w:tcPr>
            <w:tcW w:w="1300" w:type="dxa"/>
            <w:vAlign w:val="bottom"/>
          </w:tcPr>
          <w:p>
            <w:pPr>
              <w:spacing w:after="0"/>
              <w:rPr>
                <w:sz w:val="4"/>
                <w:szCs w:val="4"/>
                <w:color w:val="auto"/>
              </w:rPr>
            </w:pPr>
          </w:p>
        </w:tc>
        <w:tc>
          <w:tcPr>
            <w:tcW w:w="3640" w:type="dxa"/>
            <w:vAlign w:val="bottom"/>
          </w:tcPr>
          <w:p>
            <w:pPr>
              <w:spacing w:after="0"/>
              <w:rPr>
                <w:sz w:val="4"/>
                <w:szCs w:val="4"/>
                <w:color w:val="auto"/>
              </w:rPr>
            </w:pPr>
          </w:p>
        </w:tc>
        <w:tc>
          <w:tcPr>
            <w:tcW w:w="3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Amount capitalized to software development</w:t>
            </w:r>
          </w:p>
        </w:tc>
        <w:tc>
          <w:tcPr>
            <w:tcW w:w="4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52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3640" w:type="dxa"/>
            <w:vAlign w:val="bottom"/>
            <w:tcBorders>
              <w:top w:val="single" w:sz="8" w:color="CCEEFF"/>
            </w:tcBorders>
            <w:shd w:val="clear" w:color="auto" w:fill="CCEEFF"/>
          </w:tcPr>
          <w:p>
            <w:pPr>
              <w:spacing w:after="0"/>
              <w:rPr>
                <w:sz w:val="5"/>
                <w:szCs w:val="5"/>
                <w:color w:val="auto"/>
              </w:rPr>
            </w:pPr>
          </w:p>
        </w:tc>
        <w:tc>
          <w:tcPr>
            <w:tcW w:w="31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Total stock-based compensation cost</w:t>
            </w:r>
          </w:p>
        </w:tc>
        <w:tc>
          <w:tcPr>
            <w:tcW w:w="4780" w:type="dxa"/>
            <w:vAlign w:val="bottom"/>
            <w:gridSpan w:val="5"/>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30,423</w:t>
            </w:r>
          </w:p>
        </w:tc>
        <w:tc>
          <w:tcPr>
            <w:tcW w:w="1300" w:type="dxa"/>
            <w:vAlign w:val="bottom"/>
          </w:tcPr>
          <w:p>
            <w:pPr>
              <w:spacing w:after="0"/>
              <w:rPr>
                <w:sz w:val="23"/>
                <w:szCs w:val="23"/>
                <w:color w:val="auto"/>
              </w:rPr>
            </w:pPr>
          </w:p>
        </w:tc>
      </w:tr>
      <w:tr>
        <w:trPr>
          <w:trHeight w:val="20"/>
        </w:trPr>
        <w:tc>
          <w:tcPr>
            <w:tcW w:w="13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r>
      <w:tr>
        <w:trPr>
          <w:trHeight w:val="439"/>
        </w:trPr>
        <w:tc>
          <w:tcPr>
            <w:tcW w:w="13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080" w:type="dxa"/>
            <w:vAlign w:val="bottom"/>
            <w:gridSpan w:val="6"/>
          </w:tcPr>
          <w:p>
            <w:pPr>
              <w:ind w:left="400"/>
              <w:spacing w:after="0"/>
              <w:rPr>
                <w:sz w:val="20"/>
                <w:szCs w:val="20"/>
                <w:color w:val="auto"/>
              </w:rPr>
            </w:pPr>
            <w:r>
              <w:rPr>
                <w:rFonts w:ascii="Arial" w:cs="Arial" w:eastAsia="Arial" w:hAnsi="Arial"/>
                <w:sz w:val="18"/>
                <w:szCs w:val="18"/>
                <w:color w:val="auto"/>
              </w:rPr>
              <w:t>F-31</w:t>
            </w:r>
          </w:p>
        </w:tc>
      </w:tr>
      <w:tr>
        <w:trPr>
          <w:trHeight w:val="183"/>
        </w:trPr>
        <w:tc>
          <w:tcPr>
            <w:tcW w:w="1300" w:type="dxa"/>
            <w:vAlign w:val="bottom"/>
            <w:tcBorders>
              <w:bottom w:val="single" w:sz="8" w:color="auto"/>
            </w:tcBorders>
          </w:tcPr>
          <w:p>
            <w:pPr>
              <w:spacing w:after="0"/>
              <w:rPr>
                <w:sz w:val="15"/>
                <w:szCs w:val="15"/>
                <w:color w:val="auto"/>
              </w:rPr>
            </w:pPr>
          </w:p>
        </w:tc>
        <w:tc>
          <w:tcPr>
            <w:tcW w:w="364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4900930</wp:posOffset>
            </wp:positionH>
            <wp:positionV relativeFrom="paragraph">
              <wp:posOffset>-1688465</wp:posOffset>
            </wp:positionV>
            <wp:extent cx="24003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56" w:name="page157"/>
    <w:bookmarkEnd w:id="156"/>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ind w:left="300" w:right="2159" w:firstLine="1854"/>
        <w:spacing w:after="0" w:line="260" w:lineRule="auto"/>
        <w:rPr>
          <w:sz w:val="20"/>
          <w:szCs w:val="20"/>
          <w:color w:val="auto"/>
        </w:rPr>
      </w:pPr>
      <w:r>
        <w:rPr>
          <w:rFonts w:ascii="Arial" w:cs="Arial" w:eastAsia="Arial" w:hAnsi="Arial"/>
          <w:sz w:val="18"/>
          <w:szCs w:val="18"/>
          <w:b w:val="1"/>
          <w:bCs w:val="1"/>
          <w:color w:val="auto"/>
        </w:rPr>
        <w:t>NOTES TO CONSOLIDATED FINANCIAL STATEMENTS 13. Earnings Per Share</w:t>
      </w:r>
    </w:p>
    <w:p>
      <w:pPr>
        <w:spacing w:after="0" w:line="7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Basic income (loss) per share of Class A Common Stock is computed by dividing net earnings (loss) attributable to WM Technology, Inc. by the weighted-average number of shares of Class A Common Stock outstanding during the period. Diluted income (loss) per share of Class A Common Stock adjusts basic net income (loss) per share of Class A Common Stock for the potentially dilutive impact of securities. For warrants that are liability-classified, during periods when the impact is dilutive, the Company assumes share settlement of the instruments as of the beginning of the reporting period and adjusts the numerator to remove the change in fair value of the warrant liability, net of the portion attributable to non-controlling interests, and adjusts the denominator to include the dilutive shares calculated using the treasury stock method.</w:t>
      </w:r>
    </w:p>
    <w:p>
      <w:pPr>
        <w:spacing w:after="0" w:line="70"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Prior to the Business Combination, the membership structure of WMH included units which had profit interests. The Company analyzed the calculation of net earnings (loss) per unit for periods prior to the Business Combination and determined that it resulted in values that would not be meaningful to the users of these consolidated financial statements. Therefore, net earnings per share information has not been presented for periods prior to the Business Combination on June 16, 2021. The basic and diluted income (loss) per share for the year ended December 31, 2021 represent the period from June 16, 2021 (Closing Date) to December 31, 2021.</w:t>
      </w:r>
    </w:p>
    <w:p>
      <w:pPr>
        <w:spacing w:after="0" w:line="56"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The computation of income (loss) per share attributable to WM Technology, Inc. and weighted-average shares of the Company’s Class A Common Stock outstanding are as follows for the period from June 16, 2021 (Closing Date) to December 31, 2021 (amounts in thousands, except for share and per share amounts):</w:t>
      </w:r>
    </w:p>
    <w:p>
      <w:pPr>
        <w:spacing w:after="0" w:line="11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46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2"/>
              </w:rPr>
              <w:t>Year Ended December</w:t>
            </w:r>
          </w:p>
        </w:tc>
      </w:tr>
      <w:tr>
        <w:trPr>
          <w:trHeight w:val="186"/>
        </w:trPr>
        <w:tc>
          <w:tcPr>
            <w:tcW w:w="6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92"/>
              <w:spacing w:after="0"/>
              <w:rPr>
                <w:sz w:val="20"/>
                <w:szCs w:val="20"/>
                <w:color w:val="auto"/>
              </w:rPr>
            </w:pPr>
            <w:r>
              <w:rPr>
                <w:rFonts w:ascii="Arial" w:cs="Arial" w:eastAsia="Arial" w:hAnsi="Arial"/>
                <w:sz w:val="14"/>
                <w:szCs w:val="14"/>
                <w:b w:val="1"/>
                <w:bCs w:val="1"/>
                <w:color w:val="auto"/>
              </w:rPr>
              <w:t>31, 2021</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53"/>
        </w:trPr>
        <w:tc>
          <w:tcPr>
            <w:tcW w:w="69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311"/>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152,218</w:t>
            </w:r>
          </w:p>
        </w:tc>
        <w:tc>
          <w:tcPr>
            <w:tcW w:w="280" w:type="dxa"/>
            <w:vAlign w:val="bottom"/>
          </w:tcPr>
          <w:p>
            <w:pPr>
              <w:spacing w:after="0"/>
              <w:rPr>
                <w:sz w:val="23"/>
                <w:szCs w:val="23"/>
                <w:color w:val="auto"/>
              </w:rPr>
            </w:pPr>
          </w:p>
        </w:tc>
      </w:tr>
      <w:tr>
        <w:trPr>
          <w:trHeight w:val="54"/>
        </w:trPr>
        <w:tc>
          <w:tcPr>
            <w:tcW w:w="6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304"/>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net income attributable to WMH LLC prior to the Business Combination</w:t>
            </w:r>
          </w:p>
        </w:tc>
        <w:tc>
          <w:tcPr>
            <w:tcW w:w="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15,078</w:t>
            </w:r>
          </w:p>
        </w:tc>
      </w:tr>
      <w:tr>
        <w:trPr>
          <w:trHeight w:val="257"/>
        </w:trPr>
        <w:tc>
          <w:tcPr>
            <w:tcW w:w="6960" w:type="dxa"/>
            <w:vAlign w:val="bottom"/>
          </w:tcPr>
          <w:p>
            <w:pPr>
              <w:spacing w:after="0"/>
              <w:rPr>
                <w:sz w:val="20"/>
                <w:szCs w:val="20"/>
                <w:color w:val="auto"/>
              </w:rPr>
            </w:pPr>
            <w:r>
              <w:rPr>
                <w:rFonts w:ascii="Arial" w:cs="Arial" w:eastAsia="Arial" w:hAnsi="Arial"/>
                <w:sz w:val="18"/>
                <w:szCs w:val="18"/>
                <w:color w:val="auto"/>
                <w:w w:val="99"/>
              </w:rPr>
              <w:t>Less: net income attributable to noncontrolling interests after the Business Combination</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76,757</w:t>
            </w:r>
          </w:p>
        </w:tc>
      </w:tr>
      <w:tr>
        <w:trPr>
          <w:trHeight w:val="61"/>
        </w:trPr>
        <w:tc>
          <w:tcPr>
            <w:tcW w:w="69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r>
      <w:tr>
        <w:trPr>
          <w:trHeight w:val="318"/>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WM Technology, Inc. - basic</w:t>
            </w:r>
          </w:p>
        </w:tc>
        <w:tc>
          <w:tcPr>
            <w:tcW w:w="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60,383</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54"/>
        </w:trPr>
        <w:tc>
          <w:tcPr>
            <w:tcW w:w="6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25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Less: fair value change of Public and Private Placement Warrants, net of amounts</w:t>
            </w:r>
          </w:p>
        </w:tc>
        <w:tc>
          <w:tcPr>
            <w:tcW w:w="2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r>
      <w:tr>
        <w:trPr>
          <w:trHeight w:val="217"/>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attributable to noncontrolling interests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72,483</w:t>
            </w:r>
          </w:p>
        </w:tc>
      </w:tr>
      <w:tr>
        <w:trPr>
          <w:trHeight w:val="61"/>
        </w:trPr>
        <w:tc>
          <w:tcPr>
            <w:tcW w:w="69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7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r>
      <w:tr>
        <w:trPr>
          <w:trHeight w:val="270"/>
        </w:trPr>
        <w:tc>
          <w:tcPr>
            <w:tcW w:w="6960" w:type="dxa"/>
            <w:vAlign w:val="bottom"/>
          </w:tcPr>
          <w:p>
            <w:pPr>
              <w:ind w:left="180"/>
              <w:spacing w:after="0"/>
              <w:rPr>
                <w:sz w:val="20"/>
                <w:szCs w:val="20"/>
                <w:color w:val="auto"/>
              </w:rPr>
            </w:pPr>
            <w:r>
              <w:rPr>
                <w:rFonts w:ascii="Arial" w:cs="Arial" w:eastAsia="Arial" w:hAnsi="Arial"/>
                <w:sz w:val="18"/>
                <w:szCs w:val="18"/>
                <w:color w:val="auto"/>
              </w:rPr>
              <w:t>Net loss attributable to WM Technology, Inc. - diluted</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(12,100)</w:t>
            </w:r>
          </w:p>
        </w:tc>
      </w:tr>
      <w:tr>
        <w:trPr>
          <w:trHeight w:val="20"/>
        </w:trPr>
        <w:tc>
          <w:tcPr>
            <w:tcW w:w="6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8"/>
        </w:trPr>
        <w:tc>
          <w:tcPr>
            <w:tcW w:w="6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345"/>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Weighted average Class A Common Stock outstanding - basic</w:t>
            </w:r>
          </w:p>
        </w:tc>
        <w:tc>
          <w:tcPr>
            <w:tcW w:w="1180" w:type="dxa"/>
            <w:vAlign w:val="bottom"/>
            <w:gridSpan w:val="4"/>
          </w:tcPr>
          <w:p>
            <w:pPr>
              <w:jc w:val="right"/>
              <w:ind w:right="20"/>
              <w:spacing w:after="0"/>
              <w:rPr>
                <w:sz w:val="20"/>
                <w:szCs w:val="20"/>
                <w:color w:val="auto"/>
              </w:rPr>
            </w:pPr>
            <w:r>
              <w:rPr>
                <w:rFonts w:ascii="Arial" w:cs="Arial" w:eastAsia="Arial" w:hAnsi="Arial"/>
                <w:sz w:val="18"/>
                <w:szCs w:val="18"/>
                <w:color w:val="auto"/>
              </w:rPr>
              <w:t>65,013,517</w:t>
            </w:r>
          </w:p>
        </w:tc>
        <w:tc>
          <w:tcPr>
            <w:tcW w:w="280" w:type="dxa"/>
            <w:vAlign w:val="bottom"/>
          </w:tcPr>
          <w:p>
            <w:pPr>
              <w:spacing w:after="0"/>
              <w:rPr>
                <w:sz w:val="23"/>
                <w:szCs w:val="23"/>
                <w:color w:val="auto"/>
              </w:rPr>
            </w:pPr>
          </w:p>
        </w:tc>
      </w:tr>
      <w:tr>
        <w:trPr>
          <w:trHeight w:val="54"/>
        </w:trPr>
        <w:tc>
          <w:tcPr>
            <w:tcW w:w="6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304"/>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effect of dilutive securities:</w:t>
            </w:r>
          </w:p>
        </w:tc>
        <w:tc>
          <w:tcPr>
            <w:tcW w:w="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r>
      <w:tr>
        <w:trPr>
          <w:trHeight w:val="324"/>
        </w:trPr>
        <w:tc>
          <w:tcPr>
            <w:tcW w:w="6960" w:type="dxa"/>
            <w:vAlign w:val="bottom"/>
          </w:tcPr>
          <w:p>
            <w:pPr>
              <w:spacing w:after="0" w:line="324" w:lineRule="exact"/>
              <w:rPr>
                <w:sz w:val="20"/>
                <w:szCs w:val="20"/>
                <w:color w:val="auto"/>
              </w:rPr>
            </w:pPr>
            <w:r>
              <w:rPr>
                <w:rFonts w:ascii="Arial" w:cs="Arial" w:eastAsia="Arial" w:hAnsi="Arial"/>
                <w:sz w:val="18"/>
                <w:szCs w:val="18"/>
                <w:color w:val="auto"/>
              </w:rPr>
              <w:t>Public Warrants</w:t>
            </w:r>
            <w:r>
              <w:rPr>
                <w:rFonts w:ascii="Arial" w:cs="Arial" w:eastAsia="Arial" w:hAnsi="Arial"/>
                <w:sz w:val="29"/>
                <w:szCs w:val="29"/>
                <w:color w:val="auto"/>
                <w:vertAlign w:val="superscript"/>
              </w:rPr>
              <w:t>1</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1,153,782</w:t>
            </w:r>
          </w:p>
        </w:tc>
        <w:tc>
          <w:tcPr>
            <w:tcW w:w="280" w:type="dxa"/>
            <w:vAlign w:val="bottom"/>
          </w:tcPr>
          <w:p>
            <w:pPr>
              <w:spacing w:after="0"/>
              <w:rPr>
                <w:sz w:val="24"/>
                <w:szCs w:val="24"/>
                <w:color w:val="auto"/>
              </w:rPr>
            </w:pPr>
          </w:p>
        </w:tc>
      </w:tr>
      <w:tr>
        <w:trPr>
          <w:trHeight w:val="256"/>
        </w:trPr>
        <w:tc>
          <w:tcPr>
            <w:tcW w:w="69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Private Placement Warrants</w:t>
            </w:r>
            <w:r>
              <w:rPr>
                <w:rFonts w:ascii="Arial" w:cs="Arial" w:eastAsia="Arial" w:hAnsi="Arial"/>
                <w:sz w:val="29"/>
                <w:szCs w:val="29"/>
                <w:color w:val="auto"/>
                <w:vertAlign w:val="superscript"/>
              </w:rPr>
              <w:t>1</w:t>
            </w:r>
          </w:p>
        </w:tc>
        <w:tc>
          <w:tcPr>
            <w:tcW w:w="2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646,118</w:t>
            </w:r>
          </w:p>
        </w:tc>
        <w:tc>
          <w:tcPr>
            <w:tcW w:w="280" w:type="dxa"/>
            <w:vAlign w:val="bottom"/>
            <w:shd w:val="clear" w:color="auto" w:fill="CCEEFF"/>
          </w:tcPr>
          <w:p>
            <w:pPr>
              <w:spacing w:after="0"/>
              <w:rPr>
                <w:sz w:val="22"/>
                <w:szCs w:val="22"/>
                <w:color w:val="auto"/>
              </w:rPr>
            </w:pPr>
          </w:p>
        </w:tc>
      </w:tr>
      <w:tr>
        <w:trPr>
          <w:trHeight w:val="61"/>
        </w:trPr>
        <w:tc>
          <w:tcPr>
            <w:tcW w:w="69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7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r>
      <w:tr>
        <w:trPr>
          <w:trHeight w:val="270"/>
        </w:trPr>
        <w:tc>
          <w:tcPr>
            <w:tcW w:w="6960" w:type="dxa"/>
            <w:vAlign w:val="bottom"/>
          </w:tcPr>
          <w:p>
            <w:pPr>
              <w:ind w:left="180"/>
              <w:spacing w:after="0"/>
              <w:rPr>
                <w:sz w:val="20"/>
                <w:szCs w:val="20"/>
                <w:color w:val="auto"/>
              </w:rPr>
            </w:pPr>
            <w:r>
              <w:rPr>
                <w:rFonts w:ascii="Arial" w:cs="Arial" w:eastAsia="Arial" w:hAnsi="Arial"/>
                <w:sz w:val="18"/>
                <w:szCs w:val="18"/>
                <w:color w:val="auto"/>
              </w:rPr>
              <w:t>Weighted average Class A Common Stock outstanding - diluted</w:t>
            </w:r>
          </w:p>
        </w:tc>
        <w:tc>
          <w:tcPr>
            <w:tcW w:w="1180" w:type="dxa"/>
            <w:vAlign w:val="bottom"/>
            <w:gridSpan w:val="4"/>
          </w:tcPr>
          <w:p>
            <w:pPr>
              <w:jc w:val="right"/>
              <w:ind w:right="20"/>
              <w:spacing w:after="0"/>
              <w:rPr>
                <w:sz w:val="20"/>
                <w:szCs w:val="20"/>
                <w:color w:val="auto"/>
              </w:rPr>
            </w:pPr>
            <w:r>
              <w:rPr>
                <w:rFonts w:ascii="Arial" w:cs="Arial" w:eastAsia="Arial" w:hAnsi="Arial"/>
                <w:sz w:val="18"/>
                <w:szCs w:val="18"/>
                <w:color w:val="auto"/>
              </w:rPr>
              <w:t>66,813,417</w:t>
            </w:r>
          </w:p>
        </w:tc>
        <w:tc>
          <w:tcPr>
            <w:tcW w:w="280" w:type="dxa"/>
            <w:vAlign w:val="bottom"/>
          </w:tcPr>
          <w:p>
            <w:pPr>
              <w:spacing w:after="0"/>
              <w:rPr>
                <w:sz w:val="23"/>
                <w:szCs w:val="23"/>
                <w:color w:val="auto"/>
              </w:rPr>
            </w:pPr>
          </w:p>
        </w:tc>
      </w:tr>
      <w:tr>
        <w:trPr>
          <w:trHeight w:val="21"/>
        </w:trPr>
        <w:tc>
          <w:tcPr>
            <w:tcW w:w="6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8"/>
        </w:trPr>
        <w:tc>
          <w:tcPr>
            <w:tcW w:w="6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364"/>
        </w:trPr>
        <w:tc>
          <w:tcPr>
            <w:tcW w:w="69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r>
      <w:tr>
        <w:trPr>
          <w:trHeight w:val="270"/>
        </w:trPr>
        <w:tc>
          <w:tcPr>
            <w:tcW w:w="6960" w:type="dxa"/>
            <w:vAlign w:val="bottom"/>
          </w:tcPr>
          <w:p>
            <w:pPr>
              <w:spacing w:after="0"/>
              <w:rPr>
                <w:sz w:val="20"/>
                <w:szCs w:val="20"/>
                <w:color w:val="auto"/>
              </w:rPr>
            </w:pPr>
            <w:r>
              <w:rPr>
                <w:rFonts w:ascii="Arial" w:cs="Arial" w:eastAsia="Arial" w:hAnsi="Arial"/>
                <w:sz w:val="18"/>
                <w:szCs w:val="18"/>
                <w:b w:val="1"/>
                <w:bCs w:val="1"/>
                <w:color w:val="auto"/>
              </w:rPr>
              <w:t>Net income (loss) per share of Class A Common Stock:</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54"/>
        </w:trPr>
        <w:tc>
          <w:tcPr>
            <w:tcW w:w="6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297"/>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of Class A Common Stock - basic</w:t>
            </w:r>
          </w:p>
        </w:tc>
        <w:tc>
          <w:tcPr>
            <w:tcW w:w="26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0.93</w:t>
            </w:r>
          </w:p>
        </w:tc>
        <w:tc>
          <w:tcPr>
            <w:tcW w:w="280" w:type="dxa"/>
            <w:vAlign w:val="bottom"/>
            <w:shd w:val="clear" w:color="auto" w:fill="CCEEFF"/>
          </w:tcPr>
          <w:p>
            <w:pPr>
              <w:spacing w:after="0"/>
              <w:rPr>
                <w:sz w:val="24"/>
                <w:szCs w:val="24"/>
                <w:color w:val="auto"/>
              </w:rPr>
            </w:pPr>
          </w:p>
        </w:tc>
      </w:tr>
      <w:tr>
        <w:trPr>
          <w:trHeight w:val="48"/>
        </w:trPr>
        <w:tc>
          <w:tcPr>
            <w:tcW w:w="69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7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r>
      <w:tr>
        <w:trPr>
          <w:trHeight w:val="297"/>
        </w:trPr>
        <w:tc>
          <w:tcPr>
            <w:tcW w:w="6960" w:type="dxa"/>
            <w:vAlign w:val="bottom"/>
          </w:tcPr>
          <w:p>
            <w:pPr>
              <w:spacing w:after="0"/>
              <w:rPr>
                <w:sz w:val="20"/>
                <w:szCs w:val="20"/>
                <w:color w:val="auto"/>
              </w:rPr>
            </w:pPr>
            <w:r>
              <w:rPr>
                <w:rFonts w:ascii="Arial" w:cs="Arial" w:eastAsia="Arial" w:hAnsi="Arial"/>
                <w:sz w:val="18"/>
                <w:szCs w:val="18"/>
                <w:color w:val="auto"/>
              </w:rPr>
              <w:t>Net loss per share of Class A Common Stock - diluted</w:t>
            </w:r>
          </w:p>
        </w:tc>
        <w:tc>
          <w:tcPr>
            <w:tcW w:w="2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(0.18)</w:t>
            </w:r>
          </w:p>
        </w:tc>
      </w:tr>
      <w:tr>
        <w:trPr>
          <w:trHeight w:val="20"/>
        </w:trPr>
        <w:tc>
          <w:tcPr>
            <w:tcW w:w="6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4454525</wp:posOffset>
            </wp:positionH>
            <wp:positionV relativeFrom="paragraph">
              <wp:posOffset>-4053840</wp:posOffset>
            </wp:positionV>
            <wp:extent cx="15430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162560</wp:posOffset>
            </wp:positionV>
            <wp:extent cx="82296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85" w:lineRule="exact"/>
        <w:rPr>
          <w:sz w:val="20"/>
          <w:szCs w:val="20"/>
          <w:color w:val="auto"/>
        </w:rPr>
      </w:pPr>
    </w:p>
    <w:p>
      <w:pPr>
        <w:ind w:left="640" w:hanging="348"/>
        <w:spacing w:after="0"/>
        <w:tabs>
          <w:tab w:leader="none" w:pos="6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Calculated using the treasury stock method.</w:t>
      </w:r>
    </w:p>
    <w:p>
      <w:pPr>
        <w:spacing w:after="0" w:line="10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7" w:name="page158"/>
    <w:bookmarkEnd w:id="157"/>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Company excluded the following securities from its computation of diluted shares outstanding, as their effect would have been anti-dilutive:</w:t>
      </w:r>
    </w:p>
    <w:p>
      <w:pPr>
        <w:spacing w:after="0" w:line="1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w w:val="91"/>
              </w:rPr>
              <w:t>Year Ended December 31,</w:t>
            </w:r>
          </w:p>
        </w:tc>
      </w:tr>
      <w:tr>
        <w:trPr>
          <w:trHeight w:val="186"/>
        </w:trPr>
        <w:tc>
          <w:tcPr>
            <w:tcW w:w="6800" w:type="dxa"/>
            <w:vAlign w:val="bottom"/>
          </w:tcPr>
          <w:p>
            <w:pPr>
              <w:spacing w:after="0"/>
              <w:rPr>
                <w:sz w:val="16"/>
                <w:szCs w:val="16"/>
                <w:color w:val="auto"/>
              </w:rPr>
            </w:pPr>
          </w:p>
        </w:tc>
        <w:tc>
          <w:tcPr>
            <w:tcW w:w="1620" w:type="dxa"/>
            <w:vAlign w:val="bottom"/>
          </w:tcPr>
          <w:p>
            <w:pPr>
              <w:jc w:val="right"/>
              <w:ind w:right="596"/>
              <w:spacing w:after="0"/>
              <w:rPr>
                <w:sz w:val="20"/>
                <w:szCs w:val="20"/>
                <w:color w:val="auto"/>
              </w:rPr>
            </w:pPr>
            <w:r>
              <w:rPr>
                <w:rFonts w:ascii="Arial" w:cs="Arial" w:eastAsia="Arial" w:hAnsi="Arial"/>
                <w:sz w:val="14"/>
                <w:szCs w:val="14"/>
                <w:b w:val="1"/>
                <w:bCs w:val="1"/>
                <w:color w:val="auto"/>
              </w:rPr>
              <w:t>2021</w:t>
            </w:r>
          </w:p>
        </w:tc>
      </w:tr>
      <w:tr>
        <w:trPr>
          <w:trHeight w:val="53"/>
        </w:trPr>
        <w:tc>
          <w:tcPr>
            <w:tcW w:w="680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r>
      <w:tr>
        <w:trPr>
          <w:trHeight w:val="311"/>
        </w:trPr>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A Units</w:t>
            </w:r>
          </w:p>
        </w:tc>
        <w:tc>
          <w:tcPr>
            <w:tcW w:w="162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color w:val="auto"/>
              </w:rPr>
              <w:t>65,502,347</w:t>
            </w: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Class P Units</w:t>
            </w:r>
          </w:p>
        </w:tc>
        <w:tc>
          <w:tcPr>
            <w:tcW w:w="1620" w:type="dxa"/>
            <w:vAlign w:val="bottom"/>
          </w:tcPr>
          <w:p>
            <w:pPr>
              <w:jc w:val="right"/>
              <w:ind w:right="316"/>
              <w:spacing w:after="0"/>
              <w:rPr>
                <w:sz w:val="20"/>
                <w:szCs w:val="20"/>
                <w:color w:val="auto"/>
              </w:rPr>
            </w:pPr>
            <w:r>
              <w:rPr>
                <w:rFonts w:ascii="Arial" w:cs="Arial" w:eastAsia="Arial" w:hAnsi="Arial"/>
                <w:sz w:val="18"/>
                <w:szCs w:val="18"/>
                <w:color w:val="auto"/>
              </w:rPr>
              <w:t>25,660,529</w:t>
            </w:r>
          </w:p>
        </w:tc>
      </w:tr>
      <w:tr>
        <w:trPr>
          <w:trHeight w:val="54"/>
        </w:trPr>
        <w:tc>
          <w:tcPr>
            <w:tcW w:w="6800" w:type="dxa"/>
            <w:vAlign w:val="bottom"/>
          </w:tcPr>
          <w:p>
            <w:pPr>
              <w:spacing w:after="0"/>
              <w:rPr>
                <w:sz w:val="4"/>
                <w:szCs w:val="4"/>
                <w:color w:val="auto"/>
              </w:rPr>
            </w:pPr>
          </w:p>
        </w:tc>
        <w:tc>
          <w:tcPr>
            <w:tcW w:w="1620" w:type="dxa"/>
            <w:vAlign w:val="bottom"/>
          </w:tcPr>
          <w:p>
            <w:pPr>
              <w:spacing w:after="0"/>
              <w:rPr>
                <w:sz w:val="4"/>
                <w:szCs w:val="4"/>
                <w:color w:val="auto"/>
              </w:rPr>
            </w:pPr>
          </w:p>
        </w:tc>
      </w:tr>
      <w:tr>
        <w:trPr>
          <w:trHeight w:val="304"/>
        </w:trPr>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w:t>
            </w:r>
          </w:p>
        </w:tc>
        <w:tc>
          <w:tcPr>
            <w:tcW w:w="162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rPr>
              <w:t>6,398,707</w:t>
            </w: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PSUs</w:t>
            </w:r>
          </w:p>
        </w:tc>
        <w:tc>
          <w:tcPr>
            <w:tcW w:w="1620" w:type="dxa"/>
            <w:vAlign w:val="bottom"/>
          </w:tcPr>
          <w:p>
            <w:pPr>
              <w:jc w:val="right"/>
              <w:ind w:right="336"/>
              <w:spacing w:after="0"/>
              <w:rPr>
                <w:sz w:val="20"/>
                <w:szCs w:val="20"/>
                <w:color w:val="auto"/>
              </w:rPr>
            </w:pPr>
            <w:r>
              <w:rPr>
                <w:rFonts w:ascii="Arial" w:cs="Arial" w:eastAsia="Arial" w:hAnsi="Arial"/>
                <w:sz w:val="18"/>
                <w:szCs w:val="18"/>
                <w:color w:val="auto"/>
              </w:rPr>
              <w:t>2,437,500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-805180</wp:posOffset>
            </wp:positionV>
            <wp:extent cx="3429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prior to June 16, 2021, as this period was prior to the Business Combination.</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Following the Business Combination, any taxable income or loss generated by WMH LLC is passed through to and included in the taxable income or loss of its members, including WM Technology, Inc., on a pro rata basis, with the remainder reflected in the line item Income Taxed to Owners of Noncontrolling Interests. WM Technology, Inc. is subject to U.S. federal income taxes, in addition to state and local income taxes with respect to its allocable share of any taxable income of WMH following the Business Combination. The Company is also subject to taxes in foreign jurisdictions.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income (loss) before taxes are as follows (in thousands):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40" w:type="dxa"/>
            <w:vAlign w:val="bottom"/>
            <w:gridSpan w:val="9"/>
          </w:tcPr>
          <w:p>
            <w:pPr>
              <w:jc w:val="right"/>
              <w:ind w:right="340"/>
              <w:spacing w:after="0"/>
              <w:rPr>
                <w:sz w:val="20"/>
                <w:szCs w:val="20"/>
                <w:color w:val="auto"/>
              </w:rPr>
            </w:pPr>
            <w:r>
              <w:rPr>
                <w:rFonts w:ascii="Arial" w:cs="Arial" w:eastAsia="Arial" w:hAnsi="Arial"/>
                <w:sz w:val="14"/>
                <w:szCs w:val="14"/>
                <w:b w:val="1"/>
                <w:bCs w:val="1"/>
                <w:color w:val="auto"/>
                <w:w w:val="93"/>
              </w:rPr>
              <w:t>Years Ended December 31,</w:t>
            </w:r>
          </w:p>
        </w:tc>
      </w:tr>
      <w:tr>
        <w:trPr>
          <w:trHeight w:val="52"/>
        </w:trPr>
        <w:tc>
          <w:tcPr>
            <w:tcW w:w="42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5"/>
        </w:trPr>
        <w:tc>
          <w:tcPr>
            <w:tcW w:w="4280" w:type="dxa"/>
            <w:vAlign w:val="bottom"/>
          </w:tcPr>
          <w:p>
            <w:pPr>
              <w:spacing w:after="0"/>
              <w:rPr>
                <w:sz w:val="19"/>
                <w:szCs w:val="19"/>
                <w:color w:val="auto"/>
              </w:rPr>
            </w:pPr>
          </w:p>
        </w:tc>
        <w:tc>
          <w:tcPr>
            <w:tcW w:w="2580" w:type="dxa"/>
            <w:vAlign w:val="bottom"/>
            <w:gridSpan w:val="3"/>
          </w:tcPr>
          <w:p>
            <w:pPr>
              <w:jc w:val="right"/>
              <w:ind w:right="17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9"/>
                <w:szCs w:val="19"/>
                <w:color w:val="auto"/>
              </w:rPr>
            </w:pPr>
          </w:p>
        </w:tc>
        <w:tc>
          <w:tcPr>
            <w:tcW w:w="5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9"/>
                <w:szCs w:val="19"/>
                <w:color w:val="auto"/>
              </w:rPr>
            </w:pPr>
          </w:p>
        </w:tc>
      </w:tr>
      <w:tr>
        <w:trPr>
          <w:trHeight w:val="53"/>
        </w:trPr>
        <w:tc>
          <w:tcPr>
            <w:tcW w:w="4280" w:type="dxa"/>
            <w:vAlign w:val="bottom"/>
            <w:tcBorders>
              <w:bottom w:val="single" w:sz="8" w:color="CCEEFF"/>
            </w:tcBorders>
          </w:tcPr>
          <w:p>
            <w:pPr>
              <w:spacing w:after="0"/>
              <w:rPr>
                <w:sz w:val="4"/>
                <w:szCs w:val="4"/>
                <w:color w:val="auto"/>
              </w:rPr>
            </w:pPr>
          </w:p>
        </w:tc>
        <w:tc>
          <w:tcPr>
            <w:tcW w:w="18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1"/>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Domestic</w:t>
            </w:r>
          </w:p>
        </w:tc>
        <w:tc>
          <w:tcPr>
            <w:tcW w:w="2580" w:type="dxa"/>
            <w:vAlign w:val="bottom"/>
            <w:tcBorders>
              <w:bottom w:val="single" w:sz="8" w:color="CCEEFF"/>
              <w:right w:val="single" w:sz="8" w:color="CCEEFF"/>
            </w:tcBorders>
            <w:gridSpan w:val="3"/>
            <w:shd w:val="clear" w:color="auto" w:fill="CCEEFF"/>
          </w:tcPr>
          <w:p>
            <w:pPr>
              <w:jc w:val="right"/>
              <w:ind w:right="16"/>
              <w:spacing w:after="0"/>
              <w:rPr>
                <w:sz w:val="20"/>
                <w:szCs w:val="20"/>
                <w:color w:val="auto"/>
              </w:rPr>
            </w:pPr>
            <w:r>
              <w:rPr>
                <w:rFonts w:ascii="Arial" w:cs="Arial" w:eastAsia="Arial" w:hAnsi="Arial"/>
                <w:sz w:val="18"/>
                <w:szCs w:val="18"/>
                <w:color w:val="auto"/>
              </w:rPr>
              <w:t>$151,987</w:t>
            </w: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6"/>
              </w:rPr>
              <w:t>$38,878</w:t>
            </w:r>
          </w:p>
        </w:tc>
        <w:tc>
          <w:tcPr>
            <w:tcW w:w="1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$(4,152)</w:t>
            </w:r>
          </w:p>
        </w:tc>
      </w:tr>
      <w:tr>
        <w:trPr>
          <w:trHeight w:val="257"/>
        </w:trPr>
        <w:tc>
          <w:tcPr>
            <w:tcW w:w="4280" w:type="dxa"/>
            <w:vAlign w:val="bottom"/>
          </w:tcPr>
          <w:p>
            <w:pPr>
              <w:spacing w:after="0"/>
              <w:rPr>
                <w:sz w:val="20"/>
                <w:szCs w:val="20"/>
                <w:color w:val="auto"/>
              </w:rPr>
            </w:pPr>
            <w:r>
              <w:rPr>
                <w:rFonts w:ascii="Arial" w:cs="Arial" w:eastAsia="Arial" w:hAnsi="Arial"/>
                <w:sz w:val="18"/>
                <w:szCs w:val="18"/>
                <w:color w:val="auto"/>
              </w:rPr>
              <w:t>Foreign</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2"/>
                <w:szCs w:val="22"/>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5,098</w:t>
            </w:r>
          </w:p>
        </w:tc>
        <w:tc>
          <w:tcPr>
            <w:tcW w:w="80" w:type="dxa"/>
            <w:vAlign w:val="bottom"/>
          </w:tcPr>
          <w:p>
            <w:pPr>
              <w:spacing w:after="0"/>
              <w:rPr>
                <w:sz w:val="22"/>
                <w:szCs w:val="22"/>
                <w:color w:val="auto"/>
              </w:rPr>
            </w:pPr>
          </w:p>
        </w:tc>
      </w:tr>
      <w:tr>
        <w:trPr>
          <w:trHeight w:val="61"/>
        </w:trPr>
        <w:tc>
          <w:tcPr>
            <w:tcW w:w="42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318"/>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580" w:type="dxa"/>
            <w:vAlign w:val="bottom"/>
            <w:tcBorders>
              <w:bottom w:val="single" w:sz="8" w:color="CCEEFF"/>
              <w:right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151,617</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38,830</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r>
      <w:tr>
        <w:trPr>
          <w:trHeight w:val="338"/>
        </w:trPr>
        <w:tc>
          <w:tcPr>
            <w:tcW w:w="7800" w:type="dxa"/>
            <w:vAlign w:val="bottom"/>
            <w:gridSpan w:val="9"/>
          </w:tcPr>
          <w:p>
            <w:pPr>
              <w:ind w:left="360"/>
              <w:spacing w:after="0"/>
              <w:rPr>
                <w:sz w:val="20"/>
                <w:szCs w:val="20"/>
                <w:color w:val="auto"/>
              </w:rPr>
            </w:pPr>
            <w:r>
              <w:rPr>
                <w:rFonts w:ascii="Arial" w:cs="Arial" w:eastAsia="Arial" w:hAnsi="Arial"/>
                <w:sz w:val="18"/>
                <w:szCs w:val="18"/>
                <w:color w:val="auto"/>
                <w:w w:val="99"/>
              </w:rPr>
              <w:t>The components of the provision for (benefit from) income taxes are as follows (in thousands):</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9"/>
        </w:trPr>
        <w:tc>
          <w:tcPr>
            <w:tcW w:w="4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gridSpan w:val="9"/>
          </w:tcPr>
          <w:p>
            <w:pPr>
              <w:jc w:val="center"/>
              <w:ind w:right="40"/>
              <w:spacing w:after="0"/>
              <w:rPr>
                <w:sz w:val="20"/>
                <w:szCs w:val="20"/>
                <w:color w:val="auto"/>
              </w:rPr>
            </w:pPr>
            <w:r>
              <w:rPr>
                <w:rFonts w:ascii="Arial" w:cs="Arial" w:eastAsia="Arial" w:hAnsi="Arial"/>
                <w:sz w:val="14"/>
                <w:szCs w:val="14"/>
                <w:b w:val="1"/>
                <w:bCs w:val="1"/>
                <w:color w:val="auto"/>
                <w:w w:val="91"/>
              </w:rPr>
              <w:t>Years Ended December 31,</w:t>
            </w:r>
          </w:p>
        </w:tc>
      </w:tr>
      <w:tr>
        <w:trPr>
          <w:trHeight w:val="53"/>
        </w:trPr>
        <w:tc>
          <w:tcPr>
            <w:tcW w:w="4280" w:type="dxa"/>
            <w:vAlign w:val="bottom"/>
          </w:tcPr>
          <w:p>
            <w:pPr>
              <w:spacing w:after="0"/>
              <w:rPr>
                <w:sz w:val="4"/>
                <w:szCs w:val="4"/>
                <w:color w:val="auto"/>
              </w:rPr>
            </w:pPr>
          </w:p>
        </w:tc>
        <w:tc>
          <w:tcPr>
            <w:tcW w:w="2100" w:type="dxa"/>
            <w:vAlign w:val="bottom"/>
            <w:gridSpan w:val="2"/>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5"/>
        </w:trPr>
        <w:tc>
          <w:tcPr>
            <w:tcW w:w="4280" w:type="dxa"/>
            <w:vAlign w:val="bottom"/>
          </w:tcPr>
          <w:p>
            <w:pPr>
              <w:spacing w:after="0"/>
              <w:rPr>
                <w:sz w:val="19"/>
                <w:szCs w:val="19"/>
                <w:color w:val="auto"/>
              </w:rPr>
            </w:pPr>
          </w:p>
        </w:tc>
        <w:tc>
          <w:tcPr>
            <w:tcW w:w="2580" w:type="dxa"/>
            <w:vAlign w:val="bottom"/>
            <w:gridSpan w:val="3"/>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9"/>
                <w:szCs w:val="19"/>
                <w:color w:val="auto"/>
              </w:rPr>
            </w:pPr>
          </w:p>
        </w:tc>
        <w:tc>
          <w:tcPr>
            <w:tcW w:w="580" w:type="dxa"/>
            <w:vAlign w:val="bottom"/>
            <w:gridSpan w:val="2"/>
          </w:tcPr>
          <w:p>
            <w:pPr>
              <w:jc w:val="center"/>
              <w:ind w:left="77"/>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9"/>
                <w:szCs w:val="19"/>
                <w:color w:val="auto"/>
              </w:rPr>
            </w:pPr>
          </w:p>
        </w:tc>
      </w:tr>
      <w:tr>
        <w:trPr>
          <w:trHeight w:val="52"/>
        </w:trPr>
        <w:tc>
          <w:tcPr>
            <w:tcW w:w="4280" w:type="dxa"/>
            <w:vAlign w:val="bottom"/>
            <w:tcBorders>
              <w:bottom w:val="single" w:sz="8" w:color="CCEEFF"/>
            </w:tcBorders>
          </w:tcPr>
          <w:p>
            <w:pPr>
              <w:spacing w:after="0"/>
              <w:rPr>
                <w:sz w:val="4"/>
                <w:szCs w:val="4"/>
                <w:color w:val="auto"/>
              </w:rPr>
            </w:pPr>
          </w:p>
        </w:tc>
        <w:tc>
          <w:tcPr>
            <w:tcW w:w="180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1"/>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18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right w:val="single" w:sz="8" w:color="CCEEFF"/>
            </w:tcBorders>
            <w:shd w:val="clear" w:color="auto" w:fill="CCEEFF"/>
          </w:tcPr>
          <w:p>
            <w:pPr>
              <w:spacing w:after="0"/>
              <w:rPr>
                <w:sz w:val="24"/>
                <w:szCs w:val="24"/>
                <w:color w:val="auto"/>
              </w:rPr>
            </w:pPr>
          </w:p>
        </w:tc>
        <w:tc>
          <w:tcPr>
            <w:tcW w:w="480" w:type="dxa"/>
            <w:vAlign w:val="bottom"/>
            <w:tcBorders>
              <w:bottom w:val="single" w:sz="8" w:color="CCEEFF"/>
              <w:right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right w:val="single" w:sz="8" w:color="CCEEFF"/>
            </w:tcBorders>
            <w:shd w:val="clear" w:color="auto" w:fill="CCEEFF"/>
          </w:tcPr>
          <w:p>
            <w:pPr>
              <w:spacing w:after="0"/>
              <w:rPr>
                <w:sz w:val="24"/>
                <w:szCs w:val="24"/>
                <w:color w:val="auto"/>
              </w:rPr>
            </w:pPr>
          </w:p>
        </w:tc>
        <w:tc>
          <w:tcPr>
            <w:tcW w:w="34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r>
      <w:tr>
        <w:trPr>
          <w:trHeight w:val="270"/>
        </w:trPr>
        <w:tc>
          <w:tcPr>
            <w:tcW w:w="4280" w:type="dxa"/>
            <w:vAlign w:val="bottom"/>
          </w:tcPr>
          <w:p>
            <w:pPr>
              <w:ind w:left="180"/>
              <w:spacing w:after="0"/>
              <w:rPr>
                <w:sz w:val="20"/>
                <w:szCs w:val="20"/>
                <w:color w:val="auto"/>
              </w:rPr>
            </w:pPr>
            <w:r>
              <w:rPr>
                <w:rFonts w:ascii="Arial" w:cs="Arial" w:eastAsia="Arial" w:hAnsi="Arial"/>
                <w:sz w:val="18"/>
                <w:szCs w:val="18"/>
                <w:color w:val="auto"/>
              </w:rPr>
              <w:t>Federal</w:t>
            </w:r>
          </w:p>
        </w:tc>
        <w:tc>
          <w:tcPr>
            <w:tcW w:w="1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3"/>
                <w:szCs w:val="23"/>
                <w:color w:val="auto"/>
              </w:rPr>
            </w:pPr>
          </w:p>
        </w:tc>
        <w:tc>
          <w:tcPr>
            <w:tcW w:w="580" w:type="dxa"/>
            <w:vAlign w:val="bottom"/>
            <w:gridSpan w:val="3"/>
          </w:tcPr>
          <w:p>
            <w:pPr>
              <w:jc w:val="center"/>
              <w:ind w:right="320"/>
              <w:spacing w:after="0"/>
              <w:rPr>
                <w:sz w:val="20"/>
                <w:szCs w:val="20"/>
                <w:color w:val="auto"/>
              </w:rPr>
            </w:pPr>
            <w:r>
              <w:rPr>
                <w:rFonts w:ascii="Arial" w:cs="Arial" w:eastAsia="Arial" w:hAnsi="Arial"/>
                <w:sz w:val="18"/>
                <w:szCs w:val="18"/>
                <w:color w:val="auto"/>
                <w:w w:val="92"/>
              </w:rPr>
              <w:t>$—</w:t>
            </w:r>
          </w:p>
        </w:tc>
        <w:tc>
          <w:tcPr>
            <w:tcW w:w="80" w:type="dxa"/>
            <w:vAlign w:val="bottom"/>
          </w:tcPr>
          <w:p>
            <w:pPr>
              <w:spacing w:after="0"/>
              <w:rPr>
                <w:sz w:val="23"/>
                <w:szCs w:val="2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r>
      <w:tr>
        <w:trPr>
          <w:trHeight w:val="54"/>
        </w:trPr>
        <w:tc>
          <w:tcPr>
            <w:tcW w:w="42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8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right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right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540" w:type="dxa"/>
            <w:vAlign w:val="bottom"/>
            <w:tcBorders>
              <w:bottom w:val="single" w:sz="8" w:color="CCEEFF"/>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56"/>
        </w:trPr>
        <w:tc>
          <w:tcPr>
            <w:tcW w:w="4280" w:type="dxa"/>
            <w:vAlign w:val="bottom"/>
          </w:tcPr>
          <w:p>
            <w:pPr>
              <w:ind w:left="180"/>
              <w:spacing w:after="0"/>
              <w:rPr>
                <w:sz w:val="20"/>
                <w:szCs w:val="20"/>
                <w:color w:val="auto"/>
              </w:rPr>
            </w:pPr>
            <w:r>
              <w:rPr>
                <w:rFonts w:ascii="Arial" w:cs="Arial" w:eastAsia="Arial" w:hAnsi="Arial"/>
                <w:sz w:val="18"/>
                <w:szCs w:val="18"/>
                <w:color w:val="auto"/>
              </w:rPr>
              <w:t>Foreign</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gridSpan w:val="3"/>
          </w:tcPr>
          <w:p>
            <w:pPr>
              <w:jc w:val="center"/>
              <w:ind w:right="240"/>
              <w:spacing w:after="0"/>
              <w:rPr>
                <w:sz w:val="20"/>
                <w:szCs w:val="20"/>
                <w:color w:val="auto"/>
              </w:rPr>
            </w:pPr>
            <w:r>
              <w:rPr>
                <w:rFonts w:ascii="Arial" w:cs="Arial" w:eastAsia="Arial" w:hAnsi="Arial"/>
                <w:sz w:val="18"/>
                <w:szCs w:val="18"/>
                <w:color w:val="auto"/>
                <w:w w:val="99"/>
              </w:rPr>
              <w:t>—</w:t>
            </w: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1,321</w:t>
            </w:r>
          </w:p>
        </w:tc>
      </w:tr>
      <w:tr>
        <w:trPr>
          <w:trHeight w:val="61"/>
        </w:trPr>
        <w:tc>
          <w:tcPr>
            <w:tcW w:w="42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r>
      <w:tr>
        <w:trPr>
          <w:trHeight w:val="318"/>
        </w:trPr>
        <w:tc>
          <w:tcPr>
            <w:tcW w:w="4280" w:type="dxa"/>
            <w:vAlign w:val="bottom"/>
            <w:tcBorders>
              <w:bottom w:val="single" w:sz="8" w:color="CCEEFF"/>
            </w:tcBorders>
            <w:shd w:val="clear" w:color="auto" w:fill="CCEEFF"/>
          </w:tcPr>
          <w:p>
            <w:pPr>
              <w:spacing w:after="0"/>
              <w:rPr>
                <w:sz w:val="24"/>
                <w:szCs w:val="24"/>
                <w:color w:val="auto"/>
              </w:rPr>
            </w:pPr>
          </w:p>
        </w:tc>
        <w:tc>
          <w:tcPr>
            <w:tcW w:w="258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right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1,321</w:t>
            </w:r>
          </w:p>
        </w:tc>
      </w:tr>
      <w:tr>
        <w:trPr>
          <w:trHeight w:val="270"/>
        </w:trPr>
        <w:tc>
          <w:tcPr>
            <w:tcW w:w="4280" w:type="dxa"/>
            <w:vAlign w:val="bottom"/>
          </w:tcPr>
          <w:p>
            <w:pPr>
              <w:spacing w:after="0"/>
              <w:rPr>
                <w:sz w:val="20"/>
                <w:szCs w:val="20"/>
                <w:color w:val="auto"/>
              </w:rPr>
            </w:pPr>
            <w:r>
              <w:rPr>
                <w:rFonts w:ascii="Arial" w:cs="Arial" w:eastAsia="Arial" w:hAnsi="Arial"/>
                <w:sz w:val="18"/>
                <w:szCs w:val="18"/>
                <w:color w:val="auto"/>
              </w:rPr>
              <w:t>Deferred</w:t>
            </w:r>
          </w:p>
        </w:tc>
        <w:tc>
          <w:tcPr>
            <w:tcW w:w="1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54"/>
        </w:trPr>
        <w:tc>
          <w:tcPr>
            <w:tcW w:w="4280" w:type="dxa"/>
            <w:vAlign w:val="bottom"/>
          </w:tcPr>
          <w:p>
            <w:pPr>
              <w:spacing w:after="0"/>
              <w:rPr>
                <w:sz w:val="4"/>
                <w:szCs w:val="4"/>
                <w:color w:val="auto"/>
              </w:rPr>
            </w:pPr>
          </w:p>
        </w:tc>
        <w:tc>
          <w:tcPr>
            <w:tcW w:w="2100" w:type="dxa"/>
            <w:vAlign w:val="bottom"/>
            <w:gridSpan w:val="2"/>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258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right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540" w:type="dxa"/>
            <w:vAlign w:val="bottom"/>
            <w:tcBorders>
              <w:bottom w:val="single" w:sz="8" w:color="CCEEFF"/>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70"/>
        </w:trPr>
        <w:tc>
          <w:tcPr>
            <w:tcW w:w="4280" w:type="dxa"/>
            <w:vAlign w:val="bottom"/>
          </w:tcPr>
          <w:p>
            <w:pPr>
              <w:ind w:left="180"/>
              <w:spacing w:after="0"/>
              <w:rPr>
                <w:sz w:val="20"/>
                <w:szCs w:val="20"/>
                <w:color w:val="auto"/>
              </w:rPr>
            </w:pPr>
            <w:r>
              <w:rPr>
                <w:rFonts w:ascii="Arial" w:cs="Arial" w:eastAsia="Arial" w:hAnsi="Arial"/>
                <w:sz w:val="18"/>
                <w:szCs w:val="18"/>
                <w:color w:val="auto"/>
              </w:rPr>
              <w:t>State</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gridSpan w:val="3"/>
          </w:tcPr>
          <w:p>
            <w:pPr>
              <w:jc w:val="center"/>
              <w:ind w:right="24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3"/>
                <w:szCs w:val="2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54"/>
        </w:trPr>
        <w:tc>
          <w:tcPr>
            <w:tcW w:w="42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1800" w:type="dxa"/>
            <w:vAlign w:val="bottom"/>
            <w:shd w:val="clear" w:color="auto" w:fill="CCEEFF"/>
          </w:tcPr>
          <w:p>
            <w:pPr>
              <w:spacing w:after="0"/>
              <w:rPr>
                <w:sz w:val="22"/>
                <w:szCs w:val="22"/>
                <w:color w:val="auto"/>
              </w:rPr>
            </w:pPr>
          </w:p>
        </w:tc>
        <w:tc>
          <w:tcPr>
            <w:tcW w:w="300" w:type="dxa"/>
            <w:vAlign w:val="bottom"/>
            <w:tcBorders>
              <w:right w:val="single" w:sz="8" w:color="CCEEFF"/>
            </w:tcBorders>
            <w:shd w:val="clear" w:color="auto" w:fill="CCEEFF"/>
          </w:tcPr>
          <w:p>
            <w:pPr>
              <w:spacing w:after="0"/>
              <w:rPr>
                <w:sz w:val="22"/>
                <w:szCs w:val="22"/>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22"/>
                <w:szCs w:val="22"/>
                <w:color w:val="auto"/>
              </w:rPr>
            </w:pPr>
          </w:p>
        </w:tc>
        <w:tc>
          <w:tcPr>
            <w:tcW w:w="58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80" w:type="dxa"/>
            <w:vAlign w:val="bottom"/>
            <w:tcBorders>
              <w:right w:val="single" w:sz="8" w:color="CCEEFF"/>
            </w:tcBorders>
            <w:shd w:val="clear" w:color="auto" w:fill="CCEEFF"/>
          </w:tcPr>
          <w:p>
            <w:pPr>
              <w:spacing w:after="0"/>
              <w:rPr>
                <w:sz w:val="22"/>
                <w:szCs w:val="22"/>
                <w:color w:val="auto"/>
              </w:rPr>
            </w:pPr>
          </w:p>
        </w:tc>
        <w:tc>
          <w:tcPr>
            <w:tcW w:w="5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61"/>
        </w:trPr>
        <w:tc>
          <w:tcPr>
            <w:tcW w:w="4280" w:type="dxa"/>
            <w:vAlign w:val="bottom"/>
            <w:tcBorders>
              <w:top w:val="single" w:sz="8" w:color="CCEEFF"/>
            </w:tcBorders>
            <w:shd w:val="clear" w:color="auto" w:fill="CCEEFF"/>
          </w:tcPr>
          <w:p>
            <w:pPr>
              <w:spacing w:after="0"/>
              <w:rPr>
                <w:sz w:val="5"/>
                <w:szCs w:val="5"/>
                <w:color w:val="auto"/>
              </w:rPr>
            </w:pPr>
          </w:p>
        </w:tc>
        <w:tc>
          <w:tcPr>
            <w:tcW w:w="18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right w:val="single" w:sz="8" w:color="CCEEFF"/>
            </w:tcBorders>
            <w:shd w:val="clear" w:color="auto" w:fill="CCEEFF"/>
          </w:tcPr>
          <w:p>
            <w:pPr>
              <w:spacing w:after="0"/>
              <w:rPr>
                <w:sz w:val="5"/>
                <w:szCs w:val="5"/>
                <w:color w:val="auto"/>
              </w:rPr>
            </w:pPr>
          </w:p>
        </w:tc>
        <w:tc>
          <w:tcPr>
            <w:tcW w:w="480" w:type="dxa"/>
            <w:vAlign w:val="bottom"/>
            <w:tcBorders>
              <w:top w:val="single" w:sz="8" w:color="auto"/>
              <w:right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right w:val="single" w:sz="8" w:color="CCEEFF"/>
            </w:tcBorders>
            <w:shd w:val="clear" w:color="auto" w:fill="CCEEFF"/>
          </w:tcPr>
          <w:p>
            <w:pPr>
              <w:spacing w:after="0"/>
              <w:rPr>
                <w:sz w:val="5"/>
                <w:szCs w:val="5"/>
                <w:color w:val="auto"/>
              </w:rPr>
            </w:pPr>
          </w:p>
        </w:tc>
        <w:tc>
          <w:tcPr>
            <w:tcW w:w="340" w:type="dxa"/>
            <w:vAlign w:val="bottom"/>
            <w:tcBorders>
              <w:top w:val="single" w:sz="8" w:color="auto"/>
              <w:right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right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auto"/>
              <w:right w:val="single" w:sz="8" w:color="CCEEFF"/>
            </w:tcBorders>
            <w:shd w:val="clear" w:color="auto" w:fill="CCEEFF"/>
          </w:tcPr>
          <w:p>
            <w:pPr>
              <w:spacing w:after="0"/>
              <w:rPr>
                <w:sz w:val="5"/>
                <w:szCs w:val="5"/>
                <w:color w:val="auto"/>
              </w:rPr>
            </w:pPr>
          </w:p>
        </w:tc>
      </w:tr>
      <w:tr>
        <w:trPr>
          <w:trHeight w:val="270"/>
        </w:trPr>
        <w:tc>
          <w:tcPr>
            <w:tcW w:w="4280" w:type="dxa"/>
            <w:vAlign w:val="bottom"/>
          </w:tcPr>
          <w:p>
            <w:pPr>
              <w:spacing w:after="0"/>
              <w:rPr>
                <w:sz w:val="23"/>
                <w:szCs w:val="23"/>
                <w:color w:val="auto"/>
              </w:rPr>
            </w:pP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gridSpan w:val="3"/>
          </w:tcPr>
          <w:p>
            <w:pPr>
              <w:jc w:val="center"/>
              <w:ind w:right="24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3"/>
                <w:szCs w:val="2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61"/>
        </w:trPr>
        <w:tc>
          <w:tcPr>
            <w:tcW w:w="42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r>
      <w:tr>
        <w:trPr>
          <w:trHeight w:val="291"/>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(benefit) expense</w:t>
            </w:r>
          </w:p>
        </w:tc>
        <w:tc>
          <w:tcPr>
            <w:tcW w:w="2100" w:type="dxa"/>
            <w:vAlign w:val="bottom"/>
            <w:tcBorders>
              <w:right w:val="single" w:sz="8" w:color="CCEEFF"/>
            </w:tcBorders>
            <w:gridSpan w:val="2"/>
            <w:shd w:val="clear" w:color="auto" w:fill="CCEEFF"/>
          </w:tcPr>
          <w:p>
            <w:pPr>
              <w:spacing w:after="0"/>
              <w:rPr>
                <w:sz w:val="24"/>
                <w:szCs w:val="2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(601)</w:t>
            </w:r>
          </w:p>
        </w:tc>
        <w:tc>
          <w:tcPr>
            <w:tcW w:w="120" w:type="dxa"/>
            <w:vAlign w:val="bottom"/>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580" w:type="dxa"/>
            <w:vAlign w:val="bottom"/>
            <w:gridSpan w:val="3"/>
            <w:shd w:val="clear" w:color="auto" w:fill="CCEEFF"/>
          </w:tcPr>
          <w:p>
            <w:pPr>
              <w:jc w:val="center"/>
              <w:ind w:right="320"/>
              <w:spacing w:after="0"/>
              <w:rPr>
                <w:sz w:val="20"/>
                <w:szCs w:val="20"/>
                <w:color w:val="auto"/>
              </w:rPr>
            </w:pPr>
            <w:r>
              <w:rPr>
                <w:rFonts w:ascii="Arial" w:cs="Arial" w:eastAsia="Arial" w:hAnsi="Arial"/>
                <w:sz w:val="18"/>
                <w:szCs w:val="18"/>
                <w:color w:val="auto"/>
                <w:w w:val="92"/>
              </w:rPr>
              <w:t>$—</w:t>
            </w:r>
          </w:p>
        </w:tc>
        <w:tc>
          <w:tcPr>
            <w:tcW w:w="62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1,321</w:t>
            </w:r>
          </w:p>
        </w:tc>
      </w:tr>
      <w:tr>
        <w:trPr>
          <w:trHeight w:val="27"/>
        </w:trPr>
        <w:tc>
          <w:tcPr>
            <w:tcW w:w="428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right w:val="single" w:sz="8" w:color="CCEEFF"/>
            </w:tcBorders>
            <w:shd w:val="clear" w:color="auto" w:fill="CCEEFF"/>
          </w:tcPr>
          <w:p>
            <w:pPr>
              <w:spacing w:after="0"/>
              <w:rPr>
                <w:sz w:val="2"/>
                <w:szCs w:val="2"/>
                <w:color w:val="auto"/>
              </w:rPr>
            </w:pPr>
          </w:p>
        </w:tc>
        <w:tc>
          <w:tcPr>
            <w:tcW w:w="480" w:type="dxa"/>
            <w:vAlign w:val="bottom"/>
            <w:tcBorders>
              <w:top w:val="single" w:sz="8" w:color="auto"/>
              <w:right w:val="single" w:sz="8" w:color="auto"/>
            </w:tcBorders>
            <w:shd w:val="clear" w:color="auto" w:fill="000000"/>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right w:val="single" w:sz="8" w:color="CCEEFF"/>
            </w:tcBorders>
            <w:shd w:val="clear" w:color="auto" w:fill="CCEEFF"/>
          </w:tcPr>
          <w:p>
            <w:pPr>
              <w:spacing w:after="0"/>
              <w:rPr>
                <w:sz w:val="2"/>
                <w:szCs w:val="2"/>
                <w:color w:val="auto"/>
              </w:rPr>
            </w:pPr>
          </w:p>
        </w:tc>
        <w:tc>
          <w:tcPr>
            <w:tcW w:w="340" w:type="dxa"/>
            <w:vAlign w:val="bottom"/>
            <w:tcBorders>
              <w:top w:val="single" w:sz="8" w:color="auto"/>
              <w:right w:val="single" w:sz="8" w:color="CCEEFF"/>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46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auto"/>
              <w:right w:val="single" w:sz="8" w:color="auto"/>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-3634105</wp:posOffset>
            </wp:positionV>
            <wp:extent cx="10287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-3634105</wp:posOffset>
            </wp:positionV>
            <wp:extent cx="10287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-3634105</wp:posOffset>
            </wp:positionV>
            <wp:extent cx="5143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-2331085</wp:posOffset>
            </wp:positionV>
            <wp:extent cx="18859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-2331085</wp:posOffset>
            </wp:positionV>
            <wp:extent cx="18859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-2331085</wp:posOffset>
            </wp:positionV>
            <wp:extent cx="9398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change in the Company’s income tax expense from 2020 to 2021 is due to the Business Combination and settlement of a foreign income tax examination. In 2020, the Company was only subject to minimal LLC entity-level and foreign taxes, whereas in 2021 the Company was also subject to U.S. federal and state income taxes on its allocable share of any taxable income or loss generated subsequent to the Business Combination.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8" w:name="page159"/>
    <w:bookmarkEnd w:id="158"/>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actual income tax expense differs from the expected amount computed by applying the federal statutory corporate tax rate of 21 percent as follows (in thousands):</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13"/>
          </w:tcPr>
          <w:p>
            <w:pPr>
              <w:jc w:val="right"/>
              <w:ind w:right="540"/>
              <w:spacing w:after="0"/>
              <w:rPr>
                <w:sz w:val="20"/>
                <w:szCs w:val="20"/>
                <w:color w:val="auto"/>
              </w:rPr>
            </w:pPr>
            <w:r>
              <w:rPr>
                <w:rFonts w:ascii="Arial" w:cs="Arial" w:eastAsia="Arial" w:hAnsi="Arial"/>
                <w:sz w:val="14"/>
                <w:szCs w:val="14"/>
                <w:b w:val="1"/>
                <w:bCs w:val="1"/>
                <w:color w:val="auto"/>
              </w:rPr>
              <w:t>Years Ended December 31,</w:t>
            </w:r>
          </w:p>
        </w:tc>
      </w:tr>
      <w:tr>
        <w:trPr>
          <w:trHeight w:val="53"/>
        </w:trPr>
        <w:tc>
          <w:tcPr>
            <w:tcW w:w="56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24"/>
        </w:trPr>
        <w:tc>
          <w:tcPr>
            <w:tcW w:w="5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9"/>
                <w:szCs w:val="19"/>
                <w:color w:val="auto"/>
              </w:rPr>
            </w:pPr>
          </w:p>
        </w:tc>
      </w:tr>
      <w:tr>
        <w:trPr>
          <w:trHeight w:val="53"/>
        </w:trPr>
        <w:tc>
          <w:tcPr>
            <w:tcW w:w="56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311"/>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31,844</w:t>
            </w:r>
          </w:p>
        </w:tc>
        <w:tc>
          <w:tcPr>
            <w:tcW w:w="2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CCEEFF"/>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8,154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w:t>
            </w:r>
          </w:p>
        </w:tc>
        <w:tc>
          <w:tcPr>
            <w:tcW w:w="160" w:type="dxa"/>
            <w:vAlign w:val="bottom"/>
            <w:tcBorders>
              <w:bottom w:val="single" w:sz="8" w:color="CCEEFF"/>
            </w:tcBorders>
            <w:shd w:val="clear" w:color="auto" w:fill="CCEEFF"/>
          </w:tcPr>
          <w:p>
            <w:pPr>
              <w:spacing w:after="0"/>
              <w:rPr>
                <w:sz w:val="24"/>
                <w:szCs w:val="24"/>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State blended statutory rate</w:t>
            </w: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8,497</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2,176</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53</w:t>
            </w:r>
          </w:p>
        </w:tc>
      </w:tr>
      <w:tr>
        <w:trPr>
          <w:trHeight w:val="54"/>
        </w:trPr>
        <w:tc>
          <w:tcPr>
            <w:tcW w:w="5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04"/>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LLC flow-through structure</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(10,340)</w:t>
            </w: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(252)</w:t>
            </w: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Income taxed to owners of noncontrolling interests</w:t>
            </w:r>
          </w:p>
        </w:tc>
        <w:tc>
          <w:tcPr>
            <w:tcW w:w="880" w:type="dxa"/>
            <w:vAlign w:val="bottom"/>
            <w:gridSpan w:val="4"/>
          </w:tcPr>
          <w:p>
            <w:pPr>
              <w:jc w:val="right"/>
              <w:ind w:right="180"/>
              <w:spacing w:after="0"/>
              <w:rPr>
                <w:sz w:val="20"/>
                <w:szCs w:val="20"/>
                <w:color w:val="auto"/>
              </w:rPr>
            </w:pPr>
            <w:r>
              <w:rPr>
                <w:rFonts w:ascii="Arial" w:cs="Arial" w:eastAsia="Arial" w:hAnsi="Arial"/>
                <w:sz w:val="18"/>
                <w:szCs w:val="18"/>
                <w:color w:val="auto"/>
              </w:rPr>
              <w:t>(21,762)</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54"/>
        </w:trPr>
        <w:tc>
          <w:tcPr>
            <w:tcW w:w="5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04"/>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tax impact</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60" w:type="dxa"/>
            <w:vAlign w:val="bottom"/>
            <w:tcBorders>
              <w:bottom w:val="single" w:sz="8" w:color="CCEEFF"/>
            </w:tcBorders>
            <w:shd w:val="clear" w:color="auto" w:fill="CCEEFF"/>
          </w:tcPr>
          <w:p>
            <w:pPr>
              <w:spacing w:after="0"/>
              <w:rPr>
                <w:sz w:val="24"/>
                <w:szCs w:val="24"/>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880" w:type="dxa"/>
            <w:vAlign w:val="bottom"/>
            <w:gridSpan w:val="4"/>
          </w:tcPr>
          <w:p>
            <w:pPr>
              <w:jc w:val="right"/>
              <w:ind w:right="180"/>
              <w:spacing w:after="0"/>
              <w:rPr>
                <w:sz w:val="20"/>
                <w:szCs w:val="20"/>
                <w:color w:val="auto"/>
              </w:rPr>
            </w:pPr>
            <w:r>
              <w:rPr>
                <w:rFonts w:ascii="Arial" w:cs="Arial" w:eastAsia="Arial" w:hAnsi="Arial"/>
                <w:sz w:val="18"/>
                <w:szCs w:val="18"/>
                <w:color w:val="auto"/>
              </w:rPr>
              <w:t>(19,669)</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54"/>
        </w:trPr>
        <w:tc>
          <w:tcPr>
            <w:tcW w:w="5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04"/>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permanent items</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R&amp;D credit</w:t>
            </w:r>
          </w:p>
        </w:tc>
        <w:tc>
          <w:tcPr>
            <w:tcW w:w="120" w:type="dxa"/>
            <w:vAlign w:val="bottom"/>
          </w:tcPr>
          <w:p>
            <w:pPr>
              <w:spacing w:after="0"/>
              <w:rPr>
                <w:sz w:val="23"/>
                <w:szCs w:val="23"/>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(751)</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54"/>
        </w:trPr>
        <w:tc>
          <w:tcPr>
            <w:tcW w:w="5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7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2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48"/>
        </w:trPr>
        <w:tc>
          <w:tcPr>
            <w:tcW w:w="56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right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right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r>
      <w:tr>
        <w:trPr>
          <w:trHeight w:val="283"/>
        </w:trPr>
        <w:tc>
          <w:tcPr>
            <w:tcW w:w="5680" w:type="dxa"/>
            <w:vAlign w:val="bottom"/>
          </w:tcPr>
          <w:p>
            <w:pPr>
              <w:spacing w:after="0"/>
              <w:rPr>
                <w:sz w:val="20"/>
                <w:szCs w:val="20"/>
                <w:color w:val="auto"/>
              </w:rPr>
            </w:pPr>
            <w:r>
              <w:rPr>
                <w:rFonts w:ascii="Arial" w:cs="Arial" w:eastAsia="Arial" w:hAnsi="Arial"/>
                <w:sz w:val="18"/>
                <w:szCs w:val="18"/>
                <w:color w:val="auto"/>
              </w:rPr>
              <w:t>Total income tax (benefit)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(601)</w:t>
            </w:r>
          </w:p>
        </w:tc>
        <w:tc>
          <w:tcPr>
            <w:tcW w:w="160" w:type="dxa"/>
            <w:vAlign w:val="bottom"/>
          </w:tcPr>
          <w:p>
            <w:pPr>
              <w:spacing w:after="0"/>
              <w:rPr>
                <w:sz w:val="24"/>
                <w:szCs w:val="24"/>
                <w:color w:val="auto"/>
              </w:rPr>
            </w:pP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1,321</w:t>
            </w:r>
          </w:p>
        </w:tc>
        <w:tc>
          <w:tcPr>
            <w:tcW w:w="160" w:type="dxa"/>
            <w:vAlign w:val="bottom"/>
          </w:tcPr>
          <w:p>
            <w:pPr>
              <w:spacing w:after="0"/>
              <w:rPr>
                <w:sz w:val="24"/>
                <w:szCs w:val="24"/>
                <w:color w:val="auto"/>
              </w:rPr>
            </w:pPr>
          </w:p>
        </w:tc>
      </w:tr>
      <w:tr>
        <w:trPr>
          <w:trHeight w:val="48"/>
        </w:trPr>
        <w:tc>
          <w:tcPr>
            <w:tcW w:w="56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r>
      <w:tr>
        <w:trPr>
          <w:trHeight w:val="318"/>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20" w:type="dxa"/>
            <w:vAlign w:val="bottom"/>
            <w:shd w:val="clear" w:color="auto" w:fill="CCEEFF"/>
          </w:tcPr>
          <w:p>
            <w:pPr>
              <w:spacing w:after="0"/>
              <w:rPr>
                <w:sz w:val="24"/>
                <w:szCs w:val="24"/>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(0.40)%</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139.64%</w:t>
            </w:r>
          </w:p>
        </w:tc>
      </w:tr>
      <w:tr>
        <w:trPr>
          <w:trHeight w:val="338"/>
        </w:trPr>
        <w:tc>
          <w:tcPr>
            <w:tcW w:w="5680" w:type="dxa"/>
            <w:vAlign w:val="bottom"/>
            <w:tcBorders>
              <w:top w:val="single" w:sz="8" w:color="CCEEFF"/>
            </w:tcBorders>
          </w:tcPr>
          <w:p>
            <w:pPr>
              <w:ind w:left="360"/>
              <w:spacing w:after="0"/>
              <w:rPr>
                <w:sz w:val="20"/>
                <w:szCs w:val="20"/>
                <w:color w:val="auto"/>
              </w:rPr>
            </w:pPr>
            <w:r>
              <w:rPr>
                <w:rFonts w:ascii="Arial" w:cs="Arial" w:eastAsia="Arial" w:hAnsi="Arial"/>
                <w:sz w:val="18"/>
                <w:szCs w:val="18"/>
                <w:color w:val="auto"/>
                <w:w w:val="91"/>
              </w:rPr>
              <w:t>The significant components of the net deferred tax assets are as follows:</w:t>
            </w:r>
          </w:p>
        </w:tc>
        <w:tc>
          <w:tcPr>
            <w:tcW w:w="1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339"/>
        </w:trPr>
        <w:tc>
          <w:tcPr>
            <w:tcW w:w="5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gridSpan w:val="7"/>
          </w:tcPr>
          <w:p>
            <w:pPr>
              <w:jc w:val="right"/>
              <w:ind w:right="20"/>
              <w:spacing w:after="0"/>
              <w:rPr>
                <w:sz w:val="20"/>
                <w:szCs w:val="20"/>
                <w:color w:val="auto"/>
              </w:rPr>
            </w:pPr>
            <w:r>
              <w:rPr>
                <w:rFonts w:ascii="Arial" w:cs="Arial" w:eastAsia="Arial" w:hAnsi="Arial"/>
                <w:sz w:val="14"/>
                <w:szCs w:val="14"/>
                <w:b w:val="1"/>
                <w:bCs w:val="1"/>
                <w:color w:val="auto"/>
                <w:w w:val="90"/>
              </w:rPr>
              <w:t>December 31, 2021</w:t>
            </w:r>
          </w:p>
        </w:tc>
      </w:tr>
      <w:tr>
        <w:trPr>
          <w:trHeight w:val="53"/>
        </w:trPr>
        <w:tc>
          <w:tcPr>
            <w:tcW w:w="56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311"/>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r>
      <w:tr>
        <w:trPr>
          <w:trHeight w:val="270"/>
        </w:trPr>
        <w:tc>
          <w:tcPr>
            <w:tcW w:w="5680" w:type="dxa"/>
            <w:vAlign w:val="bottom"/>
          </w:tcPr>
          <w:p>
            <w:pPr>
              <w:ind w:left="180"/>
              <w:spacing w:after="0"/>
              <w:rPr>
                <w:sz w:val="20"/>
                <w:szCs w:val="20"/>
                <w:color w:val="auto"/>
              </w:rPr>
            </w:pPr>
            <w:r>
              <w:rPr>
                <w:rFonts w:ascii="Arial" w:cs="Arial" w:eastAsia="Arial" w:hAnsi="Arial"/>
                <w:sz w:val="18"/>
                <w:szCs w:val="18"/>
                <w:color w:val="auto"/>
              </w:rPr>
              <w:t>Investment in partnership</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6"/>
          </w:tcPr>
          <w:p>
            <w:pPr>
              <w:jc w:val="right"/>
              <w:spacing w:after="0"/>
              <w:rPr>
                <w:sz w:val="20"/>
                <w:szCs w:val="20"/>
                <w:color w:val="auto"/>
              </w:rPr>
            </w:pPr>
            <w:r>
              <w:rPr>
                <w:rFonts w:ascii="Arial" w:cs="Arial" w:eastAsia="Arial" w:hAnsi="Arial"/>
                <w:sz w:val="18"/>
                <w:szCs w:val="18"/>
                <w:color w:val="auto"/>
              </w:rPr>
              <w:t>$112,543</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54"/>
        </w:trPr>
        <w:tc>
          <w:tcPr>
            <w:tcW w:w="5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gridSpan w:val="3"/>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04"/>
        </w:trPr>
        <w:tc>
          <w:tcPr>
            <w:tcW w:w="5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receivable agreement</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right w:val="single" w:sz="8" w:color="CCEEFF"/>
            </w:tcBorders>
            <w:shd w:val="clear" w:color="auto" w:fill="CCEEFF"/>
          </w:tcPr>
          <w:p>
            <w:pPr>
              <w:spacing w:after="0"/>
              <w:rPr>
                <w:sz w:val="24"/>
                <w:szCs w:val="24"/>
                <w:color w:val="auto"/>
              </w:rPr>
            </w:pPr>
          </w:p>
        </w:tc>
        <w:tc>
          <w:tcPr>
            <w:tcW w:w="66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34,203</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r>
      <w:tr>
        <w:trPr>
          <w:trHeight w:val="270"/>
        </w:trPr>
        <w:tc>
          <w:tcPr>
            <w:tcW w:w="5680" w:type="dxa"/>
            <w:vAlign w:val="bottom"/>
          </w:tcPr>
          <w:p>
            <w:pPr>
              <w:ind w:left="180"/>
              <w:spacing w:after="0"/>
              <w:rPr>
                <w:sz w:val="20"/>
                <w:szCs w:val="20"/>
                <w:color w:val="auto"/>
              </w:rPr>
            </w:pPr>
            <w:r>
              <w:rPr>
                <w:rFonts w:ascii="Arial" w:cs="Arial" w:eastAsia="Arial" w:hAnsi="Arial"/>
                <w:sz w:val="18"/>
                <w:szCs w:val="18"/>
                <w:color w:val="auto"/>
              </w:rPr>
              <w:t>Net operating loss carryovers</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4,694</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54"/>
        </w:trPr>
        <w:tc>
          <w:tcPr>
            <w:tcW w:w="5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04"/>
        </w:trPr>
        <w:tc>
          <w:tcPr>
            <w:tcW w:w="5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credit carryovers</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r>
      <w:tr>
        <w:trPr>
          <w:trHeight w:val="270"/>
        </w:trPr>
        <w:tc>
          <w:tcPr>
            <w:tcW w:w="5680" w:type="dxa"/>
            <w:vAlign w:val="bottom"/>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48"/>
        </w:trPr>
        <w:tc>
          <w:tcPr>
            <w:tcW w:w="5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18"/>
        </w:trPr>
        <w:tc>
          <w:tcPr>
            <w:tcW w:w="5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deferred tax asset</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right w:val="single" w:sz="8" w:color="CCEEFF"/>
            </w:tcBorders>
            <w:shd w:val="clear" w:color="auto" w:fill="CCEEFF"/>
          </w:tcPr>
          <w:p>
            <w:pPr>
              <w:spacing w:after="0"/>
              <w:rPr>
                <w:sz w:val="24"/>
                <w:szCs w:val="24"/>
                <w:color w:val="auto"/>
              </w:rPr>
            </w:pPr>
          </w:p>
        </w:tc>
        <w:tc>
          <w:tcPr>
            <w:tcW w:w="66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152,209</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r>
      <w:tr>
        <w:trPr>
          <w:trHeight w:val="270"/>
        </w:trPr>
        <w:tc>
          <w:tcPr>
            <w:tcW w:w="5680" w:type="dxa"/>
            <w:vAlign w:val="bottom"/>
          </w:tcPr>
          <w:p>
            <w:pPr>
              <w:ind w:left="180"/>
              <w:spacing w:after="0"/>
              <w:rPr>
                <w:sz w:val="20"/>
                <w:szCs w:val="20"/>
                <w:color w:val="auto"/>
              </w:rPr>
            </w:pPr>
            <w:r>
              <w:rPr>
                <w:rFonts w:ascii="Arial" w:cs="Arial" w:eastAsia="Arial" w:hAnsi="Arial"/>
                <w:sz w:val="18"/>
                <w:szCs w:val="18"/>
                <w:color w:val="auto"/>
              </w:rPr>
              <w:t>Less: valuation allowance</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23"/>
                <w:szCs w:val="23"/>
                <w:color w:val="auto"/>
              </w:rPr>
            </w:pPr>
          </w:p>
        </w:tc>
      </w:tr>
      <w:tr>
        <w:trPr>
          <w:trHeight w:val="48"/>
        </w:trPr>
        <w:tc>
          <w:tcPr>
            <w:tcW w:w="5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9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tcBorders>
              <w:right w:val="single" w:sz="8" w:color="CCEEFF"/>
            </w:tcBorders>
            <w:shd w:val="clear" w:color="auto" w:fill="CCEEFF"/>
          </w:tcPr>
          <w:p>
            <w:pPr>
              <w:spacing w:after="0"/>
              <w:rPr>
                <w:sz w:val="24"/>
                <w:szCs w:val="24"/>
                <w:color w:val="auto"/>
              </w:rPr>
            </w:pPr>
          </w:p>
        </w:tc>
        <w:tc>
          <w:tcPr>
            <w:tcW w:w="6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152,097</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7"/>
        </w:trPr>
        <w:tc>
          <w:tcPr>
            <w:tcW w:w="56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420" w:type="dxa"/>
            <w:vAlign w:val="bottom"/>
            <w:tcBorders>
              <w:top w:val="single" w:sz="8" w:color="auto"/>
              <w:right w:val="single" w:sz="8" w:color="CCEEFF"/>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-4679950</wp:posOffset>
            </wp:positionV>
            <wp:extent cx="10287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-4679950</wp:posOffset>
            </wp:positionV>
            <wp:extent cx="10287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-4679950</wp:posOffset>
            </wp:positionV>
            <wp:extent cx="514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-1902460</wp:posOffset>
            </wp:positionV>
            <wp:extent cx="10287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As of December 31, 2021, the Company had federal and state net operating loss carry forwards of approximately $17.2 million and $15.5 million, respectively, available to reduce future taxable income, if any. The federal net operating loss carries forward indefinitely and most of the state net operating losses will expire beginning in 2041. The Company also has foreign net operating loss carry forwards of approximately $0.4 million.</w:t>
      </w:r>
    </w:p>
    <w:p>
      <w:pPr>
        <w:spacing w:after="0" w:line="4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As of December 31, 2021, the Company had federal and California research credit carryforwards of $0.6 million and $0.4 million available to reduce future tax. Federal tax credits begin to expire in 2041 and California credits carry forward indefinitely.</w:t>
      </w:r>
    </w:p>
    <w:p>
      <w:pPr>
        <w:spacing w:after="0" w:line="76"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Utilization of the net operating loss and tax credit carryforwards may be subject to an annual limitation due to the ownership change limitations provided by the Internal Revenue Code of 1986, as amended and similar state provisions. An “ownership change” would occur for these purposes if one or more stockholders or groups of stockholders, who own at least 5% of the Company’s stock, increase their ownership by more than 50 percentage points over their lowest ownership percentage within a rolling three-year period. Utilization of federal net operating loss carryforwards is also limited to 80% of the Company’s taxable income in the year of deduction. In addition, a substantial portion of the Company’s state net operating loss is in California, for which there is a temporary suspension of the utilization of net operating loss carryforwards through 2022.</w:t>
      </w:r>
    </w:p>
    <w:p>
      <w:pPr>
        <w:spacing w:after="0" w:line="70"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The Company’s deferred tax asset is primarily attributable to future tax amortization deductions of tax basis created from the Business Combination and future tax receivable agreement (“TRA”) payments. These deferred tax assets generally amortize over 15 years beginning on the payment date. Tax amortization deductions in excess of taxable income from operations result in a net operating loss, which can be carried forward indefinitely for federal tax purposes.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9" w:name="page160"/>
    <w:bookmarkEnd w:id="159"/>
    <w:p>
      <w:pPr>
        <w:ind w:left="30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The deferred tax assets are reduced through the establishment of a valuation allowance if, based upon available evidence, it is determined that it is more-likely-than-not that the deferred tax assets will not be realized. Management assesses the available positive and negative evidence, including history of earnings or losses, loss carryback potential, impact of reversing temporary differences, tax planning strategies, and whether sufficient future taxable income will be generated to permit use of the existing deferred tax assets. Based on the Company’s recent earnings history as well as anticipated future taxable income, management has concluded that it is more-likely-than-not that the U.S. federal and state deferred tax assets will be realized and that a valuation allowance is not needed. The Company’s valuation allowance increased by $0.1 million during 2021 due to losses in foreign jurisdictions. There was no change in valuation allowance during 2020 or 2019.</w:t>
      </w:r>
    </w:p>
    <w:p>
      <w:pPr>
        <w:spacing w:after="0" w:line="73"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 xml:space="preserve">The Company follows the provisions of FASB ASC 740-10,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ASC 740-10 prescribes a comprehensive model for the recognition, measurement, presentation and disclosure in financial statements of any uncertain tax positions that have been taken or expected to be taken on a tax return.</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following table reflects changes in the unrecognized tax benefits since January 1, 2021 (in thousands):</w:t>
      </w: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240" w:type="dxa"/>
            <w:vAlign w:val="bottom"/>
          </w:tcPr>
          <w:p>
            <w:pPr>
              <w:spacing w:after="0"/>
              <w:rPr>
                <w:sz w:val="16"/>
                <w:szCs w:val="16"/>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2021</w:t>
            </w:r>
          </w:p>
        </w:tc>
      </w:tr>
      <w:tr>
        <w:trPr>
          <w:trHeight w:val="53"/>
        </w:trPr>
        <w:tc>
          <w:tcPr>
            <w:tcW w:w="724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311"/>
        </w:trPr>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amount of unrecognized tax benefits as of the beginning of the period</w:t>
            </w:r>
          </w:p>
        </w:tc>
        <w:tc>
          <w:tcPr>
            <w:tcW w:w="4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6"/>
              </w:rPr>
              <w:t>$ —</w:t>
            </w:r>
          </w:p>
        </w:tc>
      </w:tr>
      <w:tr>
        <w:trPr>
          <w:trHeight w:val="270"/>
        </w:trPr>
        <w:tc>
          <w:tcPr>
            <w:tcW w:w="7240" w:type="dxa"/>
            <w:vAlign w:val="bottom"/>
          </w:tcPr>
          <w:p>
            <w:pPr>
              <w:spacing w:after="0"/>
              <w:rPr>
                <w:sz w:val="20"/>
                <w:szCs w:val="20"/>
                <w:color w:val="auto"/>
              </w:rPr>
            </w:pPr>
            <w:r>
              <w:rPr>
                <w:rFonts w:ascii="Arial" w:cs="Arial" w:eastAsia="Arial" w:hAnsi="Arial"/>
                <w:sz w:val="18"/>
                <w:szCs w:val="18"/>
                <w:color w:val="auto"/>
              </w:rPr>
              <w:t>Decreases related to prior year tax provisions</w:t>
            </w:r>
          </w:p>
        </w:tc>
        <w:tc>
          <w:tcPr>
            <w:tcW w:w="420" w:type="dxa"/>
            <w:vAlign w:val="bottom"/>
          </w:tcPr>
          <w:p>
            <w:pPr>
              <w:spacing w:after="0"/>
              <w:rPr>
                <w:sz w:val="23"/>
                <w:szCs w:val="23"/>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r>
      <w:tr>
        <w:trPr>
          <w:trHeight w:val="54"/>
        </w:trPr>
        <w:tc>
          <w:tcPr>
            <w:tcW w:w="7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57"/>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Increases related to current year tax provisions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400" w:type="dxa"/>
            <w:vAlign w:val="bottom"/>
            <w:shd w:val="clear" w:color="auto" w:fill="CCEEFF"/>
          </w:tcPr>
          <w:p>
            <w:pPr>
              <w:spacing w:after="0"/>
              <w:rPr>
                <w:sz w:val="22"/>
                <w:szCs w:val="22"/>
                <w:color w:val="auto"/>
              </w:rPr>
            </w:pPr>
          </w:p>
        </w:tc>
      </w:tr>
      <w:tr>
        <w:trPr>
          <w:trHeight w:val="61"/>
        </w:trPr>
        <w:tc>
          <w:tcPr>
            <w:tcW w:w="72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r>
      <w:tr>
        <w:trPr>
          <w:trHeight w:val="270"/>
        </w:trPr>
        <w:tc>
          <w:tcPr>
            <w:tcW w:w="7240" w:type="dxa"/>
            <w:vAlign w:val="bottom"/>
          </w:tcPr>
          <w:p>
            <w:pPr>
              <w:spacing w:after="0"/>
              <w:rPr>
                <w:sz w:val="20"/>
                <w:szCs w:val="20"/>
                <w:color w:val="auto"/>
              </w:rPr>
            </w:pPr>
            <w:r>
              <w:rPr>
                <w:rFonts w:ascii="Arial" w:cs="Arial" w:eastAsia="Arial" w:hAnsi="Arial"/>
                <w:sz w:val="18"/>
                <w:szCs w:val="18"/>
                <w:color w:val="auto"/>
              </w:rPr>
              <w:t>Gross amount of unrecognized tax benefits as of the end of the period</w:t>
            </w: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188</w:t>
            </w:r>
          </w:p>
        </w:tc>
        <w:tc>
          <w:tcPr>
            <w:tcW w:w="400" w:type="dxa"/>
            <w:vAlign w:val="bottom"/>
          </w:tcPr>
          <w:p>
            <w:pPr>
              <w:spacing w:after="0"/>
              <w:rPr>
                <w:sz w:val="23"/>
                <w:szCs w:val="23"/>
                <w:color w:val="auto"/>
              </w:rPr>
            </w:pPr>
          </w:p>
        </w:tc>
      </w:tr>
      <w:tr>
        <w:trPr>
          <w:trHeight w:val="21"/>
        </w:trPr>
        <w:tc>
          <w:tcPr>
            <w:tcW w:w="7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-848360</wp:posOffset>
            </wp:positionV>
            <wp:extent cx="10287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8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As of December 31, 2021, the Company has unrecognized tax benefits of approximately $0.2 million, which would affect its effective tax rate if recognized. It is unlikely that the amount of liability for unrecognized tax benefits will significantly change over the next 12 months. It is the Company’s policy to include penalties and interest expense related to income taxes as a component of other expense and interest expense, respectively, as necessary.</w:t>
      </w:r>
    </w:p>
    <w:p>
      <w:pPr>
        <w:spacing w:after="0" w:line="80"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The Company and its subsidiaries file income tax returns with the U.S. federal government, various U.S. states, and several foreign jurisdictions. The Company’s U.S. federal and state tax returns remain open to examination for 2018 through 2021. In addition, tax returns remain open to examination in non-U.S. subsidiaries, including Canada.</w:t>
      </w:r>
    </w:p>
    <w:p>
      <w:pPr>
        <w:spacing w:after="0" w:line="29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The Business Combination was accomplished through what is commonly referred to as an “Up-C” structure, which is often used by partnerships and limited liability companies undertaking an initial public offering. The Up-C structure allows the current WMH equity holders to retain their equity ownership in WMH, an entity that is classified as a partnership for U.S. federal income tax purposes, in the form of post-merger WMH units and provides potential future tax benefits for both WM Technology, Inc. and the post-merger WMH equity holders when they ultimately exchange their pass-through interests for shares of Class A common stock. Additionally, the Company could obtain future increases in its tax basis of the assets of WMH when such units are redeemed or exchanged by the continuing members. This increase in tax basis may have the effect of reducing the amounts paid in the future to various tax authorities. The increase in tax basis may also decrease gains (or increase losses) on future dispositions of certain capital assets to the extent tax basis is allocated to those capital assets.</w:t>
      </w:r>
    </w:p>
    <w:p>
      <w:pPr>
        <w:spacing w:after="0" w:line="60"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In connection with the Business Combination, the Company entered into a Tax Receivable Agreement (“TRA”) with continuing members that provides for a payment to the continuing members of 85% of the amount of tax benefits, if any, that WM Technology, Inc. realizes, or is deemed to realize, as a result of redemptions or exchanges of WMH units. In connection with such potential future tax benefits resulting from the Business Combination, the Company has established a deferred tax asset for the additional tax basis and a corresponding TRA liability of 85% of the expected benefit. The remaining 15% is recorded within paid-in capital. To date, no payments have been made with respect to the TRA.</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sectPr>
      <w:pgSz w:w="11900" w:h="16838" w:orient="portrait"/>
      <w:cols w:equalWidth="0" w:num="1">
        <w:col w:w="9019"/>
      </w:cols>
      <w:pgMar w:left="144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1)"/>
      <w:numFmt w:val="lowerRoman"/>
      <w:start w:val="2"/>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amp;"/>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1)"/>
      <w:numFmt w:val="decimal"/>
      <w:start w:val="1"/>
    </w:lvl>
  </w:abstractNum>
  <w:abstractNum w:abstractNumId="20">
    <w:nsid w:val="374A3FE6"/>
    <w:multiLevelType w:val="hybridMultilevel"/>
    <w:lvl w:ilvl="0">
      <w:lvlJc w:val="left"/>
      <w:lvlText w:val="(%1)"/>
      <w:numFmt w:val="lowerLetter"/>
      <w:start w:val="3"/>
    </w:lvl>
  </w:abstractNum>
  <w:abstractNum w:abstractNumId="21">
    <w:nsid w:val="4F4EF005"/>
    <w:multiLevelType w:val="hybridMultilevel"/>
    <w:lvl w:ilvl="0">
      <w:lvlJc w:val="left"/>
      <w:lvlText w:val="(%1)"/>
      <w:numFmt w:val="decimal"/>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1"/>
      <w:numFmt w:val="bullet"/>
      <w:start w:val="1"/>
    </w:lvl>
  </w:abstractNum>
  <w:abstractNum w:abstractNumId="25">
    <w:nsid w:val="39386575"/>
    <w:multiLevelType w:val="hybridMultilevel"/>
    <w:lvl w:ilvl="0">
      <w:lvlJc w:val="left"/>
      <w:lvlText w:val="1"/>
      <w:numFmt w:val="bullet"/>
      <w:start w:val="1"/>
    </w:lvl>
  </w:abstractNum>
  <w:abstractNum w:abstractNumId="26">
    <w:nsid w:val="1CF10FD8"/>
    <w:multiLevelType w:val="hybridMultilevel"/>
    <w:lvl w:ilvl="0">
      <w:lvlJc w:val="left"/>
      <w:lvlText w:val="1"/>
      <w:numFmt w:val="bullet"/>
      <w:start w:val="1"/>
    </w:lvl>
  </w:abstractNum>
  <w:abstractNum w:abstractNumId="27">
    <w:nsid w:val="180115BE"/>
    <w:multiLevelType w:val="hybridMultilevel"/>
    <w:lvl w:ilvl="0">
      <w:lvlJc w:val="left"/>
      <w:lvlText w:val="(%1)"/>
      <w:numFmt w:val="lowerRoman"/>
      <w:start w:val="6"/>
    </w:lvl>
  </w:abstractNum>
  <w:abstractNum w:abstractNumId="28">
    <w:nsid w:val="235BA861"/>
    <w:multiLevelType w:val="hybridMultilevel"/>
    <w:lvl w:ilvl="0">
      <w:lvlJc w:val="left"/>
      <w:lvlText w:val="%1"/>
      <w:numFmt w:val="decimal"/>
      <w:start w:val="12"/>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
      <w:numFmt w:val="bullet"/>
      <w:start w:val="1"/>
    </w:lvl>
    <w:lvl w:ilvl="1">
      <w:lvlJc w:val="left"/>
      <w:lvlText w:val="○"/>
      <w:numFmt w:val="bullet"/>
      <w:start w:val="1"/>
    </w:lvl>
  </w:abstractNum>
  <w:abstractNum w:abstractNumId="31">
    <w:nsid w:val="15B5AF5C"/>
    <w:multiLevelType w:val="hybridMultilevel"/>
    <w:lvl w:ilvl="0">
      <w:lvlJc w:val="left"/>
      <w:lvlText w:val="•"/>
      <w:numFmt w:val="bullet"/>
      <w:start w:val="1"/>
    </w:lvl>
    <w:lvl w:ilvl="1">
      <w:lvlJc w:val="left"/>
      <w:lvlText w:val="○"/>
      <w:numFmt w:val="bullet"/>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
      <w:numFmt w:val="bullet"/>
      <w:start w:val="1"/>
    </w:lvl>
  </w:abstractNum>
  <w:abstractNum w:abstractNumId="35">
    <w:nsid w:val="3F6AB60F"/>
    <w:multiLevelType w:val="hybridMultilevel"/>
    <w:lvl w:ilvl="0">
      <w:lvlJc w:val="left"/>
      <w:lvlText w:val="&amp;"/>
      <w:numFmt w:val="bullet"/>
      <w:start w:val="1"/>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
      <w:numFmt w:val="bullet"/>
      <w:start w:val="1"/>
    </w:lvl>
  </w:abstractNum>
  <w:abstractNum w:abstractNumId="41">
    <w:nsid w:val="5FF87E05"/>
    <w:multiLevelType w:val="hybridMultilevel"/>
    <w:lvl w:ilvl="0">
      <w:lvlJc w:val="left"/>
      <w:lvlText w:val="•"/>
      <w:numFmt w:val="bullet"/>
      <w:start w:val="1"/>
    </w:lvl>
  </w:abstractNum>
  <w:abstractNum w:abstractNumId="42">
    <w:nsid w:val="2F305DEF"/>
    <w:multiLevelType w:val="hybridMultilevel"/>
    <w:lvl w:ilvl="0">
      <w:lvlJc w:val="left"/>
      <w:lvlText w:val="(%1)"/>
      <w:numFmt w:val="decimal"/>
      <w:start w:val="1"/>
    </w:lvl>
  </w:abstractNum>
  <w:abstractNum w:abstractNumId="43">
    <w:nsid w:val="25A70BF7"/>
    <w:multiLevelType w:val="hybridMultilevel"/>
    <w:lvl w:ilvl="0">
      <w:lvlJc w:val="left"/>
      <w:lvlText w:val="(%1)"/>
      <w:numFmt w:val="upperLetter"/>
      <w:start w:val="1"/>
    </w:lvl>
  </w:abstractNum>
  <w:abstractNum w:abstractNumId="44">
    <w:nsid w:val="1DBABF00"/>
    <w:multiLevelType w:val="hybridMultilevel"/>
    <w:lvl w:ilvl="0">
      <w:lvlJc w:val="left"/>
      <w:lvlText w:val="(%1)"/>
      <w:numFmt w:val="decimal"/>
      <w:start w:val="1"/>
    </w:lvl>
  </w:abstractNum>
  <w:abstractNum w:abstractNumId="45">
    <w:nsid w:val="4AD084E9"/>
    <w:multiLevelType w:val="hybridMultilevel"/>
    <w:lvl w:ilvl="0">
      <w:lvlJc w:val="left"/>
      <w:lvlText w:val="(%1)"/>
      <w:numFmt w:val="lowerRoman"/>
      <w:start w:val="3"/>
    </w:lvl>
  </w:abstractNum>
  <w:abstractNum w:abstractNumId="46">
    <w:nsid w:val="1F48EAA1"/>
    <w:multiLevelType w:val="hybridMultilevel"/>
    <w:lvl w:ilvl="0">
      <w:lvlJc w:val="left"/>
      <w:lvlText w:val="•"/>
      <w:numFmt w:val="bullet"/>
      <w:start w:val="1"/>
    </w:lvl>
  </w:abstractNum>
  <w:abstractNum w:abstractNumId="47">
    <w:nsid w:val="1381823A"/>
    <w:multiLevelType w:val="hybridMultilevel"/>
    <w:lvl w:ilvl="0">
      <w:lvlJc w:val="left"/>
      <w:lvlText w:val="•"/>
      <w:numFmt w:val="bullet"/>
      <w:start w:val="1"/>
    </w:lvl>
  </w:abstractNum>
  <w:abstractNum w:abstractNumId="48">
    <w:nsid w:val="5DB70AE5"/>
    <w:multiLevelType w:val="hybridMultilevel"/>
    <w:lvl w:ilvl="0">
      <w:lvlJc w:val="left"/>
      <w:lvlText w:val="•"/>
      <w:numFmt w:val="bullet"/>
      <w:start w:val="1"/>
    </w:lvl>
  </w:abstractNum>
  <w:abstractNum w:abstractNumId="49">
    <w:nsid w:val="100F8FCA"/>
    <w:multiLevelType w:val="hybridMultilevel"/>
    <w:lvl w:ilvl="0">
      <w:lvlJc w:val="left"/>
      <w:lvlText w:val="•"/>
      <w:numFmt w:val="bullet"/>
      <w:start w:val="1"/>
    </w:lvl>
  </w:abstractNum>
  <w:abstractNum w:abstractNumId="50">
    <w:nsid w:val="6590700B"/>
    <w:multiLevelType w:val="hybridMultilevel"/>
    <w:lvl w:ilvl="0">
      <w:lvlJc w:val="left"/>
      <w:lvlText w:val="(%1)"/>
      <w:numFmt w:val="decimal"/>
      <w:start w:val="1"/>
    </w:lvl>
  </w:abstractNum>
  <w:abstractNum w:abstractNumId="51">
    <w:nsid w:val="15014ACB"/>
    <w:multiLevelType w:val="hybridMultilevel"/>
    <w:lvl w:ilvl="0">
      <w:lvlJc w:val="left"/>
      <w:lvlText w:val="(%1)"/>
      <w:numFmt w:val="decimal"/>
      <w:start w:val="3"/>
    </w:lvl>
  </w:abstractNum>
  <w:abstractNum w:abstractNumId="52">
    <w:nsid w:val="5F5E7FD0"/>
    <w:multiLevelType w:val="hybridMultilevel"/>
    <w:lvl w:ilvl="0">
      <w:lvlJc w:val="left"/>
      <w:lvlText w:val="(%1)"/>
      <w:numFmt w:val="lowerRoman"/>
      <w:start w:val="2"/>
    </w:lvl>
  </w:abstractNum>
  <w:abstractNum w:abstractNumId="53">
    <w:nsid w:val="98A3148"/>
    <w:multiLevelType w:val="hybridMultilevel"/>
    <w:lvl w:ilvl="0">
      <w:lvlJc w:val="left"/>
      <w:lvlText w:val="*"/>
      <w:numFmt w:val="bullet"/>
      <w:start w:val="1"/>
    </w:lvl>
  </w:abstractNum>
  <w:abstractNum w:abstractNumId="54">
    <w:nsid w:val="799D0247"/>
    <w:multiLevelType w:val="hybridMultilevel"/>
    <w:lvl w:ilvl="0">
      <w:lvlJc w:val="left"/>
      <w:lvlText w:val="(%1)"/>
      <w:numFmt w:val="decimal"/>
      <w:start w:val="1"/>
    </w:lvl>
  </w:abstractNum>
  <w:abstractNum w:abstractNumId="55">
    <w:nsid w:val="6B94764"/>
    <w:multiLevelType w:val="hybridMultilevel"/>
    <w:lvl w:ilvl="0">
      <w:lvlJc w:val="left"/>
      <w:lvlText w:val="•"/>
      <w:numFmt w:val="bullet"/>
      <w:start w:val="1"/>
    </w:lvl>
  </w:abstractNum>
  <w:abstractNum w:abstractNumId="56">
    <w:nsid w:val="42C296BD"/>
    <w:multiLevelType w:val="hybridMultilevel"/>
    <w:lvl w:ilvl="0">
      <w:lvlJc w:val="left"/>
      <w:lvlText w:val="•"/>
      <w:numFmt w:val="bullet"/>
      <w:start w:val="1"/>
    </w:lvl>
  </w:abstractNum>
  <w:abstractNum w:abstractNumId="57">
    <w:nsid w:val="168E121F"/>
    <w:multiLevelType w:val="hybridMultilevel"/>
    <w:lvl w:ilvl="0">
      <w:lvlJc w:val="left"/>
      <w:lvlText w:val="•"/>
      <w:numFmt w:val="bullet"/>
      <w:start w:val="1"/>
    </w:lvl>
  </w:abstractNum>
  <w:abstractNum w:abstractNumId="58">
    <w:nsid w:val="1EBA5D23"/>
    <w:multiLevelType w:val="hybridMultilevel"/>
    <w:lvl w:ilvl="0">
      <w:lvlJc w:val="left"/>
      <w:lvlText w:val="•"/>
      <w:numFmt w:val="bullet"/>
      <w:start w:val="1"/>
    </w:lvl>
  </w:abstractNum>
  <w:abstractNum w:abstractNumId="59">
    <w:nsid w:val="661E3F1E"/>
    <w:multiLevelType w:val="hybridMultilevel"/>
    <w:lvl w:ilvl="0">
      <w:lvlJc w:val="left"/>
      <w:lvlText w:val="•"/>
      <w:numFmt w:val="bullet"/>
      <w:start w:val="1"/>
    </w:lvl>
  </w:abstractNum>
  <w:abstractNum w:abstractNumId="60">
    <w:nsid w:val="5DC79EA8"/>
    <w:multiLevelType w:val="hybridMultilevel"/>
    <w:lvl w:ilvl="0">
      <w:lvlJc w:val="left"/>
      <w:lvlText w:val="•"/>
      <w:numFmt w:val="bullet"/>
      <w:start w:val="1"/>
    </w:lvl>
  </w:abstractNum>
  <w:abstractNum w:abstractNumId="61">
    <w:nsid w:val="540A471C"/>
    <w:multiLevelType w:val="hybridMultilevel"/>
    <w:lvl w:ilvl="0">
      <w:lvlJc w:val="left"/>
      <w:lvlText w:val="(%1)"/>
      <w:numFmt w:val="decimal"/>
      <w:start w:val="2"/>
    </w:lvl>
  </w:abstractNum>
  <w:abstractNum w:abstractNumId="62">
    <w:nsid w:val="7BD3EE7B"/>
    <w:multiLevelType w:val="hybridMultilevel"/>
    <w:lvl w:ilvl="0">
      <w:lvlJc w:val="left"/>
      <w:lvlText w:val="•"/>
      <w:numFmt w:val="bullet"/>
      <w:start w:val="1"/>
    </w:lvl>
  </w:abstractNum>
  <w:abstractNum w:abstractNumId="63">
    <w:nsid w:val="51D9C564"/>
    <w:multiLevelType w:val="hybridMultilevel"/>
    <w:lvl w:ilvl="0">
      <w:lvlJc w:val="left"/>
      <w:lvlText w:val="%1"/>
      <w:numFmt w:val="decimal"/>
      <w:start w:val="21"/>
    </w:lvl>
  </w:abstractNum>
  <w:abstractNum w:abstractNumId="64">
    <w:nsid w:val="613EFDC5"/>
    <w:multiLevelType w:val="hybridMultilevel"/>
    <w:lvl w:ilvl="0">
      <w:lvlJc w:val="left"/>
      <w:lvlText w:val="(%1)"/>
      <w:numFmt w:val="decimal"/>
      <w:start w:val="2"/>
    </w:lvl>
  </w:abstractNum>
  <w:abstractNum w:abstractNumId="65">
    <w:nsid w:val="BF72B14"/>
    <w:multiLevelType w:val="hybridMultilevel"/>
    <w:lvl w:ilvl="0">
      <w:lvlJc w:val="left"/>
      <w:lvlText w:val="•"/>
      <w:numFmt w:val="bullet"/>
      <w:start w:val="1"/>
    </w:lvl>
  </w:abstractNum>
  <w:abstractNum w:abstractNumId="66">
    <w:nsid w:val="11447B73"/>
    <w:multiLevelType w:val="hybridMultilevel"/>
    <w:lvl w:ilvl="0">
      <w:lvlJc w:val="left"/>
      <w:lvlText w:val="•"/>
      <w:numFmt w:val="bullet"/>
      <w:start w:val="1"/>
    </w:lvl>
  </w:abstractNum>
  <w:abstractNum w:abstractNumId="67">
    <w:nsid w:val="42963E5A"/>
    <w:multiLevelType w:val="hybridMultilevel"/>
    <w:lvl w:ilvl="0">
      <w:lvlJc w:val="left"/>
      <w:lvlText w:val="•"/>
      <w:numFmt w:val="bullet"/>
      <w:start w:val="1"/>
    </w:lvl>
  </w:abstractNum>
  <w:abstractNum w:abstractNumId="68">
    <w:nsid w:val="A0382C5"/>
    <w:multiLevelType w:val="hybridMultilevel"/>
    <w:lvl w:ilvl="0">
      <w:lvlJc w:val="left"/>
      <w:lvlText w:val="•"/>
      <w:numFmt w:val="bullet"/>
      <w:start w:val="1"/>
    </w:lvl>
  </w:abstractNum>
  <w:abstractNum w:abstractNumId="69">
    <w:nsid w:val="8F2B15E"/>
    <w:multiLevelType w:val="hybridMultilevel"/>
    <w:lvl w:ilvl="0">
      <w:lvlJc w:val="left"/>
      <w:lvlText w:val="1"/>
      <w:numFmt w:val="bullet"/>
      <w:start w:val="1"/>
    </w:lvl>
  </w:abstractNum>
  <w:abstractNum w:abstractNumId="70">
    <w:nsid w:val="1A32234B"/>
    <w:multiLevelType w:val="hybridMultilevel"/>
    <w:lvl w:ilvl="0">
      <w:lvlJc w:val="left"/>
      <w:lvlText w:val="%1."/>
      <w:numFmt w:val="decimal"/>
      <w:start w:val="1"/>
    </w:lvl>
  </w:abstractNum>
  <w:abstractNum w:abstractNumId="71">
    <w:nsid w:val="3B0FD379"/>
    <w:multiLevelType w:val="hybridMultilevel"/>
    <w:lvl w:ilvl="0">
      <w:lvlJc w:val="left"/>
      <w:lvlText w:val="%1."/>
      <w:numFmt w:val="decimal"/>
      <w:start w:val="2"/>
    </w:lvl>
  </w:abstractNum>
  <w:abstractNum w:abstractNumId="72">
    <w:nsid w:val="68EB2F63"/>
    <w:multiLevelType w:val="hybridMultilevel"/>
    <w:lvl w:ilvl="0">
      <w:lvlJc w:val="left"/>
      <w:lvlText w:val="•"/>
      <w:numFmt w:val="bullet"/>
      <w:start w:val="1"/>
    </w:lvl>
  </w:abstractNum>
  <w:abstractNum w:abstractNumId="73">
    <w:nsid w:val="4962813B"/>
    <w:multiLevelType w:val="hybridMultilevel"/>
    <w:lvl w:ilvl="0">
      <w:lvlJc w:val="left"/>
      <w:lvlText w:val="•"/>
      <w:numFmt w:val="bullet"/>
      <w:start w:val="1"/>
    </w:lvl>
  </w:abstractNum>
  <w:abstractNum w:abstractNumId="74">
    <w:nsid w:val="60B6DF70"/>
    <w:multiLevelType w:val="hybridMultilevel"/>
    <w:lvl w:ilvl="0">
      <w:lvlJc w:val="left"/>
      <w:lvlText w:val="(%1)"/>
      <w:numFmt w:val="decimal"/>
      <w:start w:val="1"/>
    </w:lvl>
  </w:abstractNum>
  <w:abstractNum w:abstractNumId="75">
    <w:nsid w:val="6A5EE64"/>
    <w:multiLevelType w:val="hybridMultilevel"/>
    <w:lvl w:ilvl="0">
      <w:lvlJc w:val="left"/>
      <w:lvlText w:val="%1."/>
      <w:numFmt w:val="decimal"/>
      <w:start w:val="3"/>
    </w:lvl>
  </w:abstractNum>
  <w:abstractNum w:abstractNumId="76">
    <w:nsid w:val="14330624"/>
    <w:multiLevelType w:val="hybridMultilevel"/>
    <w:lvl w:ilvl="0">
      <w:lvlJc w:val="left"/>
      <w:lvlText w:val="%1."/>
      <w:numFmt w:val="decimal"/>
      <w:start w:val="4"/>
    </w:lvl>
  </w:abstractNum>
  <w:abstractNum w:abstractNumId="77">
    <w:nsid w:val="7FFFCA11"/>
    <w:multiLevelType w:val="hybridMultilevel"/>
    <w:lvl w:ilvl="0">
      <w:lvlJc w:val="left"/>
      <w:lvlText w:val="%1."/>
      <w:numFmt w:val="decimal"/>
      <w:start w:val="5"/>
    </w:lvl>
  </w:abstractNum>
  <w:abstractNum w:abstractNumId="78">
    <w:nsid w:val="1A27709E"/>
    <w:multiLevelType w:val="hybridMultilevel"/>
    <w:lvl w:ilvl="0">
      <w:lvlJc w:val="left"/>
      <w:lvlText w:val="%1."/>
      <w:numFmt w:val="decimal"/>
      <w:start w:val="6"/>
    </w:lvl>
  </w:abstractNum>
  <w:abstractNum w:abstractNumId="79">
    <w:nsid w:val="71EA1109"/>
    <w:multiLevelType w:val="hybridMultilevel"/>
    <w:lvl w:ilvl="0">
      <w:lvlJc w:val="left"/>
      <w:lvlText w:val="•"/>
      <w:numFmt w:val="bullet"/>
      <w:start w:val="1"/>
    </w:lvl>
  </w:abstractNum>
  <w:abstractNum w:abstractNumId="80">
    <w:nsid w:val="100F59DC"/>
    <w:multiLevelType w:val="hybridMultilevel"/>
    <w:lvl w:ilvl="0">
      <w:lvlJc w:val="left"/>
      <w:lvlText w:val="•"/>
      <w:numFmt w:val="bullet"/>
      <w:start w:val="1"/>
    </w:lvl>
  </w:abstractNum>
  <w:abstractNum w:abstractNumId="81">
    <w:nsid w:val="7FB7E0AA"/>
    <w:multiLevelType w:val="hybridMultilevel"/>
    <w:lvl w:ilvl="0">
      <w:lvlJc w:val="left"/>
      <w:lvlText w:val="%1."/>
      <w:numFmt w:val="decimal"/>
      <w:start w:val="7"/>
    </w:lvl>
  </w:abstractNum>
  <w:abstractNum w:abstractNumId="82">
    <w:nsid w:val="6EB5BD4"/>
    <w:multiLevelType w:val="hybridMultilevel"/>
    <w:lvl w:ilvl="0">
      <w:lvlJc w:val="left"/>
      <w:lvlText w:val="(%1)"/>
      <w:numFmt w:val="decimal"/>
      <w:start w:val="1"/>
    </w:lvl>
  </w:abstractNum>
  <w:abstractNum w:abstractNumId="83">
    <w:nsid w:val="6F6DD9AC"/>
    <w:multiLevelType w:val="hybridMultilevel"/>
    <w:lvl w:ilvl="0">
      <w:lvlJc w:val="left"/>
      <w:lvlText w:val="(%1)"/>
      <w:numFmt w:val="decimal"/>
      <w:start w:val="1"/>
    </w:lvl>
  </w:abstractNum>
  <w:abstractNum w:abstractNumId="84">
    <w:nsid w:val="94211F2"/>
    <w:multiLevelType w:val="hybridMultilevel"/>
    <w:lvl w:ilvl="0">
      <w:lvlJc w:val="left"/>
      <w:lvlText w:val="%1."/>
      <w:numFmt w:val="decimal"/>
      <w:start w:val="8"/>
    </w:lvl>
  </w:abstractNum>
  <w:abstractNum w:abstractNumId="85">
    <w:nsid w:val="885E1B"/>
    <w:multiLevelType w:val="hybridMultilevel"/>
    <w:lvl w:ilvl="0">
      <w:lvlJc w:val="left"/>
      <w:lvlText w:val="%1."/>
      <w:numFmt w:val="decimal"/>
      <w:start w:val="9"/>
    </w:lvl>
  </w:abstractNum>
  <w:abstractNum w:abstractNumId="86">
    <w:nsid w:val="76272110"/>
    <w:multiLevelType w:val="hybridMultilevel"/>
    <w:lvl w:ilvl="0">
      <w:lvlJc w:val="left"/>
      <w:lvlText w:val="¹"/>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2022-05-06T05:27:24Z</dcterms:created>
  <dcterms:modified xsi:type="dcterms:W3CDTF">2022-05-06T05:27:24Z</dcterms:modified>
</cp:coreProperties>
</file>