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1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1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WM TECHNOLOGY, INC.</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jc w:val="center"/>
        <w:ind w:right="169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Class A Common Stock</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jc w:val="center"/>
        <w:ind w:right="169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92971A109</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374"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left="540" w:right="7819" w:hanging="6"/>
        <w:spacing w:after="0" w:line="612" w:lineRule="auto"/>
        <w:tabs>
          <w:tab w:leader="none" w:pos="9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0" w:lineRule="exact"/>
        <w:rPr>
          <w:rFonts w:ascii="Courier New" w:cs="Courier New" w:eastAsia="Courier New" w:hAnsi="Courier New"/>
          <w:sz w:val="16"/>
          <w:szCs w:val="16"/>
          <w:color w:val="auto"/>
        </w:rPr>
      </w:pPr>
    </w:p>
    <w:p>
      <w:pPr>
        <w:ind w:right="1699"/>
        <w:spacing w:after="0" w:line="274"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16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jc w:val="both"/>
        <w:ind w:right="1819"/>
        <w:spacing w:after="0" w:line="292"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No.92971A109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16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spacing w:after="0" w:line="2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I.R.S. # 36-3145972</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9"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ectPr>
          <w:pgSz w:w="11900" w:h="16838" w:orient="portrait"/>
          <w:cols w:equalWidth="0" w:num="1">
            <w:col w:w="10139"/>
          </w:cols>
          <w:pgMar w:left="320" w:top="1028"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tbl>
      <w:tblPr>
        <w:tblLayout w:type="fixed"/>
        <w:tblInd w:w="220" w:type="dxa"/>
        <w:tblCellMar>
          <w:top w:w="0" w:type="dxa"/>
          <w:left w:w="0" w:type="dxa"/>
          <w:bottom w:w="0" w:type="dxa"/>
          <w:right w:w="0" w:type="dxa"/>
        </w:tblCellMar>
      </w:tblPr>
      <w:tr>
        <w:trPr>
          <w:trHeight w:val="192"/>
        </w:trPr>
        <w:tc>
          <w:tcPr>
            <w:tcW w:w="1480" w:type="dxa"/>
            <w:vAlign w:val="bottom"/>
          </w:tcPr>
          <w:p>
            <w:pPr>
              <w:ind w:left="100"/>
              <w:spacing w:after="0" w:line="192" w:lineRule="exact"/>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line="192" w:lineRule="exact"/>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2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vMerge w:val="continue"/>
          </w:tcPr>
          <w:p>
            <w:pPr>
              <w:spacing w:after="0"/>
              <w:rPr>
                <w:sz w:val="17"/>
                <w:szCs w:val="17"/>
                <w:color w:val="auto"/>
              </w:rPr>
            </w:pPr>
          </w:p>
        </w:tc>
        <w:tc>
          <w:tcPr>
            <w:tcW w:w="6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5,995,687</w:t>
            </w:r>
          </w:p>
        </w:tc>
        <w:tc>
          <w:tcPr>
            <w:tcW w:w="0" w:type="dxa"/>
            <w:vAlign w:val="bottom"/>
          </w:tcPr>
          <w:p>
            <w:pPr>
              <w:spacing w:after="0"/>
              <w:rPr>
                <w:sz w:val="1"/>
                <w:szCs w:val="1"/>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72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7.</w:t>
            </w:r>
            <w:r>
              <w:rPr>
                <w:rFonts w:ascii="Courier New" w:cs="Courier New" w:eastAsia="Courier New" w:hAnsi="Courier New"/>
                <w:sz w:val="1"/>
                <w:szCs w:val="1"/>
                <w:color w:val="auto"/>
              </w:rPr>
              <w:t>--------------------------------------------------------------</w:t>
            </w:r>
          </w:p>
        </w:tc>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vMerge w:val="continue"/>
          </w:tcPr>
          <w:p>
            <w:pPr>
              <w:spacing w:after="0"/>
              <w:rPr>
                <w:sz w:val="17"/>
                <w:szCs w:val="17"/>
                <w:color w:val="auto"/>
              </w:rPr>
            </w:pPr>
          </w:p>
        </w:tc>
        <w:tc>
          <w:tcPr>
            <w:tcW w:w="6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6,016,658</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979" w:hanging="416"/>
        <w:spacing w:after="0" w:line="238"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6,016,658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19" w:hanging="521"/>
        <w:spacing w:after="0" w:line="238"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19" w:hanging="521"/>
        <w:spacing w:after="0" w:line="238"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759" w:hanging="521"/>
        <w:spacing w:after="0" w:line="238"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12"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No.92971A109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740" w:hanging="416"/>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Morgan Stanley Capital Services LLC</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I.R.S. # 13-3292567</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hanging="416"/>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9"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tbl>
      <w:tblPr>
        <w:tblLayout w:type="fixed"/>
        <w:tblInd w:w="220" w:type="dxa"/>
        <w:tblCellMar>
          <w:top w:w="0" w:type="dxa"/>
          <w:left w:w="0" w:type="dxa"/>
          <w:bottom w:w="0" w:type="dxa"/>
          <w:right w:w="0" w:type="dxa"/>
        </w:tblCellMar>
      </w:tblPr>
      <w:tr>
        <w:trPr>
          <w:trHeight w:val="192"/>
        </w:trPr>
        <w:tc>
          <w:tcPr>
            <w:tcW w:w="1480" w:type="dxa"/>
            <w:vAlign w:val="bottom"/>
          </w:tcPr>
          <w:p>
            <w:pPr>
              <w:ind w:left="100"/>
              <w:spacing w:after="0" w:line="192" w:lineRule="exact"/>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line="192" w:lineRule="exact"/>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2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vMerge w:val="continue"/>
          </w:tcPr>
          <w:p>
            <w:pPr>
              <w:spacing w:after="0"/>
              <w:rPr>
                <w:sz w:val="17"/>
                <w:szCs w:val="17"/>
                <w:color w:val="auto"/>
              </w:rPr>
            </w:pPr>
          </w:p>
        </w:tc>
        <w:tc>
          <w:tcPr>
            <w:tcW w:w="6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5,026,674</w:t>
            </w:r>
          </w:p>
        </w:tc>
        <w:tc>
          <w:tcPr>
            <w:tcW w:w="0" w:type="dxa"/>
            <w:vAlign w:val="bottom"/>
          </w:tcPr>
          <w:p>
            <w:pPr>
              <w:spacing w:after="0"/>
              <w:rPr>
                <w:sz w:val="1"/>
                <w:szCs w:val="1"/>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72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7.</w:t>
            </w:r>
            <w:r>
              <w:rPr>
                <w:rFonts w:ascii="Courier New" w:cs="Courier New" w:eastAsia="Courier New" w:hAnsi="Courier New"/>
                <w:sz w:val="1"/>
                <w:szCs w:val="1"/>
                <w:color w:val="auto"/>
              </w:rPr>
              <w:t>--------------------------------------------------------------</w:t>
            </w:r>
          </w:p>
        </w:tc>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vMerge w:val="continue"/>
          </w:tcPr>
          <w:p>
            <w:pPr>
              <w:spacing w:after="0"/>
              <w:rPr>
                <w:sz w:val="17"/>
                <w:szCs w:val="17"/>
                <w:color w:val="auto"/>
              </w:rPr>
            </w:pPr>
          </w:p>
        </w:tc>
        <w:tc>
          <w:tcPr>
            <w:tcW w:w="6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2"/>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5,026,674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979" w:hanging="416"/>
        <w:spacing w:after="0" w:line="238"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5,026,674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19" w:hanging="521"/>
        <w:spacing w:after="0" w:line="238"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19" w:hanging="521"/>
        <w:spacing w:after="0" w:line="238"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759" w:hanging="521"/>
        <w:spacing w:after="0" w:line="238"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BD,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690" w:right="1440" w:bottom="1440" w:gutter="0" w:footer="0" w:header="0"/>
        </w:sectPr>
      </w:pPr>
    </w:p>
    <w:bookmarkStart w:id="3" w:name="page4"/>
    <w:bookmarkEnd w:id="3"/>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No.92971A109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Name of</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Issuer:</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WM TECHNOLOGY, INC.</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(b)</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Address</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of Issuer's Principal Executive Offices:</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20" w:hanging="317"/>
        <w:spacing w:after="0"/>
        <w:tabs>
          <w:tab w:leader="none" w:pos="2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DISCOVERY</w:t>
      </w:r>
    </w:p>
    <w:p>
      <w:pPr>
        <w:spacing w:after="0" w:line="30" w:lineRule="exact"/>
        <w:rPr>
          <w:rFonts w:ascii="Courier New" w:cs="Courier New" w:eastAsia="Courier New" w:hAnsi="Courier New"/>
          <w:sz w:val="18"/>
          <w:szCs w:val="18"/>
          <w:color w:val="auto"/>
        </w:rPr>
      </w:pP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IRVINE CA 92618</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UNITED STATES OF AMERICA</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tabs>
          <w:tab w:leader="none" w:pos="1260" w:val="left"/>
          <w:tab w:leader="none" w:pos="18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Person Filing:</w:t>
      </w:r>
    </w:p>
    <w:p>
      <w:pPr>
        <w:spacing w:after="0" w:line="169" w:lineRule="exact"/>
        <w:rPr>
          <w:sz w:val="20"/>
          <w:szCs w:val="20"/>
          <w:color w:val="auto"/>
        </w:rPr>
      </w:pPr>
    </w:p>
    <w:p>
      <w:pPr>
        <w:ind w:left="2320" w:hanging="417"/>
        <w:spacing w:after="0"/>
        <w:tabs>
          <w:tab w:leader="none" w:pos="23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w:t>
      </w:r>
    </w:p>
    <w:p>
      <w:pPr>
        <w:spacing w:after="0" w:line="30" w:lineRule="exact"/>
        <w:rPr>
          <w:rFonts w:ascii="Courier New" w:cs="Courier New" w:eastAsia="Courier New" w:hAnsi="Courier New"/>
          <w:sz w:val="18"/>
          <w:szCs w:val="18"/>
          <w:color w:val="auto"/>
        </w:rPr>
      </w:pPr>
    </w:p>
    <w:p>
      <w:pPr>
        <w:ind w:left="2320" w:hanging="417"/>
        <w:spacing w:after="0" w:line="238" w:lineRule="auto"/>
        <w:tabs>
          <w:tab w:leader="none" w:pos="23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Capital Services LLC</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169" w:lineRule="exact"/>
        <w:rPr>
          <w:rFonts w:ascii="Courier New" w:cs="Courier New" w:eastAsia="Courier New" w:hAnsi="Courier New"/>
          <w:sz w:val="18"/>
          <w:szCs w:val="18"/>
          <w:color w:val="auto"/>
        </w:rPr>
      </w:pPr>
    </w:p>
    <w:p>
      <w:pPr>
        <w:ind w:left="2320" w:hanging="417"/>
        <w:spacing w:after="0"/>
        <w:tabs>
          <w:tab w:leader="none" w:pos="23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 Broadway New York, NY 10036</w:t>
      </w:r>
    </w:p>
    <w:p>
      <w:pPr>
        <w:spacing w:after="0" w:line="30" w:lineRule="exact"/>
        <w:rPr>
          <w:rFonts w:ascii="Courier New" w:cs="Courier New" w:eastAsia="Courier New" w:hAnsi="Courier New"/>
          <w:sz w:val="18"/>
          <w:szCs w:val="18"/>
          <w:color w:val="auto"/>
        </w:rPr>
      </w:pPr>
    </w:p>
    <w:p>
      <w:pPr>
        <w:ind w:left="2320" w:hanging="417"/>
        <w:spacing w:after="0" w:line="238" w:lineRule="auto"/>
        <w:tabs>
          <w:tab w:leader="none" w:pos="23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 Broadway New York, NY 10036</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169" w:lineRule="exact"/>
        <w:rPr>
          <w:rFonts w:ascii="Courier New" w:cs="Courier New" w:eastAsia="Courier New" w:hAnsi="Courier New"/>
          <w:sz w:val="18"/>
          <w:szCs w:val="18"/>
          <w:color w:val="auto"/>
        </w:rPr>
      </w:pPr>
    </w:p>
    <w:p>
      <w:pPr>
        <w:ind w:left="2320" w:hanging="417"/>
        <w:spacing w:after="0"/>
        <w:tabs>
          <w:tab w:leader="none" w:pos="23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30" w:lineRule="exact"/>
        <w:rPr>
          <w:rFonts w:ascii="Courier New" w:cs="Courier New" w:eastAsia="Courier New" w:hAnsi="Courier New"/>
          <w:sz w:val="18"/>
          <w:szCs w:val="18"/>
          <w:color w:val="auto"/>
        </w:rPr>
      </w:pPr>
    </w:p>
    <w:p>
      <w:pPr>
        <w:ind w:left="2320" w:hanging="417"/>
        <w:spacing w:after="0" w:line="238" w:lineRule="auto"/>
        <w:tabs>
          <w:tab w:leader="none" w:pos="23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169"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Class A Common Stock</w:t>
      </w:r>
    </w:p>
    <w:p>
      <w:pPr>
        <w:spacing w:after="0" w:line="30"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169"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92971A109</w:t>
      </w:r>
    </w:p>
    <w:p>
      <w:pPr>
        <w:spacing w:after="0" w:line="30"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169" w:lineRule="exact"/>
        <w:rPr>
          <w:sz w:val="20"/>
          <w:szCs w:val="20"/>
          <w:color w:val="auto"/>
        </w:rPr>
      </w:pPr>
    </w:p>
    <w:p>
      <w:pPr>
        <w:ind w:left="2220" w:right="2119" w:hanging="948"/>
        <w:spacing w:after="0" w:line="346" w:lineRule="auto"/>
        <w:tabs>
          <w:tab w:leader="none" w:pos="169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19"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(15 U.S.C. 78c).</w:t>
      </w:r>
    </w:p>
    <w:p>
      <w:pPr>
        <w:spacing w:after="0" w:line="169" w:lineRule="exact"/>
        <w:rPr>
          <w:sz w:val="20"/>
          <w:szCs w:val="20"/>
          <w:color w:val="auto"/>
        </w:rPr>
      </w:pPr>
    </w:p>
    <w:p>
      <w:pPr>
        <w:ind w:left="2220" w:right="1699" w:hanging="948"/>
        <w:spacing w:after="0" w:line="346" w:lineRule="auto"/>
        <w:tabs>
          <w:tab w:leader="none" w:pos="169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9" w:lineRule="exact"/>
        <w:rPr>
          <w:rFonts w:ascii="Courier New" w:cs="Courier New" w:eastAsia="Courier New" w:hAnsi="Courier New"/>
          <w:sz w:val="18"/>
          <w:szCs w:val="18"/>
          <w:color w:val="auto"/>
        </w:rPr>
      </w:pPr>
    </w:p>
    <w:p>
      <w:pPr>
        <w:ind w:left="2220" w:right="2439" w:hanging="948"/>
        <w:spacing w:after="0" w:line="402" w:lineRule="auto"/>
        <w:tabs>
          <w:tab w:leader="none" w:pos="169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ind w:left="1700" w:hanging="428"/>
        <w:spacing w:after="0"/>
        <w:tabs>
          <w:tab w:leader="none" w:pos="17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240.13d-1(b)(1)(ii)(E);</w:t>
      </w:r>
    </w:p>
    <w:p>
      <w:pPr>
        <w:spacing w:after="0" w:line="169" w:lineRule="exact"/>
        <w:rPr>
          <w:sz w:val="20"/>
          <w:szCs w:val="20"/>
          <w:color w:val="auto"/>
        </w:rPr>
      </w:pPr>
    </w:p>
    <w:p>
      <w:pPr>
        <w:ind w:left="2220" w:right="2019" w:hanging="948"/>
        <w:spacing w:after="0" w:line="346" w:lineRule="auto"/>
        <w:tabs>
          <w:tab w:leader="none" w:pos="1694"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19" w:lineRule="exact"/>
        <w:rPr>
          <w:rFonts w:ascii="Courier New" w:cs="Courier New" w:eastAsia="Courier New" w:hAnsi="Courier New"/>
          <w:sz w:val="18"/>
          <w:szCs w:val="18"/>
          <w:color w:val="auto"/>
        </w:rPr>
      </w:pPr>
    </w:p>
    <w:p>
      <w:pPr>
        <w:ind w:left="2220" w:right="2019" w:hanging="948"/>
        <w:spacing w:after="0" w:line="346" w:lineRule="auto"/>
        <w:tabs>
          <w:tab w:leader="none" w:pos="1694"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19" w:lineRule="exact"/>
        <w:rPr>
          <w:rFonts w:ascii="Courier New" w:cs="Courier New" w:eastAsia="Courier New" w:hAnsi="Courier New"/>
          <w:sz w:val="18"/>
          <w:szCs w:val="18"/>
          <w:color w:val="auto"/>
        </w:rPr>
      </w:pPr>
    </w:p>
    <w:p>
      <w:pPr>
        <w:ind w:left="2220" w:right="2119" w:hanging="948"/>
        <w:spacing w:after="0" w:line="346" w:lineRule="auto"/>
        <w:tabs>
          <w:tab w:leader="none" w:pos="1694"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19" w:lineRule="exact"/>
        <w:rPr>
          <w:rFonts w:ascii="Courier New" w:cs="Courier New" w:eastAsia="Courier New" w:hAnsi="Courier New"/>
          <w:sz w:val="18"/>
          <w:szCs w:val="18"/>
          <w:color w:val="auto"/>
        </w:rPr>
      </w:pPr>
    </w:p>
    <w:p>
      <w:pPr>
        <w:ind w:left="2220" w:right="2019" w:hanging="948"/>
        <w:spacing w:after="0" w:line="292" w:lineRule="auto"/>
        <w:tabs>
          <w:tab w:leader="none" w:pos="1694"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65"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non-U.S. institution in accordance with section</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240.13d-1(b)(1)(ii)(J);</w:t>
      </w:r>
    </w:p>
    <w:p>
      <w:pPr>
        <w:spacing w:after="0" w:line="169" w:lineRule="exact"/>
        <w:rPr>
          <w:sz w:val="20"/>
          <w:szCs w:val="20"/>
          <w:color w:val="auto"/>
        </w:rPr>
      </w:pPr>
    </w:p>
    <w:p>
      <w:pPr>
        <w:ind w:left="2220" w:right="1819" w:hanging="948"/>
        <w:spacing w:after="0" w:line="274" w:lineRule="auto"/>
        <w:tabs>
          <w:tab w:leader="none" w:pos="169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sections 240.13d-1(b)(1)(ii)(K). If filing as a non-U.S. institution in accordance with sections 240.13d-1(b)(1)(ii)(J), please specify the type of institution: Not Applicable</w:t>
      </w:r>
    </w:p>
    <w:p>
      <w:pPr>
        <w:sectPr>
          <w:pgSz w:w="11900" w:h="16838" w:orient="portrait"/>
          <w:cols w:equalWidth="0" w:num="1">
            <w:col w:w="10139"/>
          </w:cols>
          <w:pgMar w:left="320" w:top="690" w:right="1440" w:bottom="274" w:gutter="0" w:footer="0" w:header="0"/>
        </w:sectPr>
      </w:pPr>
    </w:p>
    <w:bookmarkStart w:id="4" w:name="page5"/>
    <w:bookmarkEnd w:id="4"/>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No.92971A109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 as of</w:t>
      </w:r>
      <w:r>
        <w:rPr>
          <w:sz w:val="20"/>
          <w:szCs w:val="20"/>
          <w:color w:val="auto"/>
        </w:rPr>
        <w:tab/>
      </w:r>
      <w:r>
        <w:rPr>
          <w:rFonts w:ascii="Courier New" w:cs="Courier New" w:eastAsia="Courier New" w:hAnsi="Courier New"/>
          <w:sz w:val="16"/>
          <w:szCs w:val="16"/>
          <w:color w:val="auto"/>
        </w:rPr>
        <w:t>December 31, 2023.*</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169" w:lineRule="exact"/>
        <w:rPr>
          <w:sz w:val="20"/>
          <w:szCs w:val="20"/>
          <w:color w:val="auto"/>
        </w:rPr>
      </w:pPr>
    </w:p>
    <w:p>
      <w:pPr>
        <w:ind w:left="1580" w:hanging="414"/>
        <w:spacing w:after="0"/>
        <w:tabs>
          <w:tab w:leader="none" w:pos="1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19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19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19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19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160" w:right="2019" w:hanging="1157"/>
        <w:spacing w:after="0" w:line="402"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ind w:left="1160"/>
        <w:spacing w:after="0"/>
        <w:rPr>
          <w:sz w:val="20"/>
          <w:szCs w:val="20"/>
          <w:color w:val="auto"/>
        </w:rPr>
      </w:pPr>
      <w:r>
        <w:rPr>
          <w:rFonts w:ascii="Courier New" w:cs="Courier New" w:eastAsia="Courier New" w:hAnsi="Courier New"/>
          <w:sz w:val="18"/>
          <w:szCs w:val="18"/>
          <w:color w:val="auto"/>
        </w:rPr>
        <w:t>See Exhibit 99.2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right="1699" w:firstLine="6"/>
        <w:spacing w:after="0" w:line="256" w:lineRule="auto"/>
        <w:tabs>
          <w:tab w:leader="none" w:pos="1581"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In Accordance with the Securities and Exchange Commission Release</w:t>
      </w:r>
    </w:p>
    <w:p>
      <w:pPr>
        <w:spacing w:after="0" w:line="31"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139"/>
          </w:cols>
          <w:pgMar w:left="320" w:top="690" w:right="1440" w:bottom="1440" w:gutter="0" w:footer="0" w:header="0"/>
        </w:sectPr>
      </w:pPr>
    </w:p>
    <w:bookmarkStart w:id="5" w:name="page6"/>
    <w:bookmarkEnd w:id="5"/>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No.92971A109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right="1819"/>
        <w:spacing w:after="0" w:line="42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February 09, 2024</w:t>
            </w:r>
          </w:p>
        </w:tc>
        <w:tc>
          <w:tcPr>
            <w:tcW w:w="90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/s/ Christopher O'Hara</w:t>
            </w:r>
          </w:p>
        </w:tc>
        <w:tc>
          <w:tcPr>
            <w:tcW w:w="900" w:type="dxa"/>
            <w:vAlign w:val="bottom"/>
          </w:tcPr>
          <w:p>
            <w:pPr>
              <w:spacing w:after="0"/>
              <w:rPr>
                <w:sz w:val="24"/>
                <w:szCs w:val="24"/>
                <w:color w:val="auto"/>
              </w:rPr>
            </w:pPr>
          </w:p>
        </w:tc>
      </w:tr>
      <w:tr>
        <w:trPr>
          <w:trHeight w:val="296"/>
        </w:trPr>
        <w:tc>
          <w:tcPr>
            <w:tcW w:w="1220" w:type="dxa"/>
            <w:vAlign w:val="bottom"/>
          </w:tcPr>
          <w:p>
            <w:pPr>
              <w:spacing w:after="0"/>
              <w:rPr>
                <w:sz w:val="24"/>
                <w:szCs w:val="24"/>
                <w:color w:val="auto"/>
              </w:rPr>
            </w:pPr>
          </w:p>
        </w:tc>
        <w:tc>
          <w:tcPr>
            <w:tcW w:w="7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w:t>
            </w:r>
          </w:p>
        </w:tc>
      </w:tr>
      <w:tr>
        <w:trPr>
          <w:trHeight w:val="311"/>
        </w:trPr>
        <w:tc>
          <w:tcPr>
            <w:tcW w:w="7540" w:type="dxa"/>
            <w:vAlign w:val="bottom"/>
            <w:gridSpan w:val="2"/>
          </w:tcPr>
          <w:p>
            <w:pPr>
              <w:spacing w:after="0"/>
              <w:rPr>
                <w:sz w:val="20"/>
                <w:szCs w:val="20"/>
                <w:color w:val="auto"/>
              </w:rPr>
            </w:pPr>
            <w:r>
              <w:rPr>
                <w:rFonts w:ascii="Courier New" w:cs="Courier New" w:eastAsia="Courier New" w:hAnsi="Courier New"/>
                <w:sz w:val="18"/>
                <w:szCs w:val="18"/>
                <w:color w:val="auto"/>
              </w:rPr>
              <w:t>Name/Title: Christopher O'Hara/Authorized Signatory, Morgan Stanley</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96"/>
        </w:trPr>
        <w:tc>
          <w:tcPr>
            <w:tcW w:w="1220" w:type="dxa"/>
            <w:vAlign w:val="bottom"/>
          </w:tcPr>
          <w:p>
            <w:pPr>
              <w:spacing w:after="0"/>
              <w:rPr>
                <w:sz w:val="24"/>
                <w:szCs w:val="24"/>
                <w:color w:val="auto"/>
              </w:rPr>
            </w:pP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MORGAN STANLEY</w:t>
            </w:r>
          </w:p>
        </w:tc>
        <w:tc>
          <w:tcPr>
            <w:tcW w:w="900" w:type="dxa"/>
            <w:vAlign w:val="bottom"/>
          </w:tcPr>
          <w:p>
            <w:pPr>
              <w:spacing w:after="0"/>
              <w:rPr>
                <w:sz w:val="24"/>
                <w:szCs w:val="24"/>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February 09, 2024</w:t>
            </w:r>
          </w:p>
        </w:tc>
        <w:tc>
          <w:tcPr>
            <w:tcW w:w="90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/s/ Christopher O'Hara</w:t>
            </w:r>
          </w:p>
        </w:tc>
        <w:tc>
          <w:tcPr>
            <w:tcW w:w="900" w:type="dxa"/>
            <w:vAlign w:val="bottom"/>
          </w:tcPr>
          <w:p>
            <w:pPr>
              <w:spacing w:after="0"/>
              <w:rPr>
                <w:sz w:val="24"/>
                <w:szCs w:val="24"/>
                <w:color w:val="auto"/>
              </w:rPr>
            </w:pPr>
          </w:p>
        </w:tc>
      </w:tr>
      <w:tr>
        <w:trPr>
          <w:trHeight w:val="296"/>
        </w:trPr>
        <w:tc>
          <w:tcPr>
            <w:tcW w:w="1220" w:type="dxa"/>
            <w:vAlign w:val="bottom"/>
          </w:tcPr>
          <w:p>
            <w:pPr>
              <w:spacing w:after="0"/>
              <w:rPr>
                <w:sz w:val="24"/>
                <w:szCs w:val="24"/>
                <w:color w:val="auto"/>
              </w:rPr>
            </w:pPr>
          </w:p>
        </w:tc>
        <w:tc>
          <w:tcPr>
            <w:tcW w:w="7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w:t>
            </w:r>
          </w:p>
        </w:tc>
      </w:tr>
      <w:tr>
        <w:trPr>
          <w:trHeight w:val="311"/>
        </w:trPr>
        <w:tc>
          <w:tcPr>
            <w:tcW w:w="7540" w:type="dxa"/>
            <w:vAlign w:val="bottom"/>
            <w:gridSpan w:val="2"/>
          </w:tcPr>
          <w:p>
            <w:pPr>
              <w:spacing w:after="0"/>
              <w:rPr>
                <w:sz w:val="20"/>
                <w:szCs w:val="20"/>
                <w:color w:val="auto"/>
              </w:rPr>
            </w:pPr>
            <w:r>
              <w:rPr>
                <w:rFonts w:ascii="Courier New" w:cs="Courier New" w:eastAsia="Courier New" w:hAnsi="Courier New"/>
                <w:sz w:val="18"/>
                <w:szCs w:val="18"/>
                <w:color w:val="auto"/>
              </w:rPr>
              <w:t>Name/Title: Christopher O'Hara/Authorized Signatory,</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 Capital Services LLC</w:t>
            </w:r>
          </w:p>
        </w:tc>
        <w:tc>
          <w:tcPr>
            <w:tcW w:w="90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96"/>
        </w:trPr>
        <w:tc>
          <w:tcPr>
            <w:tcW w:w="1220" w:type="dxa"/>
            <w:vAlign w:val="bottom"/>
          </w:tcPr>
          <w:p>
            <w:pPr>
              <w:spacing w:after="0"/>
              <w:rPr>
                <w:sz w:val="24"/>
                <w:szCs w:val="24"/>
                <w:color w:val="auto"/>
              </w:rPr>
            </w:pP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Morgan Stanley Capital Services LLC</w:t>
            </w:r>
          </w:p>
        </w:tc>
        <w:tc>
          <w:tcPr>
            <w:tcW w:w="900" w:type="dxa"/>
            <w:vAlign w:val="bottom"/>
          </w:tcPr>
          <w:p>
            <w:pPr>
              <w:spacing w:after="0"/>
              <w:rPr>
                <w:sz w:val="24"/>
                <w:szCs w:val="24"/>
                <w:color w:val="auto"/>
              </w:rPr>
            </w:pPr>
          </w:p>
        </w:tc>
      </w:tr>
      <w:tr>
        <w:trPr>
          <w:trHeight w:val="514"/>
        </w:trPr>
        <w:tc>
          <w:tcPr>
            <w:tcW w:w="122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320" w:type="dxa"/>
            <w:vAlign w:val="bottom"/>
          </w:tcPr>
          <w:p>
            <w:pPr>
              <w:ind w:left="2480"/>
              <w:spacing w:after="0"/>
              <w:rPr>
                <w:sz w:val="20"/>
                <w:szCs w:val="20"/>
                <w:color w:val="auto"/>
              </w:rPr>
            </w:pPr>
            <w:r>
              <w:rPr>
                <w:rFonts w:ascii="Courier New" w:cs="Courier New" w:eastAsia="Courier New" w:hAnsi="Courier New"/>
                <w:sz w:val="18"/>
                <w:szCs w:val="18"/>
                <w:color w:val="auto"/>
              </w:rPr>
              <w:t>EXHIBITS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96"/>
        </w:trPr>
        <w:tc>
          <w:tcPr>
            <w:tcW w:w="12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6320" w:type="dxa"/>
            <w:vAlign w:val="bottom"/>
          </w:tcPr>
          <w:p>
            <w:pPr>
              <w:ind w:left="248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99.1</w:t>
            </w:r>
          </w:p>
        </w:tc>
        <w:tc>
          <w:tcPr>
            <w:tcW w:w="6320" w:type="dxa"/>
            <w:vAlign w:val="bottom"/>
          </w:tcPr>
          <w:p>
            <w:pPr>
              <w:ind w:left="1940"/>
              <w:spacing w:after="0"/>
              <w:rPr>
                <w:sz w:val="20"/>
                <w:szCs w:val="20"/>
                <w:color w:val="auto"/>
              </w:rPr>
            </w:pPr>
            <w:r>
              <w:rPr>
                <w:rFonts w:ascii="Courier New" w:cs="Courier New" w:eastAsia="Courier New" w:hAnsi="Courier New"/>
                <w:sz w:val="18"/>
                <w:szCs w:val="18"/>
                <w:color w:val="auto"/>
              </w:rPr>
              <w:t>Joint Filing Agreement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99.2</w:t>
            </w:r>
          </w:p>
        </w:tc>
        <w:tc>
          <w:tcPr>
            <w:tcW w:w="6320" w:type="dxa"/>
            <w:vAlign w:val="bottom"/>
          </w:tcPr>
          <w:p>
            <w:pPr>
              <w:ind w:left="1940"/>
              <w:spacing w:after="0"/>
              <w:rPr>
                <w:sz w:val="20"/>
                <w:szCs w:val="20"/>
                <w:color w:val="auto"/>
              </w:rPr>
            </w:pPr>
            <w:r>
              <w:rPr>
                <w:rFonts w:ascii="Courier New" w:cs="Courier New" w:eastAsia="Courier New" w:hAnsi="Courier New"/>
                <w:sz w:val="18"/>
                <w:szCs w:val="18"/>
                <w:color w:val="auto"/>
              </w:rPr>
              <w:t>Item 7 Information</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w:t>
            </w:r>
          </w:p>
        </w:tc>
      </w:tr>
    </w:tbl>
    <w:p>
      <w:pPr>
        <w:spacing w:after="0" w:line="109" w:lineRule="exact"/>
        <w:rPr>
          <w:sz w:val="20"/>
          <w:szCs w:val="20"/>
          <w:color w:val="auto"/>
        </w:rPr>
      </w:pPr>
    </w:p>
    <w:p>
      <w:pPr>
        <w:ind w:right="1819" w:firstLine="8"/>
        <w:spacing w:after="0" w:line="346" w:lineRule="auto"/>
        <w:tabs>
          <w:tab w:leader="none" w:pos="31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690" w:right="1440" w:bottom="1440" w:gutter="0" w:footer="0" w:header="0"/>
        </w:sectPr>
      </w:pPr>
    </w:p>
    <w:bookmarkStart w:id="6" w:name="page7"/>
    <w:bookmarkEnd w:id="6"/>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No.92971A109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EXHIBIT NO. 99.1 TO SCHEDULE 13G</w:t>
      </w:r>
    </w:p>
    <w:p>
      <w:pPr>
        <w:spacing w:after="0" w:line="29"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8"/>
          <w:szCs w:val="18"/>
          <w:color w:val="auto"/>
        </w:rPr>
        <w:t>February 09, 2024</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Capital Services LLC hereby</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agree that, unless differentiated, this Schedule 13G is filed 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Christopher O'Hara</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179"/>
        <w:spacing w:after="0" w:line="397" w:lineRule="auto"/>
        <w:rPr>
          <w:sz w:val="20"/>
          <w:szCs w:val="20"/>
          <w:color w:val="auto"/>
        </w:rPr>
      </w:pPr>
      <w:r>
        <w:rPr>
          <w:rFonts w:ascii="Courier New" w:cs="Courier New" w:eastAsia="Courier New" w:hAnsi="Courier New"/>
          <w:sz w:val="18"/>
          <w:szCs w:val="18"/>
          <w:color w:val="auto"/>
        </w:rPr>
        <w:t>Christopher O'Hara/Authorized Signatory, Morgan Stanley Morgan Stanley Capital Services LLC BY: /s/ Christopher O'Hara</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Christopher O'Hara/Authorized Signatory,</w:t>
      </w:r>
    </w:p>
    <w:p>
      <w:pPr>
        <w:ind w:left="1160"/>
        <w:spacing w:after="0"/>
        <w:rPr>
          <w:sz w:val="20"/>
          <w:szCs w:val="20"/>
          <w:color w:val="auto"/>
        </w:rPr>
      </w:pPr>
      <w:r>
        <w:rPr>
          <w:rFonts w:ascii="Courier New" w:cs="Courier New" w:eastAsia="Courier New" w:hAnsi="Courier New"/>
          <w:sz w:val="18"/>
          <w:szCs w:val="18"/>
          <w:color w:val="auto"/>
        </w:rPr>
        <w:t>Morgan Stanley Capital Services LLC</w:t>
      </w:r>
    </w:p>
    <w:p>
      <w:pPr>
        <w:spacing w:after="0" w:line="372" w:lineRule="exact"/>
        <w:rPr>
          <w:sz w:val="20"/>
          <w:szCs w:val="20"/>
          <w:color w:val="auto"/>
        </w:rPr>
      </w:pPr>
    </w:p>
    <w:p>
      <w:pPr>
        <w:ind w:right="1819" w:firstLine="8"/>
        <w:spacing w:after="0" w:line="346" w:lineRule="auto"/>
        <w:tabs>
          <w:tab w:leader="none" w:pos="316"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690" w:right="1440" w:bottom="1440" w:gutter="0" w:footer="0" w:header="0"/>
        </w:sectPr>
      </w:pPr>
    </w:p>
    <w:bookmarkStart w:id="7" w:name="page8"/>
    <w:bookmarkEnd w:id="7"/>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No.92971A109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EXHIBIT NO. 99.2</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4" w:lineRule="exact"/>
        <w:rPr>
          <w:sz w:val="20"/>
          <w:szCs w:val="20"/>
          <w:color w:val="auto"/>
        </w:rPr>
      </w:pPr>
    </w:p>
    <w:p>
      <w:pPr>
        <w:ind w:left="540" w:right="2019" w:firstLine="842"/>
        <w:spacing w:after="0" w:line="512"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Capital Services LLC, a wholly-owned subsidiary of Morgan Stanley.</w:t>
      </w:r>
    </w:p>
    <w:sectPr>
      <w:pgSz w:w="11900" w:h="16838" w:orient="portrait"/>
      <w:cols w:equalWidth="0" w:num="1">
        <w:col w:w="10139"/>
      </w:cols>
      <w:pgMar w:left="320" w:top="6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lvl w:ilvl="1">
      <w:lvlJc w:val="left"/>
      <w:lvlText w:val="[%2]"/>
      <w:numFmt w:val="lowerRoman"/>
      <w:start w:val="10"/>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2"/>
    </w:lvl>
    <w:lvl w:ilvl="1">
      <w:lvlJc w:val="left"/>
      <w:lvlText w:val="(%2)"/>
      <w:numFmt w:val="lowerLetter"/>
      <w:start w:val="1"/>
    </w:lvl>
  </w:abstractNum>
  <w:abstractNum w:abstractNumId="3">
    <w:nsid w:val="DED7263"/>
    <w:multiLevelType w:val="hybridMultilevel"/>
    <w:lvl w:ilvl="0">
      <w:lvlJc w:val="left"/>
      <w:lvlText w:val="%1."/>
      <w:numFmt w:val="decimal"/>
      <w:start w:val="9"/>
    </w:lvl>
  </w:abstractNum>
  <w:abstractNum w:abstractNumId="4">
    <w:nsid w:val="7FDCC233"/>
    <w:multiLevelType w:val="hybridMultilevel"/>
    <w:lvl w:ilvl="0">
      <w:lvlJc w:val="left"/>
      <w:lvlText w:val="%1."/>
      <w:numFmt w:val="decimal"/>
      <w:start w:val="10"/>
    </w:lvl>
  </w:abstractNum>
  <w:abstractNum w:abstractNumId="5">
    <w:nsid w:val="1BEFD79F"/>
    <w:multiLevelType w:val="hybridMultilevel"/>
    <w:lvl w:ilvl="0">
      <w:lvlJc w:val="left"/>
      <w:lvlText w:val="%1."/>
      <w:numFmt w:val="decimal"/>
      <w:start w:val="11"/>
    </w:lvl>
  </w:abstractNum>
  <w:abstractNum w:abstractNumId="6">
    <w:nsid w:val="41A7C4C9"/>
    <w:multiLevelType w:val="hybridMultilevel"/>
    <w:lvl w:ilvl="0">
      <w:lvlJc w:val="left"/>
      <w:lvlText w:val="%1."/>
      <w:numFmt w:val="decimal"/>
      <w:start w:val="12"/>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2"/>
    </w:lvl>
    <w:lvl w:ilvl="1">
      <w:lvlJc w:val="left"/>
      <w:lvlText w:val="(%2)"/>
      <w:numFmt w:val="lowerLetter"/>
      <w:start w:val="1"/>
    </w:lvl>
  </w:abstractNum>
  <w:abstractNum w:abstractNumId="9">
    <w:nsid w:val="25E45D32"/>
    <w:multiLevelType w:val="hybridMultilevel"/>
    <w:lvl w:ilvl="0">
      <w:lvlJc w:val="left"/>
      <w:lvlText w:val="%1."/>
      <w:numFmt w:val="decimal"/>
      <w:start w:val="9"/>
    </w:lvl>
  </w:abstractNum>
  <w:abstractNum w:abstractNumId="10">
    <w:nsid w:val="519B500D"/>
    <w:multiLevelType w:val="hybridMultilevel"/>
    <w:lvl w:ilvl="0">
      <w:lvlJc w:val="left"/>
      <w:lvlText w:val="%1."/>
      <w:numFmt w:val="decimal"/>
      <w:start w:val="10"/>
    </w:lvl>
  </w:abstractNum>
  <w:abstractNum w:abstractNumId="11">
    <w:nsid w:val="431BD7B7"/>
    <w:multiLevelType w:val="hybridMultilevel"/>
    <w:lvl w:ilvl="0">
      <w:lvlJc w:val="left"/>
      <w:lvlText w:val="%1."/>
      <w:numFmt w:val="decimal"/>
      <w:start w:val="11"/>
    </w:lvl>
  </w:abstractNum>
  <w:abstractNum w:abstractNumId="12">
    <w:nsid w:val="3F2DBA31"/>
    <w:multiLevelType w:val="hybridMultilevel"/>
    <w:lvl w:ilvl="0">
      <w:lvlJc w:val="left"/>
      <w:lvlText w:val="%1."/>
      <w:numFmt w:val="decimal"/>
      <w:start w:val="12"/>
    </w:lvl>
  </w:abstractNum>
  <w:abstractNum w:abstractNumId="13">
    <w:nsid w:val="7C83E458"/>
    <w:multiLevelType w:val="hybridMultilevel"/>
    <w:lvl w:ilvl="0">
      <w:lvlJc w:val="left"/>
      <w:lvlText w:val="%1"/>
      <w:numFmt w:val="decimal"/>
      <w:start w:val="41"/>
    </w:lvl>
  </w:abstractNum>
  <w:abstractNum w:abstractNumId="14">
    <w:nsid w:val="257130A3"/>
    <w:multiLevelType w:val="hybridMultilevel"/>
    <w:lvl w:ilvl="0">
      <w:lvlJc w:val="left"/>
      <w:lvlText w:val="%1"/>
      <w:numFmt w:val="lowerLetter"/>
      <w:start w:val="1"/>
    </w:lvl>
    <w:lvl w:ilvl="1">
      <w:lvlJc w:val="left"/>
      <w:lvlText w:val="(%2)"/>
      <w:numFmt w:val="decimal"/>
      <w:start w:val="1"/>
    </w:lvl>
  </w:abstractNum>
  <w:abstractNum w:abstractNumId="15">
    <w:nsid w:val="62BBD95A"/>
    <w:multiLevelType w:val="hybridMultilevel"/>
    <w:lvl w:ilvl="0">
      <w:lvlJc w:val="left"/>
      <w:lvlText w:val="(%1)"/>
      <w:numFmt w:val="lowerLetter"/>
      <w:start w:val="2"/>
    </w:lvl>
    <w:lvl w:ilvl="1">
      <w:lvlJc w:val="left"/>
      <w:lvlText w:val="(%2)"/>
      <w:numFmt w:val="decimal"/>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3"/>
    </w:lvl>
  </w:abstractNum>
  <w:abstractNum w:abstractNumId="18">
    <w:nsid w:val="333AB105"/>
    <w:multiLevelType w:val="hybridMultilevel"/>
    <w:lvl w:ilvl="0">
      <w:lvlJc w:val="left"/>
      <w:lvlText w:val="(%1)"/>
      <w:numFmt w:val="lowerLetter"/>
      <w:start w:val="6"/>
    </w:lvl>
  </w:abstractNum>
  <w:abstractNum w:abstractNumId="19">
    <w:nsid w:val="721DA317"/>
    <w:multiLevelType w:val="hybridMultilevel"/>
    <w:lvl w:ilvl="0">
      <w:lvlJc w:val="left"/>
      <w:lvlText w:val="(%1)"/>
      <w:numFmt w:val="lowerLetter"/>
      <w:start w:val="11"/>
    </w:lvl>
  </w:abstractNum>
  <w:abstractNum w:abstractNumId="20">
    <w:nsid w:val="2443A858"/>
    <w:multiLevelType w:val="hybridMultilevel"/>
    <w:lvl w:ilvl="0">
      <w:lvlJc w:val="left"/>
      <w:lvlText w:val="(%1)"/>
      <w:numFmt w:val="lowerLetter"/>
      <w:start w:val="3"/>
    </w:lvl>
    <w:lvl w:ilvl="1">
      <w:lvlJc w:val="left"/>
      <w:lvlText w:val="(%2)"/>
      <w:numFmt w:val="lowerRoman"/>
      <w:start w:val="1"/>
    </w:lvl>
  </w:abstractNum>
  <w:abstractNum w:abstractNumId="21">
    <w:nsid w:val="2D1D5AE9"/>
    <w:multiLevelType w:val="hybridMultilevel"/>
    <w:lvl w:ilvl="0">
      <w:lvlJc w:val="left"/>
      <w:lvlText w:val="*"/>
      <w:numFmt w:val="bullet"/>
      <w:start w:val="1"/>
    </w:lvl>
    <w:lvl w:ilvl="1">
      <w:lvlJc w:val="left"/>
      <w:lvlText w:val="(%2)"/>
      <w:numFmt w:val="decimal"/>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2024-02-09T09:31:10Z</dcterms:created>
  <dcterms:modified xsi:type="dcterms:W3CDTF">2024-02-09T09:31:10Z</dcterms:modified>
</cp:coreProperties>
</file>