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15"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ind w:left="4800"/>
        <w:spacing w:after="0"/>
        <w:rPr>
          <w:sz w:val="20"/>
          <w:szCs w:val="20"/>
          <w:color w:val="auto"/>
        </w:rPr>
      </w:pPr>
      <w:r>
        <w:rPr>
          <w:rFonts w:ascii="Arial" w:cs="Arial" w:eastAsia="Arial" w:hAnsi="Arial"/>
          <w:sz w:val="22"/>
          <w:szCs w:val="22"/>
          <w:b w:val="1"/>
          <w:bCs w:val="1"/>
          <w:color w:val="auto"/>
        </w:rPr>
        <w:t>(RULE 13d - 102)</w:t>
      </w:r>
    </w:p>
    <w:p>
      <w:pPr>
        <w:spacing w:after="0" w:line="142" w:lineRule="exact"/>
        <w:rPr>
          <w:sz w:val="24"/>
          <w:szCs w:val="24"/>
          <w:color w:val="auto"/>
        </w:rPr>
      </w:pPr>
    </w:p>
    <w:p>
      <w:pPr>
        <w:jc w:val="center"/>
        <w:ind w:left="340" w:right="540"/>
        <w:spacing w:after="0" w:line="229" w:lineRule="auto"/>
        <w:rPr>
          <w:sz w:val="20"/>
          <w:szCs w:val="20"/>
          <w:color w:val="auto"/>
        </w:rPr>
      </w:pPr>
      <w:r>
        <w:rPr>
          <w:rFonts w:ascii="Arial" w:cs="Arial" w:eastAsia="Arial" w:hAnsi="Arial"/>
          <w:sz w:val="22"/>
          <w:szCs w:val="22"/>
          <w:b w:val="1"/>
          <w:bCs w:val="1"/>
          <w:color w:val="auto"/>
        </w:rPr>
        <w:t>INFORMATION TO BE INCLUDED IN STATEMENTS FILED PURSUANT TO 13d-1(b), (c) AND (d) AND AMENDMENTS THERETO FILED PURSUANT TO 13d-2(b)</w:t>
      </w:r>
    </w:p>
    <w:p>
      <w:pPr>
        <w:spacing w:after="0" w:line="138"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(Amendment No. 2)*</w:t>
      </w:r>
    </w:p>
    <w:p>
      <w:pPr>
        <w:spacing w:after="0" w:line="139" w:lineRule="exact"/>
        <w:rPr>
          <w:sz w:val="24"/>
          <w:szCs w:val="24"/>
          <w:color w:val="auto"/>
        </w:rPr>
      </w:pPr>
    </w:p>
    <w:p>
      <w:pPr>
        <w:ind w:left="4680"/>
        <w:spacing w:after="0"/>
        <w:rPr>
          <w:sz w:val="20"/>
          <w:szCs w:val="20"/>
          <w:color w:val="auto"/>
        </w:rPr>
      </w:pPr>
      <w:r>
        <w:rPr>
          <w:rFonts w:ascii="Arial" w:cs="Arial" w:eastAsia="Arial" w:hAnsi="Arial"/>
          <w:sz w:val="22"/>
          <w:szCs w:val="22"/>
          <w:u w:val="single" w:color="auto"/>
          <w:color w:val="auto"/>
        </w:rPr>
        <w:t>WM Technology, Inc.</w:t>
      </w:r>
    </w:p>
    <w:p>
      <w:pPr>
        <w:ind w:left="4900"/>
        <w:spacing w:after="0"/>
        <w:rPr>
          <w:sz w:val="20"/>
          <w:szCs w:val="20"/>
          <w:color w:val="auto"/>
        </w:rPr>
      </w:pPr>
      <w:r>
        <w:rPr>
          <w:rFonts w:ascii="Arial" w:cs="Arial" w:eastAsia="Arial" w:hAnsi="Arial"/>
          <w:sz w:val="22"/>
          <w:szCs w:val="22"/>
          <w:color w:val="auto"/>
        </w:rPr>
        <w:t>(Name of Issuer)</w:t>
      </w:r>
    </w:p>
    <w:p>
      <w:pPr>
        <w:spacing w:after="0" w:line="115" w:lineRule="exact"/>
        <w:rPr>
          <w:sz w:val="24"/>
          <w:szCs w:val="24"/>
          <w:color w:val="auto"/>
        </w:rPr>
      </w:pPr>
    </w:p>
    <w:p>
      <w:pPr>
        <w:ind w:left="3340"/>
        <w:spacing w:after="0"/>
        <w:rPr>
          <w:sz w:val="20"/>
          <w:szCs w:val="20"/>
          <w:color w:val="auto"/>
        </w:rPr>
      </w:pPr>
      <w:r>
        <w:rPr>
          <w:rFonts w:ascii="Arial" w:cs="Arial" w:eastAsia="Arial" w:hAnsi="Arial"/>
          <w:sz w:val="22"/>
          <w:szCs w:val="22"/>
          <w:u w:val="single" w:color="auto"/>
          <w:color w:val="auto"/>
        </w:rPr>
        <w:t>Class A Common Stock, par value $0.0001 per share</w:t>
      </w:r>
    </w:p>
    <w:p>
      <w:pPr>
        <w:ind w:left="4400"/>
        <w:spacing w:after="0"/>
        <w:rPr>
          <w:sz w:val="20"/>
          <w:szCs w:val="20"/>
          <w:color w:val="auto"/>
        </w:rPr>
      </w:pPr>
      <w:r>
        <w:rPr>
          <w:rFonts w:ascii="Arial" w:cs="Arial" w:eastAsia="Arial" w:hAnsi="Arial"/>
          <w:sz w:val="22"/>
          <w:szCs w:val="22"/>
          <w:color w:val="auto"/>
        </w:rPr>
        <w:t>(Title of Class of Securities)</w:t>
      </w:r>
    </w:p>
    <w:p>
      <w:pPr>
        <w:spacing w:after="0" w:line="115" w:lineRule="exact"/>
        <w:rPr>
          <w:sz w:val="24"/>
          <w:szCs w:val="24"/>
          <w:color w:val="auto"/>
        </w:rPr>
      </w:pPr>
    </w:p>
    <w:p>
      <w:pPr>
        <w:ind w:left="5120"/>
        <w:spacing w:after="0"/>
        <w:rPr>
          <w:sz w:val="20"/>
          <w:szCs w:val="20"/>
          <w:color w:val="auto"/>
        </w:rPr>
      </w:pPr>
      <w:r>
        <w:rPr>
          <w:rFonts w:ascii="Arial" w:cs="Arial" w:eastAsia="Arial" w:hAnsi="Arial"/>
          <w:sz w:val="22"/>
          <w:szCs w:val="22"/>
          <w:u w:val="single" w:color="auto"/>
          <w:color w:val="auto"/>
        </w:rPr>
        <w:t>92971A109</w:t>
      </w:r>
    </w:p>
    <w:p>
      <w:pPr>
        <w:ind w:left="4860"/>
        <w:spacing w:after="0"/>
        <w:rPr>
          <w:sz w:val="20"/>
          <w:szCs w:val="20"/>
          <w:color w:val="auto"/>
        </w:rPr>
      </w:pPr>
      <w:r>
        <w:rPr>
          <w:rFonts w:ascii="Arial" w:cs="Arial" w:eastAsia="Arial" w:hAnsi="Arial"/>
          <w:sz w:val="22"/>
          <w:szCs w:val="22"/>
          <w:color w:val="auto"/>
        </w:rPr>
        <w:t>(CUSIP Number)</w:t>
      </w:r>
    </w:p>
    <w:p>
      <w:pPr>
        <w:spacing w:after="0" w:line="115" w:lineRule="exact"/>
        <w:rPr>
          <w:sz w:val="24"/>
          <w:szCs w:val="24"/>
          <w:color w:val="auto"/>
        </w:rPr>
      </w:pPr>
    </w:p>
    <w:p>
      <w:pPr>
        <w:ind w:left="5040"/>
        <w:spacing w:after="0"/>
        <w:rPr>
          <w:sz w:val="20"/>
          <w:szCs w:val="20"/>
          <w:color w:val="auto"/>
        </w:rPr>
      </w:pPr>
      <w:r>
        <w:rPr>
          <w:rFonts w:ascii="Arial" w:cs="Arial" w:eastAsia="Arial" w:hAnsi="Arial"/>
          <w:sz w:val="22"/>
          <w:szCs w:val="22"/>
          <w:u w:val="single" w:color="auto"/>
          <w:color w:val="auto"/>
        </w:rPr>
        <w:t>July 16, 2021</w:t>
      </w:r>
    </w:p>
    <w:p>
      <w:pPr>
        <w:ind w:left="3200"/>
        <w:spacing w:after="0"/>
        <w:rPr>
          <w:sz w:val="20"/>
          <w:szCs w:val="20"/>
          <w:color w:val="auto"/>
        </w:rPr>
      </w:pPr>
      <w:r>
        <w:rPr>
          <w:rFonts w:ascii="Arial" w:cs="Arial" w:eastAsia="Arial" w:hAnsi="Arial"/>
          <w:sz w:val="22"/>
          <w:szCs w:val="22"/>
          <w:color w:val="auto"/>
        </w:rPr>
        <w:t>(Date of Event which Requires Filing of this Statement)</w:t>
      </w:r>
    </w:p>
    <w:p>
      <w:pPr>
        <w:spacing w:after="0" w:line="14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166" w:lineRule="exact"/>
        <w:rPr>
          <w:sz w:val="24"/>
          <w:szCs w:val="24"/>
          <w:color w:val="auto"/>
        </w:rPr>
      </w:pPr>
    </w:p>
    <w:p>
      <w:pPr>
        <w:ind w:left="4600"/>
        <w:spacing w:after="0"/>
        <w:tabs>
          <w:tab w:leader="none" w:pos="542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Rule 13d-1(b)</w:t>
      </w:r>
    </w:p>
    <w:p>
      <w:pPr>
        <w:spacing w:after="0" w:line="233" w:lineRule="exact"/>
        <w:rPr>
          <w:sz w:val="24"/>
          <w:szCs w:val="24"/>
          <w:color w:val="auto"/>
        </w:rPr>
      </w:pPr>
    </w:p>
    <w:p>
      <w:pPr>
        <w:ind w:left="5480" w:hanging="909"/>
        <w:spacing w:after="0"/>
        <w:tabs>
          <w:tab w:leader="none" w:pos="548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13d-1(c)</w:t>
      </w:r>
    </w:p>
    <w:p>
      <w:pPr>
        <w:spacing w:after="0" w:line="233" w:lineRule="exact"/>
        <w:rPr>
          <w:rFonts w:ascii="Arial" w:cs="Arial" w:eastAsia="Arial" w:hAnsi="Arial"/>
          <w:sz w:val="22"/>
          <w:szCs w:val="22"/>
          <w:color w:val="auto"/>
        </w:rPr>
      </w:pPr>
    </w:p>
    <w:p>
      <w:pPr>
        <w:ind w:left="4600"/>
        <w:spacing w:after="0"/>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Rule 13d-1(d)</w:t>
      </w:r>
    </w:p>
    <w:p>
      <w:pPr>
        <w:spacing w:after="0" w:line="233"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jc w:val="both"/>
        <w:spacing w:after="0" w:line="214" w:lineRule="auto"/>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22"/>
          <w:szCs w:val="22"/>
          <w:i w:val="1"/>
          <w:iCs w:val="1"/>
          <w:color w:val="auto"/>
        </w:rPr>
        <w:t>see the 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LP</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1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53,645</w:t>
      </w:r>
    </w:p>
    <w:p>
      <w:pPr>
        <w:spacing w:after="0" w:line="225" w:lineRule="exact"/>
        <w:rPr>
          <w:rFonts w:ascii="Arial" w:cs="Arial" w:eastAsia="Arial" w:hAnsi="Arial"/>
          <w:sz w:val="18"/>
          <w:szCs w:val="18"/>
          <w:color w:val="auto"/>
        </w:rPr>
      </w:pPr>
    </w:p>
    <w:p>
      <w:pPr>
        <w:ind w:left="1880" w:right="683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53,645</w:t>
      </w:r>
    </w:p>
    <w:p>
      <w:pPr>
        <w:ind w:left="1880" w:right="2559" w:hanging="1872"/>
        <w:spacing w:after="0" w:line="493"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53,645</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Offshore Master Fund, LP</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1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33,289</w:t>
      </w:r>
    </w:p>
    <w:p>
      <w:pPr>
        <w:spacing w:after="0" w:line="225" w:lineRule="exact"/>
        <w:rPr>
          <w:rFonts w:ascii="Arial" w:cs="Arial" w:eastAsia="Arial" w:hAnsi="Arial"/>
          <w:sz w:val="18"/>
          <w:szCs w:val="18"/>
          <w:color w:val="auto"/>
        </w:rPr>
      </w:pPr>
    </w:p>
    <w:p>
      <w:pPr>
        <w:ind w:left="1880" w:right="683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33,289</w:t>
      </w:r>
    </w:p>
    <w:p>
      <w:pPr>
        <w:ind w:left="1880" w:right="2559" w:hanging="1872"/>
        <w:spacing w:after="0" w:line="493"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33,289</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Partners Offshore, Ltd.</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1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33,289</w:t>
      </w:r>
    </w:p>
    <w:p>
      <w:pPr>
        <w:spacing w:after="0" w:line="225" w:lineRule="exact"/>
        <w:rPr>
          <w:rFonts w:ascii="Arial" w:cs="Arial" w:eastAsia="Arial" w:hAnsi="Arial"/>
          <w:sz w:val="18"/>
          <w:szCs w:val="18"/>
          <w:color w:val="auto"/>
        </w:rPr>
      </w:pPr>
    </w:p>
    <w:p>
      <w:pPr>
        <w:ind w:left="1880" w:right="683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33,289</w:t>
      </w:r>
    </w:p>
    <w:p>
      <w:pPr>
        <w:ind w:left="1880" w:right="2559" w:hanging="1872"/>
        <w:spacing w:after="0" w:line="493"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33,289</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4" w:name="page5"/>
    <w:bookmarkEnd w:id="4"/>
    <w:p>
      <w:pPr>
        <w:ind w:left="1040" w:hanging="103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Lugard Road Capital Master Fund, LP</w:t>
      </w:r>
    </w:p>
    <w:p>
      <w:pPr>
        <w:spacing w:after="0" w:line="225"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SHARED VOTING POWER 6,515,743</w:t>
      </w:r>
    </w:p>
    <w:p>
      <w:pPr>
        <w:ind w:left="1880" w:right="683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6,515,743</w:t>
      </w:r>
    </w:p>
    <w:p>
      <w:pPr>
        <w:ind w:left="1880" w:right="2559" w:hanging="1872"/>
        <w:spacing w:after="0" w:line="493"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6,515,743</w:t>
      </w: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10.16%</w:t>
      </w:r>
    </w:p>
    <w:p>
      <w:pPr>
        <w:ind w:left="1040" w:hanging="103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5" w:name="page6"/>
    <w:bookmarkEnd w:id="5"/>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right="3519"/>
        <w:spacing w:after="0" w:line="483"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Luxor Wavefront, LP</w:t>
      </w:r>
    </w:p>
    <w:p>
      <w:pPr>
        <w:spacing w:after="0" w:line="1"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ind w:left="1040" w:hanging="103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11"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13,440</w:t>
      </w:r>
    </w:p>
    <w:p>
      <w:pPr>
        <w:spacing w:after="0" w:line="225" w:lineRule="exact"/>
        <w:rPr>
          <w:rFonts w:ascii="Arial" w:cs="Arial" w:eastAsia="Arial" w:hAnsi="Arial"/>
          <w:sz w:val="18"/>
          <w:szCs w:val="18"/>
          <w:color w:val="auto"/>
        </w:rPr>
      </w:pPr>
    </w:p>
    <w:p>
      <w:pPr>
        <w:ind w:left="1880" w:right="683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DISPOSITIVE POWER 13,440</w:t>
      </w:r>
    </w:p>
    <w:p>
      <w:pPr>
        <w:ind w:left="1880" w:right="2559" w:hanging="1872"/>
        <w:spacing w:after="0" w:line="493" w:lineRule="auto"/>
        <w:tabs>
          <w:tab w:leader="none" w:pos="10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13,440</w:t>
      </w:r>
    </w:p>
    <w:p>
      <w:pPr>
        <w:ind w:left="1040" w:hanging="1032"/>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6" w:name="page7"/>
    <w:bookmarkEnd w:id="6"/>
    <w:p>
      <w:pPr>
        <w:ind w:left="1040" w:hanging="103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LCG Holdings, LLC</w:t>
      </w:r>
    </w:p>
    <w:p>
      <w:pPr>
        <w:spacing w:after="0" w:line="225" w:lineRule="exact"/>
        <w:rPr>
          <w:sz w:val="20"/>
          <w:szCs w:val="20"/>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SHARED VOTING POWER 100,374</w:t>
      </w:r>
    </w:p>
    <w:p>
      <w:pPr>
        <w:ind w:left="1880" w:right="683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DISPOSITIVE POWER 100,374</w:t>
      </w:r>
    </w:p>
    <w:p>
      <w:pPr>
        <w:ind w:left="1880" w:right="2559" w:hanging="1872"/>
        <w:spacing w:after="0" w:line="493" w:lineRule="auto"/>
        <w:tabs>
          <w:tab w:leader="none" w:pos="10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100,374</w:t>
      </w:r>
    </w:p>
    <w:p>
      <w:pPr>
        <w:ind w:left="1040" w:hanging="103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 Less than 1%</w:t>
      </w:r>
    </w:p>
    <w:p>
      <w:pPr>
        <w:ind w:left="1040" w:hanging="1032"/>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7" w:name="page8"/>
    <w:bookmarkEnd w:id="7"/>
    <w:p>
      <w:pPr>
        <w:ind w:left="1040" w:hanging="103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Lugard Road Capital GP, LLC</w:t>
      </w:r>
    </w:p>
    <w:p>
      <w:pPr>
        <w:spacing w:after="0" w:line="225" w:lineRule="exact"/>
        <w:rPr>
          <w:sz w:val="20"/>
          <w:szCs w:val="20"/>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SHARED VOTING POWER 6,515,743</w:t>
      </w:r>
    </w:p>
    <w:p>
      <w:pPr>
        <w:ind w:left="1880" w:right="683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DISPOSITIVE POWER 6,515,743</w:t>
      </w:r>
    </w:p>
    <w:p>
      <w:pPr>
        <w:ind w:left="1880" w:right="2559" w:hanging="1872"/>
        <w:spacing w:after="0" w:line="493" w:lineRule="auto"/>
        <w:tabs>
          <w:tab w:leader="none" w:pos="10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6,515,743</w:t>
      </w:r>
    </w:p>
    <w:p>
      <w:pPr>
        <w:ind w:left="1040" w:hanging="1032"/>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10.16%</w:t>
      </w:r>
    </w:p>
    <w:p>
      <w:pPr>
        <w:ind w:left="1040" w:hanging="103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8" w:name="page9"/>
    <w:bookmarkEnd w:id="8"/>
    <w:p>
      <w:pPr>
        <w:ind w:left="1040" w:hanging="1032"/>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Capital Group, LP</w:t>
      </w:r>
    </w:p>
    <w:p>
      <w:pPr>
        <w:spacing w:after="0" w:line="225" w:lineRule="exact"/>
        <w:rPr>
          <w:sz w:val="20"/>
          <w:szCs w:val="20"/>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SHARED VOTING POWER 6,616,117</w:t>
      </w:r>
    </w:p>
    <w:p>
      <w:pPr>
        <w:ind w:left="1880" w:right="683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SHARED DISPOSITIVE POWER 6,616,117</w:t>
      </w:r>
    </w:p>
    <w:p>
      <w:pPr>
        <w:ind w:left="1880" w:right="2559" w:hanging="1872"/>
        <w:spacing w:after="0" w:line="493" w:lineRule="auto"/>
        <w:tabs>
          <w:tab w:leader="none" w:pos="10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6,616,117</w:t>
      </w:r>
    </w:p>
    <w:p>
      <w:pPr>
        <w:ind w:left="1040" w:hanging="103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10.32%</w:t>
      </w:r>
    </w:p>
    <w:p>
      <w:pPr>
        <w:ind w:left="1040" w:hanging="1032"/>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9" w:name="page10"/>
    <w:bookmarkEnd w:id="9"/>
    <w:p>
      <w:pPr>
        <w:ind w:left="1040" w:hanging="1032"/>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Luxor Management, LLC</w:t>
      </w:r>
    </w:p>
    <w:p>
      <w:pPr>
        <w:spacing w:after="0" w:line="225" w:lineRule="exact"/>
        <w:rPr>
          <w:sz w:val="20"/>
          <w:szCs w:val="20"/>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SHARED VOTING POWER 6,616,117</w:t>
      </w:r>
    </w:p>
    <w:p>
      <w:pPr>
        <w:ind w:left="1880" w:right="683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SHARED DISPOSITIVE POWER 6,616,117</w:t>
      </w:r>
    </w:p>
    <w:p>
      <w:pPr>
        <w:ind w:left="1880" w:right="2559" w:hanging="1872"/>
        <w:spacing w:after="0" w:line="493" w:lineRule="auto"/>
        <w:tabs>
          <w:tab w:leader="none" w:pos="10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6,616,117</w:t>
      </w:r>
    </w:p>
    <w:p>
      <w:pPr>
        <w:ind w:left="1040" w:hanging="1032"/>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10.32%</w:t>
      </w:r>
    </w:p>
    <w:p>
      <w:pPr>
        <w:ind w:left="1040" w:hanging="1032"/>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0" w:name="page11"/>
    <w:bookmarkEnd w:id="10"/>
    <w:p>
      <w:pPr>
        <w:ind w:left="1040" w:hanging="103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Jonathan Green</w:t>
      </w:r>
    </w:p>
    <w:p>
      <w:pPr>
        <w:spacing w:after="0" w:line="225" w:lineRule="exact"/>
        <w:rPr>
          <w:sz w:val="20"/>
          <w:szCs w:val="20"/>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SHARED VOTING POWER 6,515,743</w:t>
      </w:r>
    </w:p>
    <w:p>
      <w:pPr>
        <w:ind w:left="1880" w:right="683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SHARED DISPOSITIVE POWER 6,515,743</w:t>
      </w:r>
    </w:p>
    <w:p>
      <w:pPr>
        <w:ind w:left="1880" w:right="2559" w:hanging="1872"/>
        <w:spacing w:after="0" w:line="493" w:lineRule="auto"/>
        <w:tabs>
          <w:tab w:leader="none" w:pos="10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6,515,743</w:t>
      </w:r>
    </w:p>
    <w:p>
      <w:pPr>
        <w:ind w:left="1040" w:hanging="103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10.16%</w:t>
      </w:r>
    </w:p>
    <w:p>
      <w:pPr>
        <w:ind w:left="1040" w:hanging="103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1" w:name="page12"/>
    <w:bookmarkEnd w:id="11"/>
    <w:p>
      <w:pPr>
        <w:ind w:left="1040" w:hanging="103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9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Christian Leone</w:t>
      </w:r>
    </w:p>
    <w:p>
      <w:pPr>
        <w:spacing w:after="0" w:line="225" w:lineRule="exact"/>
        <w:rPr>
          <w:sz w:val="20"/>
          <w:szCs w:val="20"/>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11"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[x]</w:t>
      </w:r>
    </w:p>
    <w:p>
      <w:pPr>
        <w:spacing w:after="0" w:line="23" w:lineRule="exact"/>
        <w:rPr>
          <w:rFonts w:ascii="Arial" w:cs="Arial" w:eastAsia="Arial" w:hAnsi="Arial"/>
          <w:sz w:val="18"/>
          <w:szCs w:val="18"/>
          <w:color w:val="auto"/>
        </w:rPr>
      </w:pPr>
    </w:p>
    <w:p>
      <w:pPr>
        <w:ind w:left="1420" w:hanging="386"/>
        <w:spacing w:after="0"/>
        <w:tabs>
          <w:tab w:leader="none" w:pos="1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12" w:lineRule="exact"/>
        <w:rPr>
          <w:sz w:val="20"/>
          <w:szCs w:val="20"/>
          <w:color w:val="auto"/>
        </w:rPr>
      </w:pPr>
    </w:p>
    <w:p>
      <w:pPr>
        <w:ind w:left="1880" w:right="723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6979" w:hanging="1872"/>
        <w:spacing w:after="0" w:line="522" w:lineRule="auto"/>
        <w:tabs>
          <w:tab w:leader="none" w:pos="10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SHARED VOTING POWER 6,616,117</w:t>
      </w:r>
    </w:p>
    <w:p>
      <w:pPr>
        <w:ind w:left="1880" w:right="683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57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SHARED DISPOSITIVE POWER 6,616,117</w:t>
      </w:r>
    </w:p>
    <w:p>
      <w:pPr>
        <w:ind w:left="1880" w:right="2559" w:hanging="1872"/>
        <w:spacing w:after="0" w:line="493" w:lineRule="auto"/>
        <w:tabs>
          <w:tab w:leader="none" w:pos="10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6,616,117</w:t>
      </w:r>
    </w:p>
    <w:p>
      <w:pPr>
        <w:ind w:left="1040" w:hanging="1032"/>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12"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18"/>
          <w:szCs w:val="18"/>
          <w:color w:val="auto"/>
        </w:rPr>
        <w:t>EXCLUDES CERTAIN SHARES</w:t>
        <w:tab/>
        <w:t>[ ]</w:t>
      </w:r>
    </w:p>
    <w:p>
      <w:pPr>
        <w:spacing w:after="0" w:line="196" w:lineRule="exact"/>
        <w:rPr>
          <w:sz w:val="20"/>
          <w:szCs w:val="20"/>
          <w:color w:val="auto"/>
        </w:rPr>
      </w:pPr>
    </w:p>
    <w:p>
      <w:pPr>
        <w:ind w:left="1880" w:right="4039" w:hanging="1872"/>
        <w:spacing w:after="0" w:line="493" w:lineRule="auto"/>
        <w:tabs>
          <w:tab w:leader="none" w:pos="104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10.32%</w:t>
      </w:r>
    </w:p>
    <w:p>
      <w:pPr>
        <w:ind w:left="1040" w:hanging="1032"/>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2" w:name="page13"/>
    <w:bookmarkEnd w:id="12"/>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WM Technology, Inc. (“Issuer”)</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41 Discovery</w:t>
      </w:r>
    </w:p>
    <w:p>
      <w:pPr>
        <w:ind w:left="660"/>
        <w:spacing w:after="0"/>
        <w:rPr>
          <w:sz w:val="20"/>
          <w:szCs w:val="20"/>
          <w:color w:val="auto"/>
        </w:rPr>
      </w:pPr>
      <w:r>
        <w:rPr>
          <w:rFonts w:ascii="Arial" w:cs="Arial" w:eastAsia="Arial" w:hAnsi="Arial"/>
          <w:sz w:val="22"/>
          <w:szCs w:val="22"/>
          <w:color w:val="auto"/>
        </w:rPr>
        <w:t>Irvine, California 92618</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 Name of Persons Filing:</w:t>
      </w:r>
    </w:p>
    <w:p>
      <w:pPr>
        <w:ind w:left="980" w:hanging="324"/>
        <w:spacing w:after="0" w:line="192" w:lineRule="auto"/>
        <w:tabs>
          <w:tab w:leader="none" w:pos="98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ind w:left="940" w:hanging="284"/>
        <w:spacing w:after="0"/>
        <w:tabs>
          <w:tab w:leader="none" w:pos="9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names and citizenships of the persons filing this statement on Schedule 13G are (collectively, the “Reporting</w:t>
      </w:r>
    </w:p>
    <w:p>
      <w:pPr>
        <w:ind w:left="980"/>
        <w:spacing w:after="0"/>
        <w:rPr>
          <w:sz w:val="20"/>
          <w:szCs w:val="20"/>
          <w:color w:val="auto"/>
        </w:rPr>
      </w:pPr>
      <w:r>
        <w:rPr>
          <w:rFonts w:ascii="Arial" w:cs="Arial" w:eastAsia="Arial" w:hAnsi="Arial"/>
          <w:sz w:val="22"/>
          <w:szCs w:val="22"/>
          <w:color w:val="auto"/>
        </w:rPr>
        <w:t>Persons”):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LP (the “Onshore Fund”)</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Offshore Master Fund, LP (the “Offshore Master Fund”)</w:t>
      </w:r>
    </w:p>
    <w:p>
      <w:pPr>
        <w:ind w:left="660"/>
        <w:spacing w:after="0"/>
        <w:rPr>
          <w:sz w:val="20"/>
          <w:szCs w:val="20"/>
          <w:color w:val="auto"/>
        </w:rPr>
      </w:pPr>
      <w:r>
        <w:rPr>
          <w:rFonts w:ascii="Arial" w:cs="Arial" w:eastAsia="Arial" w:hAnsi="Arial"/>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Partners Offshore, Ltd. (the “Offshore Feeder Fund”)</w:t>
      </w:r>
    </w:p>
    <w:p>
      <w:pPr>
        <w:ind w:left="660"/>
        <w:spacing w:after="0"/>
        <w:rPr>
          <w:sz w:val="20"/>
          <w:szCs w:val="20"/>
          <w:color w:val="auto"/>
        </w:rPr>
      </w:pPr>
      <w:r>
        <w:rPr>
          <w:rFonts w:ascii="Arial" w:cs="Arial" w:eastAsia="Arial" w:hAnsi="Arial"/>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Lugard Road Capital Master Fund, LP (the “Lugard Master Fund”)</w:t>
      </w:r>
    </w:p>
    <w:p>
      <w:pPr>
        <w:ind w:left="660"/>
        <w:spacing w:after="0"/>
        <w:rPr>
          <w:sz w:val="20"/>
          <w:szCs w:val="20"/>
          <w:color w:val="auto"/>
        </w:rPr>
      </w:pPr>
      <w:r>
        <w:rPr>
          <w:rFonts w:ascii="Arial" w:cs="Arial" w:eastAsia="Arial" w:hAnsi="Arial"/>
          <w:sz w:val="22"/>
          <w:szCs w:val="22"/>
          <w:color w:val="auto"/>
        </w:rPr>
        <w:t>Citizenship: Cayman Islands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Wavefront, LP (the “Wavefront Fund”)</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LCG Holdings, LLC (“LCG Holdings”)</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Lugard Road Capital GP, LLC (“Lugard GP”)</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Capital Group, LP (“Luxor Capital Group”)</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Luxor Management, LLC (“Luxor Management”)</w:t>
      </w:r>
    </w:p>
    <w:p>
      <w:pPr>
        <w:ind w:left="660"/>
        <w:spacing w:after="0"/>
        <w:rPr>
          <w:sz w:val="20"/>
          <w:szCs w:val="20"/>
          <w:color w:val="auto"/>
        </w:rPr>
      </w:pPr>
      <w:r>
        <w:rPr>
          <w:rFonts w:ascii="Arial" w:cs="Arial" w:eastAsia="Arial" w:hAnsi="Arial"/>
          <w:sz w:val="22"/>
          <w:szCs w:val="22"/>
          <w:color w:val="auto"/>
        </w:rPr>
        <w:t>Citizenship: Delaware</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Jonathan Green (“Mr. Green”)</w:t>
      </w:r>
    </w:p>
    <w:p>
      <w:pPr>
        <w:ind w:left="660"/>
        <w:spacing w:after="0"/>
        <w:rPr>
          <w:sz w:val="20"/>
          <w:szCs w:val="20"/>
          <w:color w:val="auto"/>
        </w:rPr>
      </w:pPr>
      <w:r>
        <w:rPr>
          <w:rFonts w:ascii="Arial" w:cs="Arial" w:eastAsia="Arial" w:hAnsi="Arial"/>
          <w:sz w:val="22"/>
          <w:szCs w:val="22"/>
          <w:color w:val="auto"/>
        </w:rPr>
        <w:t>Citizenship: United States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Christian Leone (“Mr. Leone”)</w:t>
      </w:r>
    </w:p>
    <w:p>
      <w:pPr>
        <w:ind w:left="660"/>
        <w:spacing w:after="0"/>
        <w:rPr>
          <w:sz w:val="20"/>
          <w:szCs w:val="20"/>
          <w:color w:val="auto"/>
        </w:rPr>
      </w:pPr>
      <w:r>
        <w:rPr>
          <w:rFonts w:ascii="Arial" w:cs="Arial" w:eastAsia="Arial" w:hAnsi="Arial"/>
          <w:sz w:val="22"/>
          <w:szCs w:val="22"/>
          <w:color w:val="auto"/>
        </w:rPr>
        <w:t>Citizenship: United States</w:t>
      </w:r>
    </w:p>
    <w:p>
      <w:pPr>
        <w:spacing w:after="0" w:line="35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The principal business address of each of the Onshore Fund, the Wavefront Fund, Luxor Capital Group, Luxor Management, Lugard GP, LCG Holdings, Mr. Green and Mr. Leone is 1114 Avenue of the Americas, 28th Floor, 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right="20" w:firstLine="648"/>
        <w:spacing w:after="0" w:line="283" w:lineRule="auto"/>
        <w:rPr>
          <w:sz w:val="20"/>
          <w:szCs w:val="20"/>
          <w:color w:val="auto"/>
        </w:rPr>
      </w:pPr>
      <w:r>
        <w:rPr>
          <w:rFonts w:ascii="Arial" w:cs="Arial" w:eastAsia="Arial" w:hAnsi="Arial"/>
          <w:sz w:val="19"/>
          <w:szCs w:val="19"/>
          <w:color w:val="auto"/>
        </w:rPr>
        <w:t>The principal business address of each of the Offshore Master Fund, the Offshore Feeder Fund and the Lugard Master Fund is c/o Maples Corporate Services Limited, P.O. Box 309, Ugland House, Grand Cayman, KY1-1104, Cayman Islands.</w:t>
      </w:r>
    </w:p>
    <w:p>
      <w:pPr>
        <w:spacing w:after="0" w:line="1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Class A common stock, par value $0.0001 per share (the “Class A Common Stock”).</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92971A109</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3"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9" w:lineRule="exact"/>
        <w:rPr>
          <w:rFonts w:ascii="Arial" w:cs="Arial" w:eastAsia="Arial" w:hAnsi="Arial"/>
          <w:sz w:val="18"/>
          <w:szCs w:val="18"/>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9" w:lineRule="exact"/>
        <w:rPr>
          <w:rFonts w:ascii="Arial" w:cs="Arial" w:eastAsia="Arial" w:hAnsi="Arial"/>
          <w:sz w:val="18"/>
          <w:szCs w:val="18"/>
          <w:color w:val="auto"/>
        </w:rPr>
      </w:pPr>
    </w:p>
    <w:p>
      <w:pPr>
        <w:ind w:left="1000" w:hanging="36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Investment adviser in accordance with Rule 13d-1(b)(1)(ii)(E).</w:t>
      </w:r>
    </w:p>
    <w:p>
      <w:pPr>
        <w:spacing w:after="0" w:line="9" w:lineRule="exact"/>
        <w:rPr>
          <w:rFonts w:ascii="Arial" w:cs="Arial" w:eastAsia="Arial" w:hAnsi="Arial"/>
          <w:sz w:val="18"/>
          <w:szCs w:val="18"/>
          <w:color w:val="auto"/>
        </w:rPr>
      </w:pPr>
    </w:p>
    <w:p>
      <w:pPr>
        <w:ind w:left="1000" w:hanging="35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Employee benefit plan or endowment fund in accordance with Rule 13d-1(b)(1)(ii)(F).</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Parent holding company or control person in accordance with Rule 13d-1(b)(1)(ii)(G).</w:t>
      </w:r>
    </w:p>
    <w:p>
      <w:pPr>
        <w:spacing w:after="0" w:line="9" w:lineRule="exact"/>
        <w:rPr>
          <w:rFonts w:ascii="Arial" w:cs="Arial" w:eastAsia="Arial" w:hAnsi="Arial"/>
          <w:sz w:val="18"/>
          <w:szCs w:val="18"/>
          <w:color w:val="auto"/>
        </w:rPr>
      </w:pPr>
    </w:p>
    <w:p>
      <w:pPr>
        <w:ind w:left="1000" w:hanging="36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   Savings association as defined in Section 3(b) of the Federal Deposit Insurance Act.</w:t>
      </w:r>
    </w:p>
    <w:p>
      <w:pPr>
        <w:spacing w:after="0" w:line="9"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   Church plan that is excluded from the definition of an investment company under Section 3(c)(14) of the Investment Company Act;</w:t>
      </w:r>
    </w:p>
    <w:p>
      <w:pPr>
        <w:spacing w:after="0" w:line="20" w:lineRule="exact"/>
        <w:rPr>
          <w:rFonts w:ascii="Arial" w:cs="Arial" w:eastAsia="Arial" w:hAnsi="Arial"/>
          <w:sz w:val="17"/>
          <w:szCs w:val="17"/>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   Non-U.S. institution in accordance with Section 240.13d-1(b)(1)(ii)(J).</w:t>
      </w:r>
    </w:p>
    <w:p>
      <w:pPr>
        <w:spacing w:after="0" w:line="9" w:lineRule="exact"/>
        <w:rPr>
          <w:sz w:val="20"/>
          <w:szCs w:val="20"/>
          <w:color w:val="auto"/>
        </w:rPr>
      </w:pPr>
    </w:p>
    <w:p>
      <w:pPr>
        <w:ind w:left="1420" w:hanging="788"/>
        <w:spacing w:after="0" w:line="245" w:lineRule="auto"/>
        <w:tabs>
          <w:tab w:leader="none" w:pos="100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 Group, in accordance with Rule 240.13d-1(b)(1)(ii)(K). If filing as a non-U.S. institution in accordance with § 240.13d-1(b)(1)(ii)(J), please specify the type of institution: ____</w:t>
      </w:r>
    </w:p>
    <w:p>
      <w:pPr>
        <w:spacing w:after="0" w:line="360"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9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the close of business on July 16, 2021:</w:t>
      </w:r>
    </w:p>
    <w:p>
      <w:pPr>
        <w:spacing w:after="0" w:line="186" w:lineRule="exact"/>
        <w:rPr>
          <w:sz w:val="20"/>
          <w:szCs w:val="20"/>
          <w:color w:val="auto"/>
        </w:rPr>
      </w:pPr>
    </w:p>
    <w:p>
      <w:pPr>
        <w:ind w:left="1220" w:right="20" w:hanging="564"/>
        <w:spacing w:after="0" w:line="308" w:lineRule="auto"/>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Onshore Fund beneficially owned 53,645 shares of Class A Common Stock, including 6,600 shares of Class A Common Stock underlying call options currently exercisable and 2,984 shares of Class A Common Stock underlying warrants currently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bookmarkStart w:id="14" w:name="page15"/>
    <w:bookmarkEnd w:id="14"/>
    <w:p>
      <w:pPr>
        <w:jc w:val="both"/>
        <w:ind w:left="1212" w:hanging="564"/>
        <w:spacing w:after="0" w:line="259"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Offshore Master Fund beneficially owned 33,289 shares of Class A Common Stock, including 3,900 shares of Class A Common Stock underlying call options currently exercisable and 1,798 shares of Class A Common Stock underlying warrants currently exercisable. The Offshore Feeder Fund, as the owner of a controlling interest in the Offshore Master Fund, may be deemed to have beneficially owned the shares of Class A Common Stock beneficially owned by the Offshore Master Fund.</w:t>
      </w:r>
    </w:p>
    <w:p>
      <w:pPr>
        <w:spacing w:after="0" w:line="186" w:lineRule="exact"/>
        <w:rPr>
          <w:rFonts w:ascii="Arial" w:cs="Arial" w:eastAsia="Arial" w:hAnsi="Arial"/>
          <w:sz w:val="18"/>
          <w:szCs w:val="18"/>
          <w:color w:val="auto"/>
        </w:rPr>
      </w:pPr>
    </w:p>
    <w:p>
      <w:pPr>
        <w:jc w:val="both"/>
        <w:ind w:left="1212" w:right="20" w:hanging="564"/>
        <w:spacing w:after="0" w:line="263"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Lugard Master Fund beneficially owned 6,515,743 shares of Class A Common Stock, including 788,000 shares of Class A Common Stock underlying call options currently exercisable and 364,365 shares of Class A Common Stock underlying warrants currently exercisable;</w:t>
      </w:r>
    </w:p>
    <w:p>
      <w:pPr>
        <w:spacing w:after="0" w:line="183" w:lineRule="exact"/>
        <w:rPr>
          <w:rFonts w:ascii="Arial" w:cs="Arial" w:eastAsia="Arial" w:hAnsi="Arial"/>
          <w:sz w:val="18"/>
          <w:szCs w:val="18"/>
          <w:color w:val="auto"/>
        </w:rPr>
      </w:pPr>
    </w:p>
    <w:p>
      <w:pPr>
        <w:ind w:left="1212" w:hanging="564"/>
        <w:spacing w:after="0" w:line="308" w:lineRule="auto"/>
        <w:tabs>
          <w:tab w:leader="none" w:pos="1212"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Wavefront Fund beneficially owned 13,440 shares of Class A Common Stock, including 1,500 shares of Class A Common Stock underlying call options currently exercisable and 609 shares of Class A Common Stock underlying warrants currently exercisable;</w:t>
      </w:r>
    </w:p>
    <w:p>
      <w:pPr>
        <w:spacing w:after="0" w:line="146" w:lineRule="exact"/>
        <w:rPr>
          <w:rFonts w:ascii="Arial" w:cs="Arial" w:eastAsia="Arial" w:hAnsi="Arial"/>
          <w:sz w:val="17"/>
          <w:szCs w:val="17"/>
          <w:color w:val="auto"/>
        </w:rPr>
      </w:pPr>
    </w:p>
    <w:p>
      <w:pPr>
        <w:jc w:val="both"/>
        <w:ind w:left="1212" w:hanging="564"/>
        <w:spacing w:after="0" w:line="263"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LCG Holdings, as the general partner of the Onshore Fund, the Offshore Master Fund and the Wavefront Fund may be deemed to have beneficially owned the 100,374 shares of Class A Common Stock beneficially owned by the Onshore Fund, the Offshore Master Fund and the Wavefront Fund;</w:t>
      </w:r>
    </w:p>
    <w:p>
      <w:pPr>
        <w:spacing w:after="0" w:line="183" w:lineRule="exact"/>
        <w:rPr>
          <w:rFonts w:ascii="Arial" w:cs="Arial" w:eastAsia="Arial" w:hAnsi="Arial"/>
          <w:sz w:val="18"/>
          <w:szCs w:val="18"/>
          <w:color w:val="auto"/>
        </w:rPr>
      </w:pPr>
    </w:p>
    <w:p>
      <w:pPr>
        <w:ind w:left="1212"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Lugard GP, as the general partner of the Lugard Master Fund, may be deemed to have beneficially owned the 6,515,743 shares of Class A Common Stock beneficially owned by the Lugard Master Fund;</w:t>
      </w:r>
    </w:p>
    <w:p>
      <w:pPr>
        <w:spacing w:after="0" w:line="170" w:lineRule="exact"/>
        <w:rPr>
          <w:rFonts w:ascii="Arial" w:cs="Arial" w:eastAsia="Arial" w:hAnsi="Arial"/>
          <w:sz w:val="18"/>
          <w:szCs w:val="18"/>
          <w:color w:val="auto"/>
        </w:rPr>
      </w:pPr>
    </w:p>
    <w:p>
      <w:pPr>
        <w:ind w:left="1212"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Mr. Green, as a managing member of Lugard GP, may be deemed to have beneficially owned the shares of 6,515,743 Class A Common Stock beneficially owned by Lugard GP;</w:t>
      </w:r>
    </w:p>
    <w:p>
      <w:pPr>
        <w:spacing w:after="0" w:line="170" w:lineRule="exact"/>
        <w:rPr>
          <w:rFonts w:ascii="Arial" w:cs="Arial" w:eastAsia="Arial" w:hAnsi="Arial"/>
          <w:sz w:val="18"/>
          <w:szCs w:val="18"/>
          <w:color w:val="auto"/>
        </w:rPr>
      </w:pPr>
    </w:p>
    <w:p>
      <w:pPr>
        <w:jc w:val="both"/>
        <w:ind w:left="1212" w:hanging="564"/>
        <w:spacing w:after="0" w:line="263"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Luxor Capital Group, as the investment manager of the Onshore Fund, the Offshore Feeder Fund, the Offshore Master Fund, the Lugard Master Fund and the Wavefront Fund (collectively, the “Funds”), may be deemed to have beneficially owned the 6,616,117 shares of Class A Common Stock beneficially owned by the Funds;</w:t>
      </w:r>
    </w:p>
    <w:p>
      <w:pPr>
        <w:spacing w:after="0" w:line="183" w:lineRule="exact"/>
        <w:rPr>
          <w:rFonts w:ascii="Arial" w:cs="Arial" w:eastAsia="Arial" w:hAnsi="Arial"/>
          <w:sz w:val="18"/>
          <w:szCs w:val="18"/>
          <w:color w:val="auto"/>
        </w:rPr>
      </w:pPr>
    </w:p>
    <w:p>
      <w:pPr>
        <w:ind w:left="1212"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Luxor Management, as the general partner of Luxor Capital Group, may be deemed to have beneficially owned the 6,616,117 shares of Class A Common Stock beneficially owned by Luxor Capital Group;</w:t>
      </w:r>
    </w:p>
    <w:p>
      <w:pPr>
        <w:spacing w:after="0" w:line="170" w:lineRule="exact"/>
        <w:rPr>
          <w:rFonts w:ascii="Arial" w:cs="Arial" w:eastAsia="Arial" w:hAnsi="Arial"/>
          <w:sz w:val="18"/>
          <w:szCs w:val="18"/>
          <w:color w:val="auto"/>
        </w:rPr>
      </w:pPr>
    </w:p>
    <w:p>
      <w:pPr>
        <w:ind w:left="1212" w:hanging="564"/>
        <w:spacing w:after="0" w:line="277" w:lineRule="auto"/>
        <w:tabs>
          <w:tab w:leader="none" w:pos="12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Mr. Leone, as the managing member of Luxor Management, may be deemed to have beneficially owned the 6,616,117 shares of Class A Common Stock beneficially owned by Luxor Management;</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4" w:lineRule="exact"/>
        <w:rPr>
          <w:sz w:val="20"/>
          <w:szCs w:val="20"/>
          <w:color w:val="auto"/>
        </w:rPr>
      </w:pPr>
    </w:p>
    <w:p>
      <w:pPr>
        <w:jc w:val="both"/>
        <w:ind w:left="652"/>
        <w:spacing w:after="0" w:line="235" w:lineRule="auto"/>
        <w:rPr>
          <w:sz w:val="20"/>
          <w:szCs w:val="20"/>
          <w:color w:val="auto"/>
        </w:rPr>
      </w:pPr>
      <w:r>
        <w:rPr>
          <w:rFonts w:ascii="Arial" w:cs="Arial" w:eastAsia="Arial" w:hAnsi="Arial"/>
          <w:sz w:val="19"/>
          <w:szCs w:val="19"/>
          <w:color w:val="auto"/>
        </w:rPr>
        <w:t>As of the close of business on July 16, 2021, the Reporting Persons may be deemed to have beneficially owned 6,616,117 shares of the Issuer’s Class A Common Stock or 10.32% of the Issuer’s Class A Common Stock outstanding, which percentage was calculated based on 63,738,563 shares of the Issuer’s Class A Common Stock outstanding as of June 16, 2021, as reported in the Issuer’s Form 8-K filed with the Securities and Exchange Commission on June 22, 2021. Specifically, as of the close of business on July 16, 2021 each Reporting Person beneficially owned such percentage as reflected on Item 11 of the applicable Cover Page hereto.</w:t>
      </w:r>
    </w:p>
    <w:p>
      <w:pPr>
        <w:spacing w:after="0" w:line="168" w:lineRule="exact"/>
        <w:rPr>
          <w:sz w:val="20"/>
          <w:szCs w:val="20"/>
          <w:color w:val="auto"/>
        </w:rPr>
      </w:pPr>
    </w:p>
    <w:p>
      <w:pPr>
        <w:ind w:left="652" w:hanging="652"/>
        <w:spacing w:after="0"/>
        <w:tabs>
          <w:tab w:leader="none" w:pos="6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Sole power to vote or to direct the vote of Class A Common Stock:</w:t>
      </w:r>
    </w:p>
    <w:p>
      <w:pPr>
        <w:spacing w:after="0" w:line="204"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15" w:name="page16"/>
    <w:bookmarkEnd w:id="15"/>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Shared power to vote or to direct the vote of Class A Common Stock:</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86"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Class A Common Stock:</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86"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Class A Common Stock:</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See Cover Pages Items 5-9.</w:t>
      </w:r>
    </w:p>
    <w:p>
      <w:pPr>
        <w:spacing w:after="0" w:line="160"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7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Persons have ceased to be the beneficial owner of more than five percent of the class of securities, check the following [ ].</w:t>
      </w:r>
    </w:p>
    <w:p>
      <w:pPr>
        <w:spacing w:after="0" w:line="139"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jc w:val="both"/>
        <w:ind w:left="1300" w:right="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Exhibit A of the Schedule 13G filed with the Securities and Exchange Commission on December 28, 2020.</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8"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auto"/>
        </w:rPr>
        <w:t>By signing below each of the undersigned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SIGNATURES</w:t>
      </w:r>
    </w:p>
    <w:p>
      <w:pPr>
        <w:spacing w:after="0" w:line="172"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After reasonable inquiry and to the best of its knowledge and belief, each of the undersigned certifies that the information with respect to it set forth in this statement is true, complete, and correct.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Dated: July 20,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78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OFFSHORE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LUXOR CAPITAL PARTNERS OFFSHORE,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Luxor Capital Group, LP, as investment manager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LUGARD ROAD CAPITAL MASTER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Lugard Road Capital GP, LLC, as General Partner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r>
      <w:tr>
        <w:trPr>
          <w:trHeight w:val="188"/>
        </w:trPr>
        <w:tc>
          <w:tcPr>
            <w:tcW w:w="66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r>
      <w:tr>
        <w:trPr>
          <w:trHeight w:val="230"/>
        </w:trPr>
        <w:tc>
          <w:tcPr>
            <w:tcW w:w="6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LUXOR CAPITAL GROUP,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Luxor Management, LLC, as General Partner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00" w:type="dxa"/>
            <w:vAlign w:val="bottom"/>
          </w:tcPr>
          <w:p>
            <w:pPr>
              <w:ind w:left="54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Norris Nissim</w:t>
            </w:r>
          </w:p>
        </w:tc>
        <w:tc>
          <w:tcPr>
            <w:tcW w:w="6240" w:type="dxa"/>
            <w:vAlign w:val="bottom"/>
          </w:tcPr>
          <w:p>
            <w:pPr>
              <w:spacing w:after="0"/>
              <w:rPr>
                <w:sz w:val="19"/>
                <w:szCs w:val="19"/>
                <w:color w:val="auto"/>
              </w:rPr>
            </w:pPr>
          </w:p>
        </w:tc>
      </w:tr>
      <w:tr>
        <w:trPr>
          <w:trHeight w:val="188"/>
        </w:trPr>
        <w:tc>
          <w:tcPr>
            <w:tcW w:w="1200" w:type="dxa"/>
            <w:vAlign w:val="bottom"/>
          </w:tcPr>
          <w:p>
            <w:pPr>
              <w:spacing w:after="0"/>
              <w:rPr>
                <w:sz w:val="16"/>
                <w:szCs w:val="16"/>
                <w:color w:val="auto"/>
              </w:rPr>
            </w:pPr>
          </w:p>
        </w:tc>
        <w:tc>
          <w:tcPr>
            <w:tcW w:w="3800" w:type="dxa"/>
            <w:vAlign w:val="bottom"/>
          </w:tcPr>
          <w:p>
            <w:pPr>
              <w:spacing w:after="0" w:line="189" w:lineRule="exact"/>
              <w:rPr>
                <w:sz w:val="20"/>
                <w:szCs w:val="20"/>
                <w:color w:val="auto"/>
              </w:rPr>
            </w:pPr>
            <w:r>
              <w:rPr>
                <w:rFonts w:ascii="Arial" w:cs="Arial" w:eastAsia="Arial" w:hAnsi="Arial"/>
                <w:sz w:val="18"/>
                <w:szCs w:val="18"/>
                <w:color w:val="auto"/>
              </w:rPr>
              <w:t>Norris Nissim,</w:t>
            </w:r>
          </w:p>
        </w:tc>
        <w:tc>
          <w:tcPr>
            <w:tcW w:w="6240" w:type="dxa"/>
            <w:vAlign w:val="bottom"/>
          </w:tcPr>
          <w:p>
            <w:pPr>
              <w:spacing w:after="0"/>
              <w:rPr>
                <w:sz w:val="16"/>
                <w:szCs w:val="16"/>
                <w:color w:val="auto"/>
              </w:rPr>
            </w:pPr>
          </w:p>
        </w:tc>
      </w:tr>
      <w:tr>
        <w:trPr>
          <w:trHeight w:val="230"/>
        </w:trPr>
        <w:tc>
          <w:tcPr>
            <w:tcW w:w="120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General Counsel</w:t>
            </w:r>
          </w:p>
        </w:tc>
        <w:tc>
          <w:tcPr>
            <w:tcW w:w="6240" w:type="dxa"/>
            <w:vAlign w:val="bottom"/>
          </w:tcPr>
          <w:p>
            <w:pPr>
              <w:spacing w:after="0"/>
              <w:rPr>
                <w:sz w:val="20"/>
                <w:szCs w:val="20"/>
                <w:color w:val="auto"/>
              </w:rPr>
            </w:pPr>
          </w:p>
        </w:tc>
      </w:tr>
      <w:tr>
        <w:trPr>
          <w:trHeight w:val="385"/>
        </w:trPr>
        <w:tc>
          <w:tcPr>
            <w:tcW w:w="12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LUXOR WAVEFRONT,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LCG Holdings, LLC, as General Partner</w:t>
      </w:r>
    </w:p>
    <w:p>
      <w:pPr>
        <w:spacing w:after="0" w:line="225" w:lineRule="exact"/>
        <w:rPr>
          <w:sz w:val="20"/>
          <w:szCs w:val="20"/>
          <w:color w:val="auto"/>
        </w:rPr>
      </w:pPr>
    </w:p>
    <w:p>
      <w:pPr>
        <w:ind w:left="600"/>
        <w:spacing w:after="0"/>
        <w:tabs>
          <w:tab w:leader="none" w:pos="1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6350</wp:posOffset>
            </wp:positionV>
            <wp:extent cx="23399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9975" cy="1714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General Counsel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LCG HOLDINGS,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6350</wp:posOffset>
            </wp:positionV>
            <wp:extent cx="24174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LUGARD ROAD CAPITAL GP,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6350</wp:posOffset>
            </wp:positionV>
            <wp:extent cx="24174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LUXOR MANAGEMENT, LLC</w:t>
      </w:r>
    </w:p>
    <w:p>
      <w:pPr>
        <w:spacing w:after="0" w:line="225"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6350</wp:posOffset>
            </wp:positionV>
            <wp:extent cx="24174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Norris Nissim,</w:t>
      </w:r>
    </w:p>
    <w:p>
      <w:pPr>
        <w:spacing w:after="0" w:line="1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718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NORRIS NISSIM, as Agent for Jonathan Green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718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NORRIS NISSIM, as Agent for Christian Leone</w:t>
      </w:r>
    </w:p>
    <w:sectPr>
      <w:pgSz w:w="11900" w:h="16838" w:orient="portrait"/>
      <w:cols w:equalWidth="0" w:num="1">
        <w:col w:w="10139"/>
      </w:cols>
      <w:pgMar w:left="32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Roman"/>
      <w:start w:val="10"/>
    </w:lvl>
  </w:abstractNum>
  <w:abstractNum w:abstractNumId="1">
    <w:nsid w:val="2901D82"/>
    <w:multiLevelType w:val="hybridMultilevel"/>
    <w:lvl w:ilvl="0">
      <w:lvlJc w:val="left"/>
      <w:lvlText w:val="%1."/>
      <w:numFmt w:val="decimal"/>
      <w:start w:val="1"/>
    </w:lvl>
  </w:abstractNum>
  <w:abstractNum w:abstractNumId="2">
    <w:nsid w:val="3A95F874"/>
    <w:multiLevelType w:val="hybridMultilevel"/>
    <w:lvl w:ilvl="0">
      <w:lvlJc w:val="left"/>
      <w:lvlText w:val="%1."/>
      <w:numFmt w:val="decimal"/>
      <w:start w:val="2"/>
    </w:lvl>
    <w:lvl w:ilvl="1">
      <w:lvlJc w:val="left"/>
      <w:lvlText w:val="(%2)"/>
      <w:numFmt w:val="lowerLetter"/>
      <w:start w:val="1"/>
    </w:lvl>
  </w:abstractNum>
  <w:abstractNum w:abstractNumId="3">
    <w:nsid w:val="8138641"/>
    <w:multiLevelType w:val="hybridMultilevel"/>
    <w:lvl w:ilvl="0">
      <w:lvlJc w:val="left"/>
      <w:lvlText w:val="%1."/>
      <w:numFmt w:val="decimal"/>
      <w:start w:val="5"/>
    </w:lvl>
  </w:abstractNum>
  <w:abstractNum w:abstractNumId="4">
    <w:nsid w:val="1E7FF521"/>
    <w:multiLevelType w:val="hybridMultilevel"/>
    <w:lvl w:ilvl="0">
      <w:lvlJc w:val="left"/>
      <w:lvlText w:val="%1."/>
      <w:numFmt w:val="decimal"/>
      <w:start w:val="1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2"/>
    </w:lvl>
    <w:lvl w:ilvl="1">
      <w:lvlJc w:val="left"/>
      <w:lvlText w:val="(%2)"/>
      <w:numFmt w:val="lowerLetter"/>
      <w:start w:val="1"/>
    </w:lvl>
  </w:abstractNum>
  <w:abstractNum w:abstractNumId="7">
    <w:nsid w:val="6CEAF087"/>
    <w:multiLevelType w:val="hybridMultilevel"/>
    <w:lvl w:ilvl="0">
      <w:lvlJc w:val="left"/>
      <w:lvlText w:val="%1."/>
      <w:numFmt w:val="decimal"/>
      <w:start w:val="5"/>
    </w:lvl>
  </w:abstractNum>
  <w:abstractNum w:abstractNumId="8">
    <w:nsid w:val="22221A70"/>
    <w:multiLevelType w:val="hybridMultilevel"/>
    <w:lvl w:ilvl="0">
      <w:lvlJc w:val="left"/>
      <w:lvlText w:val="%1."/>
      <w:numFmt w:val="decimal"/>
      <w:start w:val="1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2"/>
    </w:lvl>
    <w:lvl w:ilvl="1">
      <w:lvlJc w:val="left"/>
      <w:lvlText w:val="(%2)"/>
      <w:numFmt w:val="lowerLetter"/>
      <w:start w:val="1"/>
    </w:lvl>
  </w:abstractNum>
  <w:abstractNum w:abstractNumId="11">
    <w:nsid w:val="614FD4A1"/>
    <w:multiLevelType w:val="hybridMultilevel"/>
    <w:lvl w:ilvl="0">
      <w:lvlJc w:val="left"/>
      <w:lvlText w:val="%1."/>
      <w:numFmt w:val="decimal"/>
      <w:start w:val="5"/>
    </w:lvl>
  </w:abstractNum>
  <w:abstractNum w:abstractNumId="12">
    <w:nsid w:val="419AC241"/>
    <w:multiLevelType w:val="hybridMultilevel"/>
    <w:lvl w:ilvl="0">
      <w:lvlJc w:val="left"/>
      <w:lvlText w:val="%1."/>
      <w:numFmt w:val="decimal"/>
      <w:start w:val="1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2"/>
    </w:lvl>
    <w:lvl w:ilvl="1">
      <w:lvlJc w:val="left"/>
      <w:lvlText w:val="(%2)"/>
      <w:numFmt w:val="lowerLetter"/>
      <w:start w:val="1"/>
    </w:lvl>
  </w:abstractNum>
  <w:abstractNum w:abstractNumId="15">
    <w:nsid w:val="5072367"/>
    <w:multiLevelType w:val="hybridMultilevel"/>
    <w:lvl w:ilvl="0">
      <w:lvlJc w:val="left"/>
      <w:lvlText w:val="%1."/>
      <w:numFmt w:val="decimal"/>
      <w:start w:val="5"/>
    </w:lvl>
  </w:abstractNum>
  <w:abstractNum w:abstractNumId="16">
    <w:nsid w:val="3804823E"/>
    <w:multiLevelType w:val="hybridMultilevel"/>
    <w:lvl w:ilvl="0">
      <w:lvlJc w:val="left"/>
      <w:lvlText w:val="%1."/>
      <w:numFmt w:val="decimal"/>
      <w:start w:val="11"/>
    </w:lvl>
  </w:abstractNum>
  <w:abstractNum w:abstractNumId="17">
    <w:nsid w:val="77465F01"/>
    <w:multiLevelType w:val="hybridMultilevel"/>
    <w:lvl w:ilvl="0">
      <w:lvlJc w:val="left"/>
      <w:lvlText w:val="%1."/>
      <w:numFmt w:val="decimal"/>
      <w:start w:val="1"/>
    </w:lvl>
    <w:lvl w:ilvl="1">
      <w:lvlJc w:val="left"/>
      <w:lvlText w:val="(%2)"/>
      <w:numFmt w:val="lowerLetter"/>
      <w:start w:val="1"/>
    </w:lvl>
  </w:abstractNum>
  <w:abstractNum w:abstractNumId="18">
    <w:nsid w:val="7724C67E"/>
    <w:multiLevelType w:val="hybridMultilevel"/>
    <w:lvl w:ilvl="0">
      <w:lvlJc w:val="left"/>
      <w:lvlText w:val="%1."/>
      <w:numFmt w:val="decimal"/>
      <w:start w:val="5"/>
    </w:lvl>
  </w:abstractNum>
  <w:abstractNum w:abstractNumId="19">
    <w:nsid w:val="5C482A97"/>
    <w:multiLevelType w:val="hybridMultilevel"/>
    <w:lvl w:ilvl="0">
      <w:lvlJc w:val="left"/>
      <w:lvlText w:val="%1."/>
      <w:numFmt w:val="decimal"/>
      <w:start w:val="1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lvl w:ilvl="1">
      <w:lvlJc w:val="left"/>
      <w:lvlText w:val="(%2)"/>
      <w:numFmt w:val="lowerLetter"/>
      <w:start w:val="1"/>
    </w:lvl>
  </w:abstractNum>
  <w:abstractNum w:abstractNumId="22">
    <w:nsid w:val="51EAD36B"/>
    <w:multiLevelType w:val="hybridMultilevel"/>
    <w:lvl w:ilvl="0">
      <w:lvlJc w:val="left"/>
      <w:lvlText w:val="%1."/>
      <w:numFmt w:val="decimal"/>
      <w:start w:val="5"/>
    </w:lvl>
  </w:abstractNum>
  <w:abstractNum w:abstractNumId="23">
    <w:nsid w:val="2D517796"/>
    <w:multiLevelType w:val="hybridMultilevel"/>
    <w:lvl w:ilvl="0">
      <w:lvlJc w:val="left"/>
      <w:lvlText w:val="%1."/>
      <w:numFmt w:val="decimal"/>
      <w:start w:val="1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2"/>
    </w:lvl>
    <w:lvl w:ilvl="1">
      <w:lvlJc w:val="left"/>
      <w:lvlText w:val="(%2)"/>
      <w:numFmt w:val="lowerLetter"/>
      <w:start w:val="1"/>
    </w:lvl>
  </w:abstractNum>
  <w:abstractNum w:abstractNumId="26">
    <w:nsid w:val="3855585C"/>
    <w:multiLevelType w:val="hybridMultilevel"/>
    <w:lvl w:ilvl="0">
      <w:lvlJc w:val="left"/>
      <w:lvlText w:val="%1."/>
      <w:numFmt w:val="decimal"/>
      <w:start w:val="5"/>
    </w:lvl>
  </w:abstractNum>
  <w:abstractNum w:abstractNumId="27">
    <w:nsid w:val="70A64E2A"/>
    <w:multiLevelType w:val="hybridMultilevel"/>
    <w:lvl w:ilvl="0">
      <w:lvlJc w:val="left"/>
      <w:lvlText w:val="%1."/>
      <w:numFmt w:val="decimal"/>
      <w:start w:val="1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2"/>
    </w:lvl>
    <w:lvl w:ilvl="1">
      <w:lvlJc w:val="left"/>
      <w:lvlText w:val="(%2)"/>
      <w:numFmt w:val="lowerLetter"/>
      <w:start w:val="1"/>
    </w:lvl>
  </w:abstractNum>
  <w:abstractNum w:abstractNumId="30">
    <w:nsid w:val="1D4ED43B"/>
    <w:multiLevelType w:val="hybridMultilevel"/>
    <w:lvl w:ilvl="0">
      <w:lvlJc w:val="left"/>
      <w:lvlText w:val="%1."/>
      <w:numFmt w:val="decimal"/>
      <w:start w:val="5"/>
    </w:lvl>
  </w:abstractNum>
  <w:abstractNum w:abstractNumId="31">
    <w:nsid w:val="725A06FB"/>
    <w:multiLevelType w:val="hybridMultilevel"/>
    <w:lvl w:ilvl="0">
      <w:lvlJc w:val="left"/>
      <w:lvlText w:val="%1."/>
      <w:numFmt w:val="decimal"/>
      <w:start w:val="1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2"/>
    </w:lvl>
    <w:lvl w:ilvl="1">
      <w:lvlJc w:val="left"/>
      <w:lvlText w:val="(%2)"/>
      <w:numFmt w:val="lowerLetter"/>
      <w:start w:val="1"/>
    </w:lvl>
  </w:abstractNum>
  <w:abstractNum w:abstractNumId="34">
    <w:nsid w:val="7A6D8D3C"/>
    <w:multiLevelType w:val="hybridMultilevel"/>
    <w:lvl w:ilvl="0">
      <w:lvlJc w:val="left"/>
      <w:lvlText w:val="%1."/>
      <w:numFmt w:val="decimal"/>
      <w:start w:val="5"/>
    </w:lvl>
  </w:abstractNum>
  <w:abstractNum w:abstractNumId="35">
    <w:nsid w:val="4B588F54"/>
    <w:multiLevelType w:val="hybridMultilevel"/>
    <w:lvl w:ilvl="0">
      <w:lvlJc w:val="left"/>
      <w:lvlText w:val="%1."/>
      <w:numFmt w:val="decimal"/>
      <w:start w:val="1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lvl w:ilvl="1">
      <w:lvlJc w:val="left"/>
      <w:lvlText w:val="(%2)"/>
      <w:numFmt w:val="lowerLetter"/>
      <w:start w:val="1"/>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decimal"/>
      <w:start w:val="1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2"/>
    </w:lvl>
    <w:lvl w:ilvl="1">
      <w:lvlJc w:val="left"/>
      <w:lvlText w:val="(%2)"/>
      <w:numFmt w:val="lowerLetter"/>
      <w:start w:val="1"/>
    </w:lvl>
  </w:abstractNum>
  <w:abstractNum w:abstractNumId="42">
    <w:nsid w:val="579478FE"/>
    <w:multiLevelType w:val="hybridMultilevel"/>
    <w:lvl w:ilvl="0">
      <w:lvlJc w:val="left"/>
      <w:lvlText w:val="%1."/>
      <w:numFmt w:val="decimal"/>
      <w:start w:val="5"/>
    </w:lvl>
  </w:abstractNum>
  <w:abstractNum w:abstractNumId="43">
    <w:nsid w:val="749ABB43"/>
    <w:multiLevelType w:val="hybridMultilevel"/>
    <w:lvl w:ilvl="0">
      <w:lvlJc w:val="left"/>
      <w:lvlText w:val="%1."/>
      <w:numFmt w:val="decimal"/>
      <w:start w:val="11"/>
    </w:lvl>
  </w:abstractNum>
  <w:abstractNum w:abstractNumId="44">
    <w:nsid w:val="3DC240FB"/>
    <w:multiLevelType w:val="hybridMultilevel"/>
    <w:lvl w:ilvl="0">
      <w:lvlJc w:val="left"/>
      <w:lvlText w:val="(%1)"/>
      <w:numFmt w:val="lowerLetter"/>
      <w:start w:val="2"/>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9"/>
    </w:lvl>
  </w:abstractNum>
  <w:abstractNum w:abstractNumId="47">
    <w:nsid w:val="75C6C33A"/>
    <w:multiLevelType w:val="hybridMultilevel"/>
    <w:lvl w:ilvl="0">
      <w:lvlJc w:val="left"/>
      <w:lvlText w:val="(%1)"/>
      <w:numFmt w:val="lowerLetter"/>
      <w:start w:val="1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Roman"/>
      <w:start w:val="1"/>
    </w:lvl>
  </w:abstractNum>
  <w:abstractNum w:abstractNumId="50">
    <w:nsid w:val="520EEDD1"/>
    <w:multiLevelType w:val="hybridMultilevel"/>
    <w:lvl w:ilvl="0">
      <w:lvlJc w:val="left"/>
      <w:lvlText w:val="%1"/>
      <w:numFmt w:val="lowerLetter"/>
      <w:start w:val="1"/>
    </w:lvl>
    <w:lvl w:ilvl="1">
      <w:lvlJc w:val="left"/>
      <w:lvlText w:val="(%2)"/>
      <w:numFmt w:val="lowerRoman"/>
      <w:start w:val="2"/>
    </w:lvl>
  </w:abstractNum>
  <w:abstractNum w:abstractNumId="51">
    <w:nsid w:val="374A3FE6"/>
    <w:multiLevelType w:val="hybridMultilevel"/>
    <w:lvl w:ilvl="0">
      <w:lvlJc w:val="left"/>
      <w:lvlText w:val="(%1)"/>
      <w:numFmt w:val="lowerLetter"/>
      <w:start w:val="2"/>
    </w:lvl>
    <w:lvl w:ilvl="1">
      <w:lvlJc w:val="left"/>
      <w:lvlText w:val="%2"/>
      <w:numFmt w:val="lowerRoman"/>
      <w:start w:val="1"/>
    </w:lvl>
  </w:abstractNum>
  <w:abstractNum w:abstractNumId="52">
    <w:nsid w:val="4F4EF005"/>
    <w:multiLevelType w:val="hybridMultilevel"/>
    <w:lvl w:ilvl="0">
      <w:lvlJc w:val="left"/>
      <w:lvlText w:val="(%1)"/>
      <w:numFmt w:val="lowerLetter"/>
      <w:start w:val="3"/>
    </w:lvl>
    <w:lvl w:ilvl="1">
      <w:lvlJc w:val="left"/>
      <w:lvlText w:val="(%2)"/>
      <w:numFmt w:val="lowerLetter"/>
      <w:start w:val="9"/>
    </w:lvl>
  </w:abstractNum>
  <w:abstractNum w:abstractNumId="53">
    <w:nsid w:val="23F9C13C"/>
    <w:multiLevelType w:val="hybridMultilevel"/>
    <w:lvl w:ilvl="0">
      <w:lvlJc w:val="left"/>
      <w:lvlText w:val="(%1)"/>
      <w:numFmt w:val="lowerRoman"/>
      <w:start w:val="2"/>
    </w:lvl>
  </w:abstractNum>
  <w:abstractNum w:abstractNumId="54">
    <w:nsid w:val="649BB77C"/>
    <w:multiLevelType w:val="hybridMultilevel"/>
    <w:lvl w:ilvl="0">
      <w:lvlJc w:val="left"/>
      <w:lvlText w:val="(%1)"/>
      <w:numFmt w:val="lowerRoman"/>
      <w:start w:val="3"/>
    </w:lvl>
  </w:abstractNum>
  <w:abstractNum w:abstractNumId="55">
    <w:nsid w:val="275AC79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2021-07-21T05:15:17Z</dcterms:created>
  <dcterms:modified xsi:type="dcterms:W3CDTF">2021-07-21T05:15:17Z</dcterms:modified>
</cp:coreProperties>
</file>