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Silver Spike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G8136L106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60"/>
        <w:spacing w:after="0"/>
        <w:rPr>
          <w:sz w:val="24"/>
          <w:szCs w:val="24"/>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rFonts w:ascii="MS PGothic" w:cs="MS PGothic" w:eastAsia="MS PGothic" w:hAnsi="MS PGothic"/>
          <w:sz w:val="18"/>
          <w:szCs w:val="18"/>
          <w:color w:val="auto"/>
        </w:rPr>
      </w:pPr>
    </w:p>
    <w:p>
      <w:pPr>
        <w:ind w:left="340" w:hanging="324"/>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G8136L106</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0" w:type="dxa"/>
            <w:vAlign w:val="bottom"/>
            <w:tcBorders>
              <w:top w:val="single" w:sz="8" w:color="auto"/>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80" w:type="dxa"/>
            <w:vAlign w:val="bottom"/>
            <w:tcBorders>
              <w:top w:val="single" w:sz="8" w:color="auto"/>
              <w:right w:val="single" w:sz="8" w:color="auto"/>
            </w:tcBorders>
          </w:tcPr>
          <w:p>
            <w:pPr>
              <w:spacing w:after="0"/>
              <w:rPr>
                <w:sz w:val="23"/>
                <w:szCs w:val="23"/>
                <w:color w:val="auto"/>
              </w:rPr>
            </w:pPr>
          </w:p>
        </w:tc>
        <w:tc>
          <w:tcPr>
            <w:tcW w:w="1040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RP Investment Advisors LP</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91"/>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tcBorders>
              <w:bottom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80" w:type="dxa"/>
            <w:vAlign w:val="bottom"/>
            <w:tcBorders>
              <w:right w:val="single" w:sz="8" w:color="auto"/>
            </w:tcBorders>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Ontario, Canada</w:t>
            </w: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7"/>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gridSpan w:val="2"/>
          </w:tcPr>
          <w:p>
            <w:pPr>
              <w:jc w:val="center"/>
              <w:ind w:right="51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right w:val="single" w:sz="8" w:color="auto"/>
            </w:tcBorders>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560" w:type="dxa"/>
            <w:vAlign w:val="bottom"/>
            <w:tcBorders>
              <w:left w:val="single" w:sz="8" w:color="auto"/>
            </w:tcBorders>
          </w:tcPr>
          <w:p>
            <w:pPr>
              <w:spacing w:after="0"/>
              <w:rPr>
                <w:sz w:val="3"/>
                <w:szCs w:val="3"/>
                <w:color w:val="auto"/>
              </w:rPr>
            </w:pPr>
          </w:p>
        </w:tc>
        <w:tc>
          <w:tcPr>
            <w:tcW w:w="116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PN, IA, FI</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G8136L106</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0" w:type="dxa"/>
            <w:vAlign w:val="bottom"/>
            <w:tcBorders>
              <w:top w:val="single" w:sz="8" w:color="auto"/>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80" w:type="dxa"/>
            <w:vAlign w:val="bottom"/>
            <w:tcBorders>
              <w:top w:val="single" w:sz="8" w:color="auto"/>
              <w:right w:val="single" w:sz="8" w:color="auto"/>
            </w:tcBorders>
          </w:tcPr>
          <w:p>
            <w:pPr>
              <w:spacing w:after="0"/>
              <w:rPr>
                <w:sz w:val="23"/>
                <w:szCs w:val="23"/>
                <w:color w:val="auto"/>
              </w:rPr>
            </w:pPr>
          </w:p>
        </w:tc>
        <w:tc>
          <w:tcPr>
            <w:tcW w:w="1040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RP Select Opportunities Master Fund Ltd.</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91"/>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tcBorders>
              <w:bottom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80" w:type="dxa"/>
            <w:vAlign w:val="bottom"/>
            <w:tcBorders>
              <w:right w:val="single" w:sz="8" w:color="auto"/>
            </w:tcBorders>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7"/>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gridSpan w:val="2"/>
          </w:tcPr>
          <w:p>
            <w:pPr>
              <w:jc w:val="center"/>
              <w:ind w:right="51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right w:val="single" w:sz="8" w:color="auto"/>
            </w:tcBorders>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560" w:type="dxa"/>
            <w:vAlign w:val="bottom"/>
            <w:tcBorders>
              <w:left w:val="single" w:sz="8" w:color="auto"/>
            </w:tcBorders>
          </w:tcPr>
          <w:p>
            <w:pPr>
              <w:spacing w:after="0"/>
              <w:rPr>
                <w:sz w:val="3"/>
                <w:szCs w:val="3"/>
                <w:color w:val="auto"/>
              </w:rPr>
            </w:pPr>
          </w:p>
        </w:tc>
        <w:tc>
          <w:tcPr>
            <w:tcW w:w="116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G8136L106</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0" w:type="dxa"/>
            <w:vAlign w:val="bottom"/>
            <w:tcBorders>
              <w:top w:val="single" w:sz="8" w:color="auto"/>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280" w:type="dxa"/>
            <w:vAlign w:val="bottom"/>
            <w:tcBorders>
              <w:top w:val="single" w:sz="8" w:color="auto"/>
              <w:right w:val="single" w:sz="8" w:color="auto"/>
            </w:tcBorders>
          </w:tcPr>
          <w:p>
            <w:pPr>
              <w:spacing w:after="0"/>
              <w:rPr>
                <w:sz w:val="23"/>
                <w:szCs w:val="23"/>
                <w:color w:val="auto"/>
              </w:rPr>
            </w:pPr>
          </w:p>
        </w:tc>
        <w:tc>
          <w:tcPr>
            <w:tcW w:w="10400" w:type="dxa"/>
            <w:vAlign w:val="bottom"/>
            <w:tcBorders>
              <w:top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RP Debt Opportunities Fund Ltd.</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91"/>
        </w:trPr>
        <w:tc>
          <w:tcPr>
            <w:tcW w:w="560" w:type="dxa"/>
            <w:vAlign w:val="bottom"/>
            <w:tcBorders>
              <w:left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6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w:t>
            </w:r>
          </w:p>
        </w:tc>
        <w:tc>
          <w:tcPr>
            <w:tcW w:w="780" w:type="dxa"/>
            <w:vAlign w:val="bottom"/>
            <w:tcBorders>
              <w:bottom w:val="single" w:sz="8" w:color="auto"/>
            </w:tcBorders>
          </w:tcPr>
          <w:p>
            <w:pPr>
              <w:spacing w:after="0"/>
              <w:rPr>
                <w:sz w:val="20"/>
                <w:szCs w:val="20"/>
                <w:color w:val="auto"/>
              </w:rPr>
            </w:pPr>
          </w:p>
        </w:tc>
        <w:tc>
          <w:tcPr>
            <w:tcW w:w="8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80" w:type="dxa"/>
            <w:vAlign w:val="bottom"/>
            <w:tcBorders>
              <w:right w:val="single" w:sz="8" w:color="auto"/>
            </w:tcBorders>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8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Cayman Islands</w:t>
            </w: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7"/>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1"/>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80" w:type="dxa"/>
            <w:vAlign w:val="bottom"/>
            <w:tcBorders>
              <w:bottom w:val="single" w:sz="8" w:color="auto"/>
              <w:right w:val="single" w:sz="8" w:color="auto"/>
            </w:tcBorders>
          </w:tcPr>
          <w:p>
            <w:pPr>
              <w:spacing w:after="0"/>
              <w:rPr>
                <w:sz w:val="19"/>
                <w:szCs w:val="19"/>
                <w:color w:val="auto"/>
              </w:rPr>
            </w:pPr>
          </w:p>
        </w:tc>
        <w:tc>
          <w:tcPr>
            <w:tcW w:w="87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60" w:type="dxa"/>
            <w:vAlign w:val="bottom"/>
            <w:tcBorders>
              <w:left w:val="single" w:sz="8" w:color="auto"/>
            </w:tcBorders>
          </w:tcPr>
          <w:p>
            <w:pPr>
              <w:spacing w:after="0"/>
              <w:rPr>
                <w:sz w:val="16"/>
                <w:szCs w:val="16"/>
                <w:color w:val="auto"/>
              </w:rPr>
            </w:pPr>
          </w:p>
        </w:tc>
        <w:tc>
          <w:tcPr>
            <w:tcW w:w="1160" w:type="dxa"/>
            <w:vAlign w:val="bottom"/>
            <w:tcBorders>
              <w:right w:val="single" w:sz="8" w:color="auto"/>
            </w:tcBorders>
            <w:gridSpan w:val="2"/>
          </w:tcPr>
          <w:p>
            <w:pPr>
              <w:jc w:val="center"/>
              <w:ind w:right="510"/>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780" w:type="dxa"/>
            <w:vAlign w:val="bottom"/>
            <w:tcBorders>
              <w:right w:val="single" w:sz="8" w:color="auto"/>
            </w:tcBorders>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7</w:t>
            </w:r>
          </w:p>
        </w:tc>
        <w:tc>
          <w:tcPr>
            <w:tcW w:w="8740" w:type="dxa"/>
            <w:vAlign w:val="bottom"/>
            <w:tcBorders>
              <w:right w:val="single" w:sz="8" w:color="auto"/>
            </w:tcBorders>
          </w:tcPr>
          <w:p>
            <w:pPr>
              <w:ind w:left="100"/>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780" w:type="dxa"/>
            <w:vAlign w:val="bottom"/>
            <w:tcBorders>
              <w:right w:val="single" w:sz="8" w:color="auto"/>
            </w:tcBorders>
          </w:tcPr>
          <w:p>
            <w:pPr>
              <w:spacing w:after="0"/>
              <w:rPr>
                <w:sz w:val="18"/>
                <w:szCs w:val="18"/>
                <w:color w:val="auto"/>
              </w:rPr>
            </w:pP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560" w:type="dxa"/>
            <w:vAlign w:val="bottom"/>
            <w:tcBorders>
              <w:left w:val="single" w:sz="8" w:color="auto"/>
            </w:tcBorders>
          </w:tcPr>
          <w:p>
            <w:pPr>
              <w:spacing w:after="0"/>
              <w:rPr>
                <w:sz w:val="3"/>
                <w:szCs w:val="3"/>
                <w:color w:val="auto"/>
              </w:rPr>
            </w:pPr>
          </w:p>
        </w:tc>
        <w:tc>
          <w:tcPr>
            <w:tcW w:w="1160" w:type="dxa"/>
            <w:vAlign w:val="bottom"/>
            <w:tcBorders>
              <w:right w:val="single" w:sz="8" w:color="auto"/>
            </w:tcBorders>
            <w:gridSpan w:val="2"/>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7"/>
              </w:rPr>
              <w:t>WITH</w:t>
            </w:r>
          </w:p>
        </w:tc>
        <w:tc>
          <w:tcPr>
            <w:tcW w:w="780" w:type="dxa"/>
            <w:vAlign w:val="bottom"/>
            <w:tcBorders>
              <w:bottom w:val="single" w:sz="8" w:color="auto"/>
              <w:right w:val="single" w:sz="8" w:color="auto"/>
            </w:tcBorders>
          </w:tcPr>
          <w:p>
            <w:pPr>
              <w:spacing w:after="0"/>
              <w:rPr>
                <w:sz w:val="3"/>
                <w:szCs w:val="3"/>
                <w:color w:val="auto"/>
              </w:rPr>
            </w:pPr>
          </w:p>
        </w:tc>
        <w:tc>
          <w:tcPr>
            <w:tcW w:w="8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spacing w:after="0"/>
              <w:rPr>
                <w:sz w:val="20"/>
                <w:szCs w:val="20"/>
                <w:color w:val="auto"/>
              </w:rPr>
            </w:pPr>
          </w:p>
        </w:tc>
        <w:tc>
          <w:tcPr>
            <w:tcW w:w="1160" w:type="dxa"/>
            <w:vAlign w:val="bottom"/>
            <w:tcBorders>
              <w:right w:val="single" w:sz="8" w:color="auto"/>
            </w:tcBorders>
            <w:gridSpan w:val="2"/>
            <w:vMerge w:val="continue"/>
          </w:tcPr>
          <w:p>
            <w:pPr>
              <w:spacing w:after="0"/>
              <w:rPr>
                <w:sz w:val="20"/>
                <w:szCs w:val="20"/>
                <w:color w:val="auto"/>
              </w:rPr>
            </w:pPr>
          </w:p>
        </w:tc>
        <w:tc>
          <w:tcPr>
            <w:tcW w:w="78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w:t>
            </w:r>
          </w:p>
        </w:tc>
        <w:tc>
          <w:tcPr>
            <w:tcW w:w="8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280" w:type="dxa"/>
            <w:vAlign w:val="bottom"/>
            <w:tcBorders>
              <w:right w:val="single" w:sz="8" w:color="auto"/>
            </w:tcBorders>
          </w:tcPr>
          <w:p>
            <w:pPr>
              <w:spacing w:after="0"/>
              <w:rPr>
                <w:sz w:val="24"/>
                <w:szCs w:val="24"/>
                <w:color w:val="auto"/>
              </w:rPr>
            </w:pPr>
          </w:p>
        </w:tc>
        <w:tc>
          <w:tcPr>
            <w:tcW w:w="10400" w:type="dxa"/>
            <w:vAlign w:val="bottom"/>
            <w:tcBorders>
              <w:right w:val="single" w:sz="8" w:color="auto"/>
            </w:tcBorders>
            <w:gridSpan w:val="3"/>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2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17"/>
        </w:trPr>
        <w:tc>
          <w:tcPr>
            <w:tcW w:w="56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w:t>
            </w: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11" w:lineRule="exact"/>
        <w:rPr>
          <w:sz w:val="20"/>
          <w:szCs w:val="20"/>
          <w:color w:val="auto"/>
        </w:rPr>
      </w:pPr>
    </w:p>
    <w:p>
      <w:pPr>
        <w:sectPr>
          <w:pgSz w:w="11900" w:h="16838" w:orient="portrait"/>
          <w:cols w:equalWidth="0" w:num="2">
            <w:col w:w="900" w:space="400"/>
            <w:col w:w="9940"/>
          </w:cols>
          <w:pgMar w:left="320" w:top="900" w:right="339" w:bottom="1440" w:gutter="0" w:footer="0" w:header="0"/>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Silver Spike Acquisition Corp. (the “Issuer”)</w:t>
      </w:r>
    </w:p>
    <w:p>
      <w:pPr>
        <w:sectPr>
          <w:pgSz w:w="11900" w:h="16838" w:orient="portrait"/>
          <w:cols w:equalWidth="0" w:num="1">
            <w:col w:w="11240"/>
          </w:cols>
          <w:pgMar w:left="320" w:top="90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900" w:space="400"/>
            <w:col w:w="9940"/>
          </w:cols>
          <w:pgMar w:left="320" w:top="900"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1114 6th Ave, 41st Floor, New York, NY 10036</w:t>
      </w:r>
    </w:p>
    <w:p>
      <w:pPr>
        <w:sectPr>
          <w:pgSz w:w="11900" w:h="16838" w:orient="portrait"/>
          <w:cols w:equalWidth="0" w:num="1">
            <w:col w:w="11240"/>
          </w:cols>
          <w:pgMar w:left="320" w:top="900"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 Filing:</w:t>
      </w:r>
    </w:p>
    <w:p>
      <w:pPr>
        <w:spacing w:after="0" w:line="200" w:lineRule="exact"/>
        <w:rPr>
          <w:sz w:val="20"/>
          <w:szCs w:val="20"/>
          <w:color w:val="auto"/>
        </w:rPr>
      </w:pPr>
    </w:p>
    <w:p>
      <w:pPr>
        <w:sectPr>
          <w:pgSz w:w="11900" w:h="16838" w:orient="portrait"/>
          <w:cols w:equalWidth="0" w:num="2">
            <w:col w:w="900" w:space="400"/>
            <w:col w:w="9940"/>
          </w:cols>
          <w:pgMar w:left="320" w:top="900" w:right="339" w:bottom="1440" w:gutter="0" w:footer="0" w:header="0"/>
          <w:type w:val="continuous"/>
        </w:sectPr>
      </w:pPr>
    </w:p>
    <w:p>
      <w:pPr>
        <w:spacing w:after="0" w:line="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statement is jointly filed by and on behalf of each of RP Investment Advisors LP, RP Debt Opportunities Fund Ltd. and RP Select Opportunities Master Fund Ltd. RP Debt Opportunities Fund Ltd. and RP Select Opportunities Master Fund Ltd. are the record and direct beneficial owners of the securities covered by this statement. RP Investment Advisors LP is the investment advisor of, and may be deemed to beneficially own securities owned by, RP Debt Opportunities Fund Ltd. and RP Select Opportunities Master Fund Ltd.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reporting persons may be deemed to be a member of a group with respect to the Issuer or securities of the Issuer for the purposes of Section 13(d) or 13(g) of the Act. Each of the reporting persons declares that neither the filing of this statement nor anything herein shall be construed as an admission that such person is, for the purposes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39 Hazelton Avenue, Toronto, Ontario, Canada, M5R 2E3.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on the cover page(s) hereto.</w:t>
      </w:r>
    </w:p>
    <w:p>
      <w:pPr>
        <w:sectPr>
          <w:pgSz w:w="11900" w:h="16838" w:orient="portrait"/>
          <w:cols w:equalWidth="0" w:num="1">
            <w:col w:w="11240"/>
          </w:cols>
          <w:pgMar w:left="320" w:top="90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11" w:lineRule="exact"/>
        <w:rPr>
          <w:sz w:val="20"/>
          <w:szCs w:val="20"/>
          <w:color w:val="auto"/>
        </w:rPr>
      </w:pPr>
    </w:p>
    <w:p>
      <w:pPr>
        <w:sectPr>
          <w:pgSz w:w="11900" w:h="16838" w:orient="portrait"/>
          <w:cols w:equalWidth="0" w:num="2">
            <w:col w:w="900" w:space="400"/>
            <w:col w:w="9940"/>
          </w:cols>
          <w:pgMar w:left="320" w:top="900"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 A Common Stock</w:t>
      </w:r>
    </w:p>
    <w:p>
      <w:pPr>
        <w:sectPr>
          <w:pgSz w:w="11900" w:h="16838" w:orient="portrait"/>
          <w:cols w:equalWidth="0" w:num="1">
            <w:col w:w="11240"/>
          </w:cols>
          <w:pgMar w:left="320" w:top="900"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11" w:lineRule="exact"/>
        <w:rPr>
          <w:sz w:val="20"/>
          <w:szCs w:val="20"/>
          <w:color w:val="auto"/>
        </w:rPr>
      </w:pPr>
    </w:p>
    <w:p>
      <w:pPr>
        <w:sectPr>
          <w:pgSz w:w="11900" w:h="16838" w:orient="portrait"/>
          <w:cols w:equalWidth="0" w:num="2">
            <w:col w:w="880" w:space="420"/>
            <w:col w:w="9940"/>
          </w:cols>
          <w:pgMar w:left="320" w:top="900"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G8136L106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00" w:lineRule="exact"/>
        <w:rPr>
          <w:sz w:val="20"/>
          <w:szCs w:val="20"/>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300" w:hanging="1292"/>
        <w:spacing w:after="0" w:line="215" w:lineRule="exact"/>
        <w:tabs>
          <w:tab w:leader="none" w:pos="652"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10" w:lineRule="exact"/>
        <w:rPr>
          <w:rFonts w:ascii="Times New Roman" w:cs="Times New Roman" w:eastAsia="Times New Roman" w:hAnsi="Times New Roman"/>
          <w:sz w:val="18"/>
          <w:szCs w:val="18"/>
          <w:color w:val="auto"/>
        </w:rPr>
      </w:pPr>
    </w:p>
    <w:p>
      <w:pPr>
        <w:ind w:left="660" w:hanging="652"/>
        <w:spacing w:after="0" w:line="207" w:lineRule="exact"/>
        <w:tabs>
          <w:tab w:leader="none" w:pos="66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§240.13d-1(b)(1)(ii)(K).</w:t>
      </w:r>
    </w:p>
    <w:p>
      <w:pPr>
        <w:spacing w:after="0" w:line="205" w:lineRule="exact"/>
        <w:rPr>
          <w:rFonts w:ascii="Times New Roman" w:cs="Times New Roman" w:eastAsia="Times New Roman" w:hAnsi="Times New Roman"/>
          <w:sz w:val="18"/>
          <w:szCs w:val="18"/>
          <w:color w:val="auto"/>
        </w:rPr>
      </w:pPr>
    </w:p>
    <w:p>
      <w:pPr>
        <w:ind w:left="660" w:right="210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filing as a non-U.S. institution in accordance with Rule 240.13d-1(b)(1)(ii)(J), please specify the type of institution: Not applicable.</w:t>
      </w:r>
    </w:p>
    <w:p>
      <w:pPr>
        <w:spacing w:after="0" w:line="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5" w:lineRule="exact"/>
        <w:rPr>
          <w:sz w:val="20"/>
          <w:szCs w:val="20"/>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Amount Beneficially Owned: </w:t>
      </w:r>
      <w:r>
        <w:rPr>
          <w:rFonts w:ascii="Times New Roman" w:cs="Times New Roman" w:eastAsia="Times New Roman" w:hAnsi="Times New Roman"/>
          <w:sz w:val="18"/>
          <w:szCs w:val="18"/>
          <w:color w:val="auto"/>
        </w:rPr>
        <w:t>See Item 9 on the cover page(s) hereto.</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Percent of Class: </w:t>
      </w:r>
      <w:r>
        <w:rPr>
          <w:rFonts w:ascii="Times New Roman" w:cs="Times New Roman" w:eastAsia="Times New Roman" w:hAnsi="Times New Roman"/>
          <w:sz w:val="18"/>
          <w:szCs w:val="18"/>
          <w:color w:val="auto"/>
        </w:rPr>
        <w:t>See Item 11 on the cover page(s) hereto.</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25" w:lineRule="exact"/>
        <w:rPr>
          <w:rFonts w:ascii="Times New Roman" w:cs="Times New Roman" w:eastAsia="Times New Roman" w:hAnsi="Times New Roman"/>
          <w:sz w:val="18"/>
          <w:szCs w:val="18"/>
          <w:b w:val="1"/>
          <w:bCs w:val="1"/>
          <w:color w:val="auto"/>
        </w:rPr>
      </w:pPr>
    </w:p>
    <w:p>
      <w:pPr>
        <w:ind w:left="1200" w:hanging="220"/>
        <w:spacing w:after="0"/>
        <w:tabs>
          <w:tab w:leader="none" w:pos="12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vote or to direct the vote: </w:t>
      </w:r>
      <w:r>
        <w:rPr>
          <w:rFonts w:ascii="Times New Roman" w:cs="Times New Roman" w:eastAsia="Times New Roman" w:hAnsi="Times New Roman"/>
          <w:sz w:val="18"/>
          <w:szCs w:val="18"/>
          <w:color w:val="auto"/>
        </w:rPr>
        <w:t>See Item 5 on the cover page(s) hereto.</w:t>
      </w:r>
    </w:p>
    <w:p>
      <w:pPr>
        <w:spacing w:after="0" w:line="225" w:lineRule="exact"/>
        <w:rPr>
          <w:rFonts w:ascii="Times New Roman" w:cs="Times New Roman" w:eastAsia="Times New Roman" w:hAnsi="Times New Roman"/>
          <w:sz w:val="18"/>
          <w:szCs w:val="18"/>
          <w:b w:val="1"/>
          <w:bCs w:val="1"/>
          <w:color w:val="auto"/>
        </w:rPr>
      </w:pPr>
    </w:p>
    <w:p>
      <w:pPr>
        <w:ind w:left="1240" w:hanging="260"/>
        <w:spacing w:after="0"/>
        <w:tabs>
          <w:tab w:leader="none" w:pos="124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vote or to direct the vote: </w:t>
      </w:r>
      <w:r>
        <w:rPr>
          <w:rFonts w:ascii="Times New Roman" w:cs="Times New Roman" w:eastAsia="Times New Roman" w:hAnsi="Times New Roman"/>
          <w:sz w:val="18"/>
          <w:szCs w:val="18"/>
          <w:color w:val="auto"/>
        </w:rPr>
        <w:t>See Item 6 on the cover page(s) hereto.</w:t>
      </w:r>
    </w:p>
    <w:p>
      <w:pPr>
        <w:spacing w:after="0" w:line="22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power to dispose or to direct the disposition of: </w:t>
      </w:r>
      <w:r>
        <w:rPr>
          <w:rFonts w:ascii="Times New Roman" w:cs="Times New Roman" w:eastAsia="Times New Roman" w:hAnsi="Times New Roman"/>
          <w:sz w:val="18"/>
          <w:szCs w:val="18"/>
          <w:color w:val="auto"/>
        </w:rPr>
        <w:t>See Item 7 on the cover page(s) hereto.</w:t>
      </w:r>
    </w:p>
    <w:p>
      <w:pPr>
        <w:spacing w:after="0" w:line="225" w:lineRule="exact"/>
        <w:rPr>
          <w:rFonts w:ascii="Times New Roman" w:cs="Times New Roman" w:eastAsia="Times New Roman" w:hAnsi="Times New Roman"/>
          <w:sz w:val="18"/>
          <w:szCs w:val="18"/>
          <w:b w:val="1"/>
          <w:bCs w:val="1"/>
          <w:color w:val="auto"/>
        </w:rPr>
      </w:pPr>
    </w:p>
    <w:p>
      <w:pPr>
        <w:ind w:left="1280" w:hanging="300"/>
        <w:spacing w:after="0"/>
        <w:tabs>
          <w:tab w:leader="none" w:pos="128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power to dispose or to direct the disposition of: </w:t>
      </w:r>
      <w:r>
        <w:rPr>
          <w:rFonts w:ascii="Times New Roman" w:cs="Times New Roman" w:eastAsia="Times New Roman" w:hAnsi="Times New Roman"/>
          <w:sz w:val="18"/>
          <w:szCs w:val="18"/>
          <w:color w:val="auto"/>
        </w:rPr>
        <w:t>See Item 8 on the cover page(s) hereto.</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Persons have ceased to be the beneficial owner of more than five percent of the class of securities, check the following</w:t>
      </w:r>
    </w:p>
    <w:p>
      <w:pPr>
        <w:spacing w:after="0" w:line="133" w:lineRule="exact"/>
        <w:rPr>
          <w:sz w:val="20"/>
          <w:szCs w:val="20"/>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869"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February 16, 2021</w:t>
      </w:r>
      <w:r>
        <w:rPr>
          <w:sz w:val="20"/>
          <w:szCs w:val="20"/>
          <w:color w:val="auto"/>
        </w:rPr>
        <w:tab/>
      </w:r>
      <w:r>
        <w:rPr>
          <w:rFonts w:ascii="Times New Roman" w:cs="Times New Roman" w:eastAsia="Times New Roman" w:hAnsi="Times New Roman"/>
          <w:sz w:val="17"/>
          <w:szCs w:val="17"/>
          <w:b w:val="1"/>
          <w:bCs w:val="1"/>
          <w:color w:val="auto"/>
        </w:rPr>
        <w:t>RP INVESTMENT ADVISORS LP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RP DEBT OPPORTUNITIES FUND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RP SELECT OPPORTUNITIES MASTER FUND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0"/>
          <w:szCs w:val="20"/>
          <w:color w:val="auto"/>
        </w:rPr>
      </w:pPr>
    </w:p>
    <w:p>
      <w:pPr>
        <w:ind w:left="100"/>
        <w:spacing w:after="0"/>
        <w:tabs>
          <w:tab w:leader="none" w:pos="92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9">
        <w:r>
          <w:rPr>
            <w:rFonts w:ascii="Times New Roman" w:cs="Times New Roman" w:eastAsia="Times New Roman" w:hAnsi="Times New Roman"/>
            <w:sz w:val="17"/>
            <w:szCs w:val="17"/>
            <w:u w:val="single" w:color="auto"/>
            <w:color w:val="0000EE"/>
          </w:rPr>
          <w:t>Joint Filing Agreement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-119380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39"/>
          </w:cols>
          <w:pgMar w:left="520" w:top="90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16, 2021</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and in accordance with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thereunder, each party hereto hereby agrees to the joint filing, on behalf of each of them, of any filing required by such party under Section 13 or Section 16 of the Exchange Act or any rule or regulation thereunder (including any amendment, restatement, supplement, and/or exhibit thereto) with the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being duly authorized, has caused this agreement to be executed and effective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RP INVESTMENT ADVISORS LP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RP DEBT OPPORTUNITIES FUND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RP SELECT OPPORTUNITIES MASTER FUND LTD.</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Pilosof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Richard Pilosof</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 RP Investment Advisors</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LP by its General Partner RP Investment Advisors GP</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Inc.</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
      <w:numFmt w:val="bullet"/>
      <w:start w:val="1"/>
    </w:lvl>
  </w:abstractNum>
  <w:abstractNum w:abstractNumId="2">
    <w:nsid w:val="625558EC"/>
    <w:multiLevelType w:val="hybridMultilevel"/>
    <w:lvl w:ilvl="0">
      <w:lvlJc w:val="left"/>
      <w:lvlText w:val="*"/>
      <w:numFmt w:val="bullet"/>
      <w:start w:val="1"/>
    </w:lvl>
    <w:lvl w:ilvl="1">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2021-02-16T06:14:08Z</dcterms:created>
  <dcterms:modified xsi:type="dcterms:W3CDTF">2021-02-16T06:14:08Z</dcterms:modified>
</cp:coreProperties>
</file>