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375" w:lineRule="exact"/>
        <w:rPr>
          <w:sz w:val="24"/>
          <w:szCs w:val="24"/>
          <w:color w:val="auto"/>
        </w:rPr>
      </w:pPr>
    </w:p>
    <w:p>
      <w:pPr>
        <w:ind w:left="2540"/>
        <w:spacing w:after="0"/>
        <w:rPr>
          <w:sz w:val="20"/>
          <w:szCs w:val="20"/>
          <w:color w:val="auto"/>
        </w:rPr>
      </w:pPr>
      <w:r>
        <w:rPr>
          <w:rFonts w:ascii="Arial" w:cs="Arial" w:eastAsia="Arial" w:hAnsi="Arial"/>
          <w:sz w:val="22"/>
          <w:szCs w:val="22"/>
          <w:b w:val="1"/>
          <w:bCs w:val="1"/>
          <w:color w:val="auto"/>
        </w:rPr>
        <w:t>FOR REGISTRATION OF CERTAIN CLASSES OF SECURITIES</w:t>
      </w:r>
    </w:p>
    <w:p>
      <w:pPr>
        <w:spacing w:after="0" w:line="4"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PURSUANT TO SECTION 12(b) OR (g) OF THE</w:t>
      </w:r>
    </w:p>
    <w:p>
      <w:pPr>
        <w:ind w:left="3740"/>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SILVER SPIKE ACQUISITION CORP.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76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Cayman Islands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jc w:val="center"/>
              <w:ind w:right="1990"/>
              <w:spacing w:after="0"/>
              <w:rPr>
                <w:sz w:val="20"/>
                <w:szCs w:val="20"/>
                <w:color w:val="auto"/>
              </w:rPr>
            </w:pPr>
            <w:r>
              <w:rPr>
                <w:rFonts w:ascii="Arial" w:cs="Arial" w:eastAsia="Arial" w:hAnsi="Arial"/>
                <w:sz w:val="18"/>
                <w:szCs w:val="18"/>
                <w:b w:val="1"/>
                <w:bCs w:val="1"/>
                <w:color w:val="auto"/>
              </w:rPr>
              <w:t>N/A</w:t>
            </w:r>
          </w:p>
        </w:tc>
      </w:tr>
      <w:tr>
        <w:trPr>
          <w:trHeight w:val="230"/>
        </w:trPr>
        <w:tc>
          <w:tcPr>
            <w:tcW w:w="20" w:type="dxa"/>
            <w:vAlign w:val="bottom"/>
          </w:tcPr>
          <w:p>
            <w:pPr>
              <w:spacing w:after="0"/>
              <w:rPr>
                <w:sz w:val="20"/>
                <w:szCs w:val="20"/>
                <w:color w:val="auto"/>
              </w:rPr>
            </w:pPr>
          </w:p>
        </w:tc>
        <w:tc>
          <w:tcPr>
            <w:tcW w:w="6760" w:type="dxa"/>
            <w:vAlign w:val="bottom"/>
          </w:tcPr>
          <w:p>
            <w:pPr>
              <w:jc w:val="center"/>
              <w:ind w:right="990"/>
              <w:spacing w:after="0"/>
              <w:rPr>
                <w:sz w:val="20"/>
                <w:szCs w:val="20"/>
                <w:color w:val="auto"/>
              </w:rPr>
            </w:pPr>
            <w:r>
              <w:rPr>
                <w:rFonts w:ascii="Arial" w:cs="Arial" w:eastAsia="Arial" w:hAnsi="Arial"/>
                <w:sz w:val="18"/>
                <w:szCs w:val="18"/>
                <w:color w:val="auto"/>
                <w:w w:val="92"/>
              </w:rPr>
              <w:t>(State of Incorporation or Organization)</w:t>
            </w:r>
          </w:p>
        </w:tc>
        <w:tc>
          <w:tcPr>
            <w:tcW w:w="4640" w:type="dxa"/>
            <w:vAlign w:val="bottom"/>
            <w:gridSpan w:val="3"/>
          </w:tcPr>
          <w:p>
            <w:pPr>
              <w:jc w:val="center"/>
              <w:ind w:right="8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20" w:type="dxa"/>
            <w:vAlign w:val="bottom"/>
          </w:tcPr>
          <w:p>
            <w:pPr>
              <w:spacing w:after="0"/>
              <w:rPr>
                <w:sz w:val="24"/>
                <w:szCs w:val="24"/>
                <w:color w:val="auto"/>
              </w:rPr>
            </w:pPr>
          </w:p>
        </w:tc>
        <w:tc>
          <w:tcPr>
            <w:tcW w:w="676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1114 6th Ave, 41st Floor</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676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New York, New York</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jc w:val="center"/>
              <w:ind w:right="1990"/>
              <w:spacing w:after="0"/>
              <w:rPr>
                <w:sz w:val="20"/>
                <w:szCs w:val="20"/>
                <w:color w:val="auto"/>
              </w:rPr>
            </w:pPr>
            <w:r>
              <w:rPr>
                <w:rFonts w:ascii="Arial" w:cs="Arial" w:eastAsia="Arial" w:hAnsi="Arial"/>
                <w:sz w:val="18"/>
                <w:szCs w:val="18"/>
                <w:b w:val="1"/>
                <w:bCs w:val="1"/>
                <w:color w:val="auto"/>
                <w:w w:val="87"/>
              </w:rPr>
              <w:t>10036</w:t>
            </w:r>
          </w:p>
        </w:tc>
      </w:tr>
      <w:tr>
        <w:trPr>
          <w:trHeight w:val="216"/>
        </w:trPr>
        <w:tc>
          <w:tcPr>
            <w:tcW w:w="20" w:type="dxa"/>
            <w:vAlign w:val="bottom"/>
          </w:tcPr>
          <w:p>
            <w:pPr>
              <w:spacing w:after="0"/>
              <w:rPr>
                <w:sz w:val="18"/>
                <w:szCs w:val="18"/>
                <w:color w:val="auto"/>
              </w:rPr>
            </w:pPr>
          </w:p>
        </w:tc>
        <w:tc>
          <w:tcPr>
            <w:tcW w:w="676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ind w:right="1990"/>
              <w:spacing w:after="0"/>
              <w:rPr>
                <w:sz w:val="20"/>
                <w:szCs w:val="20"/>
                <w:color w:val="auto"/>
              </w:rPr>
            </w:pPr>
            <w:r>
              <w:rPr>
                <w:rFonts w:ascii="Arial" w:cs="Arial" w:eastAsia="Arial" w:hAnsi="Arial"/>
                <w:sz w:val="18"/>
                <w:szCs w:val="18"/>
                <w:color w:val="auto"/>
                <w:w w:val="94"/>
              </w:rPr>
              <w:t>(Zip Code)</w:t>
            </w: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676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Title of Each Class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20" w:type="dxa"/>
            <w:vAlign w:val="bottom"/>
          </w:tcPr>
          <w:p>
            <w:pPr>
              <w:spacing w:after="0"/>
              <w:rPr>
                <w:sz w:val="20"/>
                <w:szCs w:val="20"/>
                <w:color w:val="auto"/>
              </w:rPr>
            </w:pPr>
          </w:p>
        </w:tc>
        <w:tc>
          <w:tcPr>
            <w:tcW w:w="67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86"/>
              </w:rPr>
              <w:t>to be so Registered</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Class is to be Registered</w:t>
            </w:r>
          </w:p>
        </w:tc>
      </w:tr>
      <w:tr>
        <w:trPr>
          <w:trHeight w:val="228"/>
        </w:trPr>
        <w:tc>
          <w:tcPr>
            <w:tcW w:w="20" w:type="dxa"/>
            <w:vAlign w:val="bottom"/>
          </w:tcPr>
          <w:p>
            <w:pPr>
              <w:spacing w:after="0"/>
              <w:rPr>
                <w:sz w:val="19"/>
                <w:szCs w:val="19"/>
                <w:color w:val="auto"/>
              </w:rPr>
            </w:pPr>
          </w:p>
        </w:tc>
        <w:tc>
          <w:tcPr>
            <w:tcW w:w="7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Units, each consisting of one Class A ordinary share and one-half of one redeemable warrant</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414"/>
        </w:trPr>
        <w:tc>
          <w:tcPr>
            <w:tcW w:w="20" w:type="dxa"/>
            <w:vAlign w:val="bottom"/>
          </w:tcPr>
          <w:p>
            <w:pPr>
              <w:spacing w:after="0"/>
              <w:rPr>
                <w:sz w:val="24"/>
                <w:szCs w:val="24"/>
                <w:color w:val="auto"/>
              </w:rPr>
            </w:pPr>
          </w:p>
        </w:tc>
        <w:tc>
          <w:tcPr>
            <w:tcW w:w="6760" w:type="dxa"/>
            <w:vAlign w:val="bottom"/>
          </w:tcPr>
          <w:p>
            <w:pPr>
              <w:jc w:val="center"/>
              <w:ind w:left="890"/>
              <w:spacing w:after="0"/>
              <w:rPr>
                <w:sz w:val="20"/>
                <w:szCs w:val="20"/>
                <w:color w:val="auto"/>
              </w:rPr>
            </w:pPr>
            <w:r>
              <w:rPr>
                <w:rFonts w:ascii="Arial" w:cs="Arial" w:eastAsia="Arial" w:hAnsi="Arial"/>
                <w:sz w:val="18"/>
                <w:szCs w:val="18"/>
                <w:b w:val="1"/>
                <w:bCs w:val="1"/>
                <w:color w:val="auto"/>
                <w:w w:val="89"/>
              </w:rPr>
              <w:t>Class A ordinary shares, par value $0.0001 per share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414"/>
        </w:trPr>
        <w:tc>
          <w:tcPr>
            <w:tcW w:w="20" w:type="dxa"/>
            <w:vAlign w:val="bottom"/>
          </w:tcPr>
          <w:p>
            <w:pPr>
              <w:spacing w:after="0"/>
              <w:rPr>
                <w:sz w:val="24"/>
                <w:szCs w:val="24"/>
                <w:color w:val="auto"/>
              </w:rPr>
            </w:pPr>
          </w:p>
        </w:tc>
        <w:tc>
          <w:tcPr>
            <w:tcW w:w="676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Redeemable warrants, each whole warrant exercisable for one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20" w:type="dxa"/>
            <w:vAlign w:val="bottom"/>
          </w:tcPr>
          <w:p>
            <w:pPr>
              <w:spacing w:after="0"/>
              <w:rPr>
                <w:sz w:val="20"/>
                <w:szCs w:val="20"/>
                <w:color w:val="auto"/>
              </w:rPr>
            </w:pPr>
          </w:p>
        </w:tc>
        <w:tc>
          <w:tcPr>
            <w:tcW w:w="6760" w:type="dxa"/>
            <w:vAlign w:val="bottom"/>
          </w:tcPr>
          <w:p>
            <w:pPr>
              <w:jc w:val="center"/>
              <w:ind w:left="890"/>
              <w:spacing w:after="0"/>
              <w:rPr>
                <w:sz w:val="20"/>
                <w:szCs w:val="20"/>
                <w:color w:val="auto"/>
              </w:rPr>
            </w:pPr>
            <w:r>
              <w:rPr>
                <w:rFonts w:ascii="Arial" w:cs="Arial" w:eastAsia="Arial" w:hAnsi="Arial"/>
                <w:sz w:val="18"/>
                <w:szCs w:val="18"/>
                <w:b w:val="1"/>
                <w:bCs w:val="1"/>
                <w:color w:val="auto"/>
                <w:w w:val="89"/>
              </w:rPr>
              <w:t>Class A ordinary share at an exercise price of $11.50</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780" w:type="dxa"/>
            <w:vAlign w:val="bottom"/>
          </w:tcPr>
          <w:p>
            <w:pPr>
              <w:spacing w:after="0" w:line="207" w:lineRule="exact"/>
              <w:rPr>
                <w:sz w:val="20"/>
                <w:szCs w:val="20"/>
                <w:color w:val="auto"/>
              </w:rPr>
            </w:pPr>
            <w:r>
              <w:rPr>
                <w:rFonts w:ascii="Arial" w:cs="Arial" w:eastAsia="Arial" w:hAnsi="Arial"/>
                <w:sz w:val="18"/>
                <w:szCs w:val="18"/>
                <w:color w:val="auto"/>
                <w:w w:val="95"/>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w w:val="95"/>
              </w:rPr>
              <w:t>☐</w:t>
            </w:r>
          </w:p>
        </w:tc>
        <w:tc>
          <w:tcPr>
            <w:tcW w:w="1640" w:type="dxa"/>
            <w:vAlign w:val="bottom"/>
          </w:tcPr>
          <w:p>
            <w:pPr>
              <w:spacing w:after="0"/>
              <w:rPr>
                <w:sz w:val="24"/>
                <w:szCs w:val="24"/>
                <w:color w:val="auto"/>
              </w:rPr>
            </w:pPr>
          </w:p>
        </w:tc>
      </w:tr>
      <w:tr>
        <w:trPr>
          <w:trHeight w:val="398"/>
        </w:trPr>
        <w:tc>
          <w:tcPr>
            <w:tcW w:w="9780" w:type="dxa"/>
            <w:vAlign w:val="bottom"/>
          </w:tcPr>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w:t>
            </w:r>
          </w:p>
        </w:tc>
        <w:tc>
          <w:tcPr>
            <w:tcW w:w="1640" w:type="dxa"/>
            <w:vAlign w:val="bottom"/>
          </w:tcPr>
          <w:p>
            <w:pPr>
              <w:jc w:val="right"/>
              <w:ind w:right="270"/>
              <w:spacing w:after="0"/>
              <w:rPr>
                <w:sz w:val="20"/>
                <w:szCs w:val="20"/>
                <w:color w:val="auto"/>
              </w:rPr>
            </w:pPr>
            <w:r>
              <w:rPr>
                <w:rFonts w:ascii="Arial" w:cs="Arial" w:eastAsia="Arial" w:hAnsi="Arial"/>
                <w:sz w:val="18"/>
                <w:szCs w:val="18"/>
                <w:b w:val="1"/>
                <w:bCs w:val="1"/>
                <w:color w:val="auto"/>
              </w:rPr>
              <w:t>333-232734</w:t>
            </w:r>
          </w:p>
        </w:tc>
      </w:tr>
      <w:tr>
        <w:trPr>
          <w:trHeight w:val="230"/>
        </w:trPr>
        <w:tc>
          <w:tcPr>
            <w:tcW w:w="97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(If applicable)</w:t>
            </w:r>
          </w:p>
        </w:tc>
      </w:tr>
      <w:tr>
        <w:trPr>
          <w:trHeight w:val="432"/>
        </w:trPr>
        <w:tc>
          <w:tcPr>
            <w:tcW w:w="9780" w:type="dxa"/>
            <w:vAlign w:val="bottom"/>
          </w:tcPr>
          <w:p>
            <w:pPr>
              <w:spacing w:after="0"/>
              <w:rPr>
                <w:sz w:val="20"/>
                <w:szCs w:val="20"/>
                <w:color w:val="auto"/>
              </w:rPr>
            </w:pPr>
            <w:r>
              <w:rPr>
                <w:rFonts w:ascii="Arial" w:cs="Arial" w:eastAsia="Arial" w:hAnsi="Arial"/>
                <w:sz w:val="18"/>
                <w:szCs w:val="18"/>
                <w:color w:val="auto"/>
              </w:rPr>
              <w:t>Securities to be registered pursuant to Section 12(g) of the Act:</w:t>
            </w:r>
          </w:p>
        </w:tc>
        <w:tc>
          <w:tcPr>
            <w:tcW w:w="1640" w:type="dxa"/>
            <w:vAlign w:val="bottom"/>
          </w:tcPr>
          <w:p>
            <w:pPr>
              <w:spacing w:after="0"/>
              <w:rPr>
                <w:sz w:val="24"/>
                <w:szCs w:val="24"/>
                <w:color w:val="auto"/>
              </w:rPr>
            </w:pPr>
          </w:p>
        </w:tc>
      </w:tr>
      <w:tr>
        <w:trPr>
          <w:trHeight w:val="418"/>
        </w:trPr>
        <w:tc>
          <w:tcPr>
            <w:tcW w:w="9780" w:type="dxa"/>
            <w:vAlign w:val="bottom"/>
          </w:tcPr>
          <w:p>
            <w:pPr>
              <w:ind w:left="5540"/>
              <w:spacing w:after="0"/>
              <w:rPr>
                <w:sz w:val="20"/>
                <w:szCs w:val="20"/>
                <w:color w:val="auto"/>
              </w:rPr>
            </w:pPr>
            <w:r>
              <w:rPr>
                <w:rFonts w:ascii="Arial" w:cs="Arial" w:eastAsia="Arial" w:hAnsi="Arial"/>
                <w:sz w:val="18"/>
                <w:szCs w:val="18"/>
                <w:b w:val="1"/>
                <w:bCs w:val="1"/>
                <w:color w:val="auto"/>
              </w:rPr>
              <w:t>N/A</w:t>
            </w:r>
          </w:p>
        </w:tc>
        <w:tc>
          <w:tcPr>
            <w:tcW w:w="1640" w:type="dxa"/>
            <w:vAlign w:val="bottom"/>
          </w:tcPr>
          <w:p>
            <w:pPr>
              <w:spacing w:after="0"/>
              <w:rPr>
                <w:sz w:val="24"/>
                <w:szCs w:val="24"/>
                <w:color w:val="auto"/>
              </w:rPr>
            </w:pPr>
          </w:p>
        </w:tc>
      </w:tr>
      <w:tr>
        <w:trPr>
          <w:trHeight w:val="230"/>
        </w:trPr>
        <w:tc>
          <w:tcPr>
            <w:tcW w:w="9780" w:type="dxa"/>
            <w:vAlign w:val="bottom"/>
          </w:tcPr>
          <w:p>
            <w:pPr>
              <w:ind w:left="5180"/>
              <w:spacing w:after="0"/>
              <w:rPr>
                <w:sz w:val="20"/>
                <w:szCs w:val="20"/>
                <w:color w:val="auto"/>
              </w:rPr>
            </w:pPr>
            <w:r>
              <w:rPr>
                <w:rFonts w:ascii="Arial" w:cs="Arial" w:eastAsia="Arial" w:hAnsi="Arial"/>
                <w:sz w:val="18"/>
                <w:szCs w:val="18"/>
                <w:color w:val="auto"/>
              </w:rPr>
              <w:t>(Title of Class)</w:t>
            </w:r>
          </w:p>
        </w:tc>
        <w:tc>
          <w:tcPr>
            <w:tcW w:w="1640" w:type="dxa"/>
            <w:vAlign w:val="bottom"/>
          </w:tcPr>
          <w:p>
            <w:pPr>
              <w:spacing w:after="0"/>
              <w:rPr>
                <w:sz w:val="20"/>
                <w:szCs w:val="20"/>
                <w:color w:val="auto"/>
              </w:rPr>
            </w:pPr>
          </w:p>
        </w:tc>
      </w:tr>
      <w:tr>
        <w:trPr>
          <w:trHeight w:val="250"/>
        </w:trPr>
        <w:tc>
          <w:tcPr>
            <w:tcW w:w="97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68"/>
        </w:trPr>
        <w:tc>
          <w:tcPr>
            <w:tcW w:w="978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securities to be registered hereby are the units, Class A ordinary shares and redeemable warrants to purchase Class A ordinary shares of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The description of the units, Class A ordinary shares and warrants contained in the section entitled “Description of Securities” in the prospectus included in the Company’s Registration Statement on Form S-1 (File No. 333-232734) initially filed with the Securities and Exchange Commission on July 19, 2019,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Form 8-A relates, is incorporated herein by reference. Any form of prospectus or prospectus supplement to the Registration Statement that includes such descriptions and that is subsequently filed is also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have been filed as exhibits to the Registration Statement and are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Exhibit No.</w:t>
            </w:r>
          </w:p>
        </w:tc>
        <w:tc>
          <w:tcPr>
            <w:tcW w:w="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17"/>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304"/>
        </w:trPr>
        <w:tc>
          <w:tcPr>
            <w:tcW w:w="54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10">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2"/>
              </w:rPr>
            </w:pPr>
            <w:hyperlink r:id="rId10">
              <w:r>
                <w:rPr>
                  <w:rFonts w:ascii="Arial" w:cs="Arial" w:eastAsia="Arial" w:hAnsi="Arial"/>
                  <w:sz w:val="18"/>
                  <w:szCs w:val="18"/>
                  <w:color w:val="0000EE"/>
                  <w:w w:val="92"/>
                </w:rPr>
                <w:t>Memorandum and Articles of Association (incorporated by reference to Exhibit 3.1 to the Company’s Registration Statement on Form S-</w:t>
              </w:r>
            </w:hyperlink>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0">
              <w:r>
                <w:rPr>
                  <w:rFonts w:ascii="Arial" w:cs="Arial" w:eastAsia="Arial" w:hAnsi="Arial"/>
                  <w:sz w:val="18"/>
                  <w:szCs w:val="18"/>
                  <w:color w:val="0000EE"/>
                  <w:w w:val="91"/>
                </w:rPr>
                <w:t>1 (File No. 333-232734), filed with the Securities and Exchange Commission on July 19, 2019).</w:t>
              </w:r>
            </w:hyperlink>
          </w:p>
        </w:tc>
        <w:tc>
          <w:tcPr>
            <w:tcW w:w="2940" w:type="dxa"/>
            <w:vAlign w:val="bottom"/>
            <w:tcBorders>
              <w:top w:val="single" w:sz="8" w:color="0000EE"/>
            </w:tcBorders>
            <w:gridSpan w:val="11"/>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31"/>
        </w:trPr>
        <w:tc>
          <w:tcPr>
            <w:tcW w:w="54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11">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
              <w:r>
                <w:rPr>
                  <w:rFonts w:ascii="Arial" w:cs="Arial" w:eastAsia="Arial" w:hAnsi="Arial"/>
                  <w:sz w:val="18"/>
                  <w:szCs w:val="18"/>
                  <w:color w:val="0000EE"/>
                  <w:w w:val="91"/>
                </w:rPr>
                <w:t>Form of Amended and Restated Memorandum and Articles of Association (incorporated by reference to Exhibit 3.2 to the Company’s</w:t>
              </w:r>
            </w:hyperlink>
          </w:p>
        </w:tc>
        <w:tc>
          <w:tcPr>
            <w:tcW w:w="300" w:type="dxa"/>
            <w:vAlign w:val="bottom"/>
            <w:gridSpan w:val="7"/>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w w:val="96"/>
              </w:rPr>
            </w:pPr>
            <w:hyperlink r:id="rId11">
              <w:r>
                <w:rPr>
                  <w:rFonts w:ascii="Arial" w:cs="Arial" w:eastAsia="Arial" w:hAnsi="Arial"/>
                  <w:sz w:val="18"/>
                  <w:szCs w:val="18"/>
                  <w:color w:val="0000EE"/>
                  <w:w w:val="96"/>
                </w:rPr>
                <w:t>Registration Statement on Form S-1 (File No. 333-232734), filed with the Securities and Exchange Commission on July 26, 2019).</w:t>
              </w:r>
            </w:hyperlink>
          </w:p>
        </w:tc>
      </w:tr>
      <w:tr>
        <w:trPr>
          <w:trHeight w:val="20"/>
        </w:trPr>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1"/>
        </w:trPr>
        <w:tc>
          <w:tcPr>
            <w:tcW w:w="54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1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
              <w:r>
                <w:rPr>
                  <w:rFonts w:ascii="Arial" w:cs="Arial" w:eastAsia="Arial" w:hAnsi="Arial"/>
                  <w:sz w:val="18"/>
                  <w:szCs w:val="18"/>
                  <w:color w:val="0000EE"/>
                  <w:w w:val="91"/>
                </w:rPr>
                <w:t>Specimen Unit Certificate (incorporated by reference to Exhibit 4.1 to the Company’s Registration Statement on Form S-1 (File No. 333-</w:t>
              </w:r>
            </w:hyperlink>
          </w:p>
        </w:tc>
        <w:tc>
          <w:tcPr>
            <w:tcW w:w="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
              <w:r>
                <w:rPr>
                  <w:rFonts w:ascii="Arial" w:cs="Arial" w:eastAsia="Arial" w:hAnsi="Arial"/>
                  <w:sz w:val="18"/>
                  <w:szCs w:val="18"/>
                  <w:color w:val="0000EE"/>
                  <w:w w:val="91"/>
                </w:rPr>
                <w:t>232734)</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Securities and Exchange Commission on July 26, 2019).</w:t>
              </w:r>
            </w:hyperlink>
          </w:p>
        </w:tc>
        <w:tc>
          <w:tcPr>
            <w:tcW w:w="4200" w:type="dxa"/>
            <w:vAlign w:val="bottom"/>
            <w:gridSpan w:val="16"/>
          </w:tcPr>
          <w:p>
            <w:pPr>
              <w:spacing w:after="0"/>
              <w:rPr>
                <w:sz w:val="17"/>
                <w:szCs w:val="17"/>
                <w:color w:val="auto"/>
              </w:rPr>
            </w:pPr>
          </w:p>
        </w:tc>
      </w:tr>
      <w:tr>
        <w:trPr>
          <w:trHeight w:val="331"/>
        </w:trPr>
        <w:tc>
          <w:tcPr>
            <w:tcW w:w="54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1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r:id="rId13">
              <w:r>
                <w:rPr>
                  <w:rFonts w:ascii="Arial" w:cs="Arial" w:eastAsia="Arial" w:hAnsi="Arial"/>
                  <w:sz w:val="18"/>
                  <w:szCs w:val="18"/>
                  <w:color w:val="0000EE"/>
                  <w:w w:val="90"/>
                </w:rPr>
                <w:t>Specimen Ordinary Share Certificate (incorporated by reference to Exhibit 4.2 to the Company’s Registration Statement on Form S-1</w:t>
              </w:r>
            </w:hyperlink>
          </w:p>
        </w:tc>
        <w:tc>
          <w:tcPr>
            <w:tcW w:w="360" w:type="dxa"/>
            <w:vAlign w:val="bottom"/>
            <w:gridSpan w:val="8"/>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
              <w:r>
                <w:rPr>
                  <w:rFonts w:ascii="Arial" w:cs="Arial" w:eastAsia="Arial" w:hAnsi="Arial"/>
                  <w:sz w:val="18"/>
                  <w:szCs w:val="18"/>
                  <w:color w:val="0000EE"/>
                  <w:w w:val="91"/>
                </w:rPr>
                <w:t>(File No. 333-232734), filed with the Securities and Exchange Commission on July 26, 2019).</w:t>
              </w:r>
            </w:hyperlink>
          </w:p>
        </w:tc>
        <w:tc>
          <w:tcPr>
            <w:tcW w:w="3180" w:type="dxa"/>
            <w:vAlign w:val="bottom"/>
            <w:gridSpan w:val="14"/>
          </w:tcPr>
          <w:p>
            <w:pPr>
              <w:spacing w:after="0"/>
              <w:rPr>
                <w:sz w:val="17"/>
                <w:szCs w:val="17"/>
                <w:color w:val="auto"/>
              </w:rPr>
            </w:pPr>
          </w:p>
        </w:tc>
      </w:tr>
      <w:tr>
        <w:trPr>
          <w:trHeight w:val="331"/>
        </w:trPr>
        <w:tc>
          <w:tcPr>
            <w:tcW w:w="54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1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91"/>
              </w:rPr>
            </w:pPr>
            <w:hyperlink r:id="rId14">
              <w:r>
                <w:rPr>
                  <w:rFonts w:ascii="Arial" w:cs="Arial" w:eastAsia="Arial" w:hAnsi="Arial"/>
                  <w:sz w:val="18"/>
                  <w:szCs w:val="18"/>
                  <w:color w:val="0000EE"/>
                  <w:w w:val="91"/>
                </w:rPr>
                <w:t>Specimen Warrant Certificate (incorporated by reference to Exhibit 4.3 to the Company’s Registration Statement on Form S-1 (File No.</w:t>
              </w:r>
            </w:hyperlink>
          </w:p>
        </w:tc>
        <w:tc>
          <w:tcPr>
            <w:tcW w:w="200" w:type="dxa"/>
            <w:vAlign w:val="bottom"/>
            <w:gridSpan w:val="5"/>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333-232734), filed with the Securities and Exchange Commission on July 26, 2019).</w:t>
              </w:r>
            </w:hyperlink>
          </w:p>
        </w:tc>
      </w:tr>
      <w:tr>
        <w:trPr>
          <w:trHeight w:val="20"/>
        </w:trPr>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31"/>
        </w:trPr>
        <w:tc>
          <w:tcPr>
            <w:tcW w:w="54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1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00" w:type="dxa"/>
            <w:vAlign w:val="bottom"/>
            <w:tcBorders>
              <w:bottom w:val="single" w:sz="8" w:color="0000EE"/>
            </w:tcBorders>
            <w:gridSpan w:val="11"/>
          </w:tcPr>
          <w:p>
            <w:pPr>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Form of Warrant Agreement between Continental Stock Transfer &amp; Trust Company and the Company (incorporated by reference to</w:t>
              </w:r>
            </w:hyperlink>
          </w:p>
        </w:tc>
        <w:tc>
          <w:tcPr>
            <w:tcW w:w="480" w:type="dxa"/>
            <w:vAlign w:val="bottom"/>
            <w:gridSpan w:val="9"/>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Exhibit 4.4 to the Company’s Registration Statement on Form S-1 (File No. 333-232734), filed with the Securities and Exchange</w:t>
              </w:r>
            </w:hyperlink>
          </w:p>
        </w:tc>
        <w:tc>
          <w:tcPr>
            <w:tcW w:w="680" w:type="dxa"/>
            <w:vAlign w:val="bottom"/>
            <w:gridSpan w:val="11"/>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Commission on July 26, 2019).</w:t>
              </w:r>
            </w:hyperlink>
          </w:p>
        </w:tc>
      </w:tr>
      <w:tr>
        <w:trPr>
          <w:trHeight w:val="20"/>
        </w:trPr>
        <w:tc>
          <w:tcPr>
            <w:tcW w:w="5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31"/>
        </w:trPr>
        <w:tc>
          <w:tcPr>
            <w:tcW w:w="50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r:id="rId1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tcBorders>
              <w:bottom w:val="single" w:sz="8" w:color="0000EE"/>
            </w:tcBorders>
            <w:gridSpan w:val="8"/>
          </w:tcPr>
          <w:p>
            <w:pPr>
              <w:spacing w:after="0"/>
              <w:rPr>
                <w:rFonts w:ascii="Arial" w:cs="Arial" w:eastAsia="Arial" w:hAnsi="Arial"/>
                <w:sz w:val="18"/>
                <w:szCs w:val="18"/>
                <w:color w:val="0000EE"/>
                <w:w w:val="90"/>
              </w:rPr>
            </w:pPr>
            <w:hyperlink r:id="rId16">
              <w:r>
                <w:rPr>
                  <w:rFonts w:ascii="Arial" w:cs="Arial" w:eastAsia="Arial" w:hAnsi="Arial"/>
                  <w:sz w:val="18"/>
                  <w:szCs w:val="18"/>
                  <w:color w:val="0000EE"/>
                  <w:w w:val="90"/>
                </w:rPr>
                <w:t>Form of Investment Management Trust Agreement between Continental Stock Transfer &amp; Trust Company and the Company</w:t>
              </w:r>
            </w:hyperlink>
          </w:p>
        </w:tc>
        <w:tc>
          <w:tcPr>
            <w:tcW w:w="1000" w:type="dxa"/>
            <w:vAlign w:val="bottom"/>
            <w:gridSpan w:val="1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(incorporated by reference to Exhibit 10.3 to the Company’s Registration Statement on Form S-1 (File No. 333-232734), filed with the</w:t>
              </w:r>
            </w:hyperlink>
          </w:p>
        </w:tc>
        <w:tc>
          <w:tcPr>
            <w:tcW w:w="26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6">
              <w:r>
                <w:rPr>
                  <w:rFonts w:ascii="Arial" w:cs="Arial" w:eastAsia="Arial" w:hAnsi="Arial"/>
                  <w:sz w:val="18"/>
                  <w:szCs w:val="18"/>
                  <w:color w:val="0000EE"/>
                  <w:w w:val="89"/>
                </w:rPr>
                <w:t>Securities and Exchange Commission on July 26, 2019).</w:t>
              </w:r>
            </w:hyperlink>
          </w:p>
        </w:tc>
        <w:tc>
          <w:tcPr>
            <w:tcW w:w="5900" w:type="dxa"/>
            <w:vAlign w:val="bottom"/>
            <w:gridSpan w:val="17"/>
          </w:tcPr>
          <w:p>
            <w:pPr>
              <w:spacing w:after="0"/>
              <w:rPr>
                <w:sz w:val="17"/>
                <w:szCs w:val="17"/>
                <w:color w:val="auto"/>
              </w:rPr>
            </w:pPr>
          </w:p>
        </w:tc>
      </w:tr>
      <w:tr>
        <w:trPr>
          <w:trHeight w:val="331"/>
        </w:trPr>
        <w:tc>
          <w:tcPr>
            <w:tcW w:w="50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Form of Registration Rights Agreement between the Registrant and certain security holders (incorporated by reference to Exhibit 10.4 to</w:t>
              </w:r>
            </w:hyperlink>
          </w:p>
        </w:tc>
        <w:tc>
          <w:tcPr>
            <w:tcW w:w="12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the Company’s Registration Statement on Form S-1 (File No. 333-232734), filed with the Securities and Exchange Commission on July</w:t>
              </w:r>
            </w:hyperlink>
          </w:p>
        </w:tc>
        <w:tc>
          <w:tcPr>
            <w:tcW w:w="18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7">
              <w:r>
                <w:rPr>
                  <w:rFonts w:ascii="Arial" w:cs="Arial" w:eastAsia="Arial" w:hAnsi="Arial"/>
                  <w:sz w:val="18"/>
                  <w:szCs w:val="18"/>
                  <w:color w:val="0000EE"/>
                  <w:w w:val="88"/>
                </w:rPr>
                <w:t>26, 2019).</w:t>
              </w:r>
            </w:hyperlink>
          </w:p>
        </w:tc>
        <w:tc>
          <w:tcPr>
            <w:tcW w:w="1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ectPr>
          <w:pgSz w:w="11900" w:h="16838" w:orient="portrait"/>
          <w:cols w:equalWidth="0" w:num="1">
            <w:col w:w="11360"/>
          </w:cols>
          <w:pgMar w:left="240" w:top="472" w:right="29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Company has duly caused this Registration Statement to be signed on its behalf by the undersigned, thereto duly authorized.</w:t>
      </w:r>
    </w:p>
    <w:p>
      <w:pPr>
        <w:spacing w:after="0" w:line="3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00"/>
      </w:cols>
      <w:pgMar w:left="240" w:top="472"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10" Type="http://schemas.openxmlformats.org/officeDocument/2006/relationships/hyperlink" Target="http://www.sec.gov/Archives/edgar/data/1779474/000095010319009505/dp109911_ex0301.htm" TargetMode="External"/><Relationship Id="rId11" Type="http://schemas.openxmlformats.org/officeDocument/2006/relationships/hyperlink" Target="http://www.sec.gov/Archives/edgar/data/1779474/000095010319009708/dp109955_ex0302.htm" TargetMode="External"/><Relationship Id="rId12" Type="http://schemas.openxmlformats.org/officeDocument/2006/relationships/hyperlink" Target="http://www.sec.gov/Archives/edgar/data/1779474/000095010319009708/dp109955_ex0401.htm" TargetMode="External"/><Relationship Id="rId13" Type="http://schemas.openxmlformats.org/officeDocument/2006/relationships/hyperlink" Target="http://www.sec.gov/Archives/edgar/data/1779474/000095010319009708/dp109955_ex0402.htm" TargetMode="External"/><Relationship Id="rId14" Type="http://schemas.openxmlformats.org/officeDocument/2006/relationships/hyperlink" Target="http://www.sec.gov/Archives/edgar/data/1779474/000095010319009708/dp109955_ex0403.htm" TargetMode="External"/><Relationship Id="rId15" Type="http://schemas.openxmlformats.org/officeDocument/2006/relationships/hyperlink" Target="http://www.sec.gov/Archives/edgar/data/1779474/000095010319009708/dp109955_ex0404.htm" TargetMode="External"/><Relationship Id="rId16" Type="http://schemas.openxmlformats.org/officeDocument/2006/relationships/hyperlink" Target="http://www.sec.gov/Archives/edgar/data/1779474/000095010319009708/dp109955_ex1003.htm" TargetMode="External"/><Relationship Id="rId17" Type="http://schemas.openxmlformats.org/officeDocument/2006/relationships/hyperlink" Target="http://www.sec.gov/Archives/edgar/data/1779474/000095010319009708/dp109955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2019-11-30T07:34:22Z</dcterms:created>
  <dcterms:modified xsi:type="dcterms:W3CDTF">2019-11-30T07:34:22Z</dcterms:modified>
</cp:coreProperties>
</file>