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8, 2025, WM Technology, Inc. announced its financial results for the first quarter ended March 31, 2025. The full text of the press release issued in connection with the announcement is furnished as Exhibit 99.1 to this Current Report on Form 8-K and is incorporated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6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56"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First Quarter 2025 Financial Results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 xml:space="preserve">Q1 2025 Net Income was $2.5 million, an Increase of </w:t>
      </w:r>
      <w:r>
        <w:rPr>
          <w:rFonts w:ascii="Times New Roman" w:cs="Times New Roman" w:eastAsia="Times New Roman" w:hAnsi="Times New Roman"/>
          <w:sz w:val="20"/>
          <w:szCs w:val="20"/>
          <w:color w:val="auto"/>
        </w:rPr>
        <w:t>27%</w:t>
      </w:r>
      <w:r>
        <w:rPr>
          <w:rFonts w:ascii="Times New Roman" w:cs="Times New Roman" w:eastAsia="Times New Roman" w:hAnsi="Times New Roman"/>
          <w:sz w:val="20"/>
          <w:szCs w:val="20"/>
          <w:i w:val="1"/>
          <w:iCs w:val="1"/>
          <w:color w:val="auto"/>
        </w:rPr>
        <w:t xml:space="preserve"> year-over-year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Tenth Consecutive Quarter of Adjusted EBITDA Profitability</w:t>
      </w:r>
    </w:p>
    <w:p>
      <w:pPr>
        <w:spacing w:after="0" w:line="200" w:lineRule="exact"/>
        <w:rPr>
          <w:sz w:val="20"/>
          <w:szCs w:val="20"/>
          <w:color w:val="auto"/>
        </w:rPr>
      </w:pPr>
    </w:p>
    <w:p>
      <w:pPr>
        <w:spacing w:after="0" w:line="2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IRVINE, Calif.--(BUSINESS WIRE)--May 8, 2025 --</w:t>
      </w:r>
      <w:r>
        <w:rPr>
          <w:rFonts w:ascii="Times New Roman" w:cs="Times New Roman" w:eastAsia="Times New Roman" w:hAnsi="Times New Roman"/>
          <w:sz w:val="18"/>
          <w:szCs w:val="18"/>
          <w:color w:val="auto"/>
        </w:rPr>
        <w:t>WM Technology, Inc. (“WM Technology” or the “Company”) (Nasdaq: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and technology solutions provider to the cannabis industry, today announced its financial results for the first quarter ended March 31, 2025.</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focused execution in what remains a challenging environment for the cannabis industry,” said Doug Francis, CEO of WM Technology. “While there’s been renewed attention around rescheduling, we’ve seen similar moments before. Until there’s concrete progress, meaningful reform is still needed to address the structural headwinds facing operators, brands, and ancillary platforms. In the meantime, we’re focused on operating our business with discipline and continuing to deliver technology and data solutions that drive efficiency, transparency, and value.”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“Profitability remained strong in the first quarter, reflecting our continued discipline in managing costs and driving operational efficiency,” said Susan Echard, CFO of WM Technology. “We’re encouraged by the underlying stability in the business and remain focused on making thoughtful investments to support long-term growth.”</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Highlights</w:t>
      </w:r>
    </w:p>
    <w:p>
      <w:pPr>
        <w:spacing w:after="0" w:line="108" w:lineRule="exact"/>
        <w:rPr>
          <w:sz w:val="20"/>
          <w:szCs w:val="20"/>
          <w:color w:val="auto"/>
        </w:rPr>
      </w:pPr>
    </w:p>
    <w:p>
      <w:pPr>
        <w:jc w:val="both"/>
        <w:ind w:left="660" w:hanging="328"/>
        <w:spacing w:after="0" w:line="239" w:lineRule="auto"/>
        <w:tabs>
          <w:tab w:leader="none" w:pos="65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Revenues for the first quarter ended March 31, 2025 was $44.6 million as compared to $44.4 million in the prior year period. The marginal increase from the prior year period was due to an increase in our Weedmaps for Business solution and display advertising revenue, partially offset by a decrease in revenues from our featured and deal listings.</w:t>
      </w:r>
    </w:p>
    <w:p>
      <w:pPr>
        <w:spacing w:after="0" w:line="78" w:lineRule="exact"/>
        <w:rPr>
          <w:rFonts w:ascii="Times New Roman" w:cs="Times New Roman" w:eastAsia="Times New Roman" w:hAnsi="Times New Roman"/>
          <w:sz w:val="22"/>
          <w:szCs w:val="22"/>
          <w:b w:val="1"/>
          <w:bCs w:val="1"/>
          <w:i w:val="1"/>
          <w:iCs w:val="1"/>
          <w:color w:val="auto"/>
        </w:rPr>
      </w:pPr>
    </w:p>
    <w:p>
      <w:pPr>
        <w:ind w:left="1300" w:hanging="320"/>
        <w:spacing w:after="0" w:line="236" w:lineRule="auto"/>
        <w:tabs>
          <w:tab w:leader="none" w:pos="130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5,179 increased from 4,937 in the prior year period, largely due to new client acquisitions across certain markets.</w:t>
      </w:r>
    </w:p>
    <w:p>
      <w:pPr>
        <w:spacing w:after="0" w:line="73"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29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revenues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decreased to $2,871 from $2,997 in the prior year period, driven by spending declines in established markets driven by continued industry challenges, such as price deflation and ongoing consolidation, which was partially offset by new client acquisitions and spending across certain markets.</w:t>
      </w:r>
    </w:p>
    <w:p>
      <w:pPr>
        <w:spacing w:after="0" w:line="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Net income increased to $2.5 million from $2.0 million in the prior year period.</w:t>
      </w:r>
    </w:p>
    <w:p>
      <w:pPr>
        <w:spacing w:after="0" w:line="32"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$10.1 million from $9.6 million in the prior year period.</w:t>
      </w:r>
    </w:p>
    <w:p>
      <w:pPr>
        <w:spacing w:after="0" w:line="2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154.4 million as of March 31, 2025.</w:t>
      </w:r>
    </w:p>
    <w:p>
      <w:pPr>
        <w:spacing w:after="0" w:line="43" w:lineRule="exact"/>
        <w:rPr>
          <w:rFonts w:ascii="Times New Roman" w:cs="Times New Roman" w:eastAsia="Times New Roman" w:hAnsi="Times New Roman"/>
          <w:sz w:val="18"/>
          <w:szCs w:val="18"/>
          <w:b w:val="1"/>
          <w:bCs w:val="1"/>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increased to $53.3 million as of March 31, 2025, as compared to $35.7 million as of March 31, 2024. The Company generated $1.3 million in the cash for the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22" w:lineRule="exact"/>
        <w:rPr>
          <w:sz w:val="20"/>
          <w:szCs w:val="20"/>
          <w:color w:val="auto"/>
        </w:rPr>
      </w:pPr>
    </w:p>
    <w:p>
      <w:pPr>
        <w:jc w:val="both"/>
        <w:ind w:left="80"/>
        <w:spacing w:after="0" w:line="280" w:lineRule="auto"/>
        <w:rPr>
          <w:sz w:val="20"/>
          <w:szCs w:val="20"/>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70"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16"/>
          <w:szCs w:val="16"/>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revenues” to “Revenue”. For additional information, see “Basis of Presentation” and “Revenue Recognition” of Note 2. “Summary of Significant Accounting Policies,” of our consolidated financial statements included in our Annual Report on Form 10-K for the year ended December 31, 2024 filed with the SEC on March 13, 2025.</w:t>
      </w:r>
    </w:p>
    <w:p>
      <w:pPr>
        <w:spacing w:after="0" w:line="87" w:lineRule="exact"/>
        <w:rPr>
          <w:sz w:val="20"/>
          <w:szCs w:val="20"/>
          <w:color w:val="auto"/>
        </w:rPr>
      </w:pPr>
    </w:p>
    <w:p>
      <w:pPr>
        <w:jc w:val="both"/>
        <w:ind w:left="80"/>
        <w:spacing w:after="0" w:line="280" w:lineRule="auto"/>
        <w:rPr>
          <w:sz w:val="20"/>
          <w:szCs w:val="20"/>
          <w:color w:val="auto"/>
        </w:rPr>
      </w:pPr>
      <w:r>
        <w:rPr>
          <w:rFonts w:ascii="Times New Roman" w:cs="Times New Roman" w:eastAsia="Times New Roman" w:hAnsi="Times New Roman"/>
          <w:sz w:val="16"/>
          <w:szCs w:val="16"/>
          <w:color w:val="auto"/>
        </w:rPr>
        <w:t>For further information about how we calculate EBITDA and Adjusted EBITDA as well as limitations of their use and a reconciliation of EBITDA and Adjusted EBITDA to net income, see “Reconciliation of Net Income to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Based on information available as of May 8, 2025, WM Technology is issuing guidance for the second quarter of 2025 as follows: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estimated to be approximately $45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is estimated to be approximately $8 million.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We are not readily able to provide a reconciliation of projected Non-GAAP Adjusted EBITDA to projected net income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host a conference call and webcast today, Thursday, May 8, 2025, at 2:00 p.m. Pacific Time (5:00 p.m. Eastern Time) at https://edge.media-server.com/mmc/p/2z8bn9nc. A webcast replay will also be archived at ir.weedmaps.com.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used, and intend to continue to use, the investor relations portion of our website as a means of disclosing material non-public information and for complying with disclosure obligations under Regulation FD.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16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Company’s internal controls and ability to remediate these material weaknesses in the timing the Company anticipates, or at all; the Company’s ability to maintain its listing on the Nasdaq Stock Market LLC; the impact of the restatement on our reputation and investor confidence in us and the increased possibility of legal proceedings and regulatory inquiries; the outcome of any known and unknown litigation and regulatory proceedings; changes in domestic and foreign business, market, financial,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3"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political and legal conditions; 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the state of war between Israel and Hamas and the related risk of a larger regional conflict, and the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and hemp industries;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for the year ended December 31, 2024, on Form 10-K filed with the Securities and Exchange Commission on March 13, 2025.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including net income, are prepared in accordance with principles generally accepted in the United States of America (“GAAP”).</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asset impairment charges, change in the TRA liability and other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March 31, 2025 and December 31, 2024</w:t>
            </w:r>
          </w:p>
        </w:tc>
        <w:tc>
          <w:tcPr>
            <w:tcW w:w="26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105,053,766</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84"/>
        </w:trPr>
        <w:tc>
          <w:tcPr>
            <w:tcW w:w="720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March 31, 2025 and 99,033,110 shares issued and</w:t>
            </w:r>
          </w:p>
        </w:tc>
        <w:tc>
          <w:tcPr>
            <w:tcW w:w="2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r>
      <w:tr>
        <w:trPr>
          <w:trHeight w:val="234"/>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49,319,542 shares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March 31, 2025 and 54,319,542 shares issued and outstanding at</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92,941</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(56,879)</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83,990</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120,067</w:t>
            </w:r>
          </w:p>
        </w:tc>
      </w:tr>
      <w:tr>
        <w:trPr>
          <w:trHeight w:val="223"/>
        </w:trPr>
        <w:tc>
          <w:tcPr>
            <w:tcW w:w="7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183,829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8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r>
      <w:tr>
        <w:trPr>
          <w:trHeight w:val="257"/>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4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WM Technology, Inc.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6"/>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104,041,260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94,704,164</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106,991,698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-4045585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26"/>
        </w:trPr>
        <w:tc>
          <w:tcPr>
            <w:tcW w:w="72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r>
      <w:tr>
        <w:trPr>
          <w:trHeight w:val="19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320" w:type="dxa"/>
            <w:vAlign w:val="bottom"/>
          </w:tcPr>
          <w:p>
            <w:pPr>
              <w:jc w:val="right"/>
              <w:ind w:right="1137"/>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tcPr>
          <w:p>
            <w:pPr>
              <w:spacing w:after="0"/>
              <w:rPr>
                <w:sz w:val="18"/>
                <w:szCs w:val="18"/>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tax receivable agreement liability</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lease assets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(recovery) for credit losses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r>
      <w:tr>
        <w:trPr>
          <w:trHeight w:val="239"/>
        </w:trPr>
        <w:tc>
          <w:tcPr>
            <w:tcW w:w="7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Capitalized software and expenditures</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239"/>
        </w:trPr>
        <w:tc>
          <w:tcPr>
            <w:tcW w:w="7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repayment of related party note</w:t>
            </w:r>
          </w:p>
        </w:tc>
        <w:tc>
          <w:tcPr>
            <w:tcW w:w="13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39"/>
        </w:trPr>
        <w:tc>
          <w:tcPr>
            <w:tcW w:w="7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51,966</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34,350</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 end of period</w:t>
            </w:r>
          </w:p>
        </w:tc>
        <w:tc>
          <w:tcPr>
            <w:tcW w:w="132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53,275</w:t>
            </w: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-4396740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4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200" w:type="dxa"/>
            <w:vAlign w:val="bottom"/>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r>
      <w:tr>
        <w:trPr>
          <w:trHeight w:val="223"/>
        </w:trPr>
        <w:tc>
          <w:tcPr>
            <w:tcW w:w="7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1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19"/>
                <w:szCs w:val="19"/>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2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3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72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72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Reduction in force expense</w:t>
            </w:r>
            <w:r>
              <w:rPr>
                <w:rFonts w:ascii="Times New Roman" w:cs="Times New Roman" w:eastAsia="Times New Roman" w:hAnsi="Times New Roman"/>
                <w:sz w:val="23"/>
                <w:szCs w:val="23"/>
                <w:color w:val="auto"/>
                <w:vertAlign w:val="superscript"/>
              </w:rPr>
              <w:t>(2)</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80" w:right="20" w:hanging="72"/>
        <w:spacing w:after="0" w:line="213" w:lineRule="auto"/>
        <w:tabs>
          <w:tab w:leader="none" w:pos="8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legal and advisory fees related to ongoing litigation related to shareholder derivative actions, the SEC enforcement matter and the SEC settlement. See Note 5, “Commitments and Contingencies” of our condensed consolidated financial statement included in the Form 10-Q for the period ended March 31, 2025 filed with the SEC.</w:t>
      </w:r>
    </w:p>
    <w:p>
      <w:pPr>
        <w:spacing w:after="0" w:line="88" w:lineRule="exact"/>
        <w:rPr>
          <w:sz w:val="20"/>
          <w:szCs w:val="20"/>
          <w:color w:val="auto"/>
        </w:rPr>
      </w:pPr>
    </w:p>
    <w:p>
      <w:pPr>
        <w:jc w:val="both"/>
        <w:ind w:left="80" w:hanging="72"/>
        <w:spacing w:after="0" w:line="256" w:lineRule="auto"/>
        <w:tabs>
          <w:tab w:leader="none" w:pos="78"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 the first quarter of 2025, we incurred severance charges included in general and administrative expense in the condensed consolidated statement of operations, related to certain reduction in force actions taken by our management. These reduction in force actions are designed to enhance operational efficiency and align resources with strategic priorities in its corporate technology and marketing divisions.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2025-05-08T15:38:49Z</dcterms:created>
  <dcterms:modified xsi:type="dcterms:W3CDTF">2025-05-08T15:38:49Z</dcterms:modified>
</cp:coreProperties>
</file>