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_______________________________________________________________________________</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_______________________________________________________________________________</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September 30, 2025</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16"/>
        </w:rPr>
        <w:t>For the transition period from ____</w:t>
      </w:r>
      <w:r>
        <w:rPr>
          <w:color w:val="000000"/>
          <w:shd w:fill="FFFFFF" w:val="clear"/>
        </w:rPr>
        <w:t xml:space="preserve"> </w:t>
      </w:r>
      <w:r>
        <w:rPr>
          <w:rFonts w:ascii="Times New Roman;serif" w:hAnsi="Times New Roman;serif"/>
          <w:b/>
          <w:color w:val="000000"/>
          <w:sz w:val="16"/>
          <w:shd w:fill="FFFFFF" w:val="clear"/>
        </w:rPr>
        <w:t>to ____</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Commission file number 001-39021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_______________________________________________________________________________</w:t>
      </w:r>
    </w:p>
    <w:p>
      <w:pPr>
        <w:pStyle w:val="TextBody"/>
        <w:bidi w:val="0"/>
        <w:spacing w:lineRule="auto" w:line="288" w:before="200" w:after="283"/>
        <w:jc w:val="center"/>
        <w:rPr>
          <w:rFonts w:ascii="Times New Roman;serif" w:hAnsi="Times New Roman;serif"/>
          <w:b/>
          <w:color w:val="000000"/>
          <w:sz w:val="44"/>
        </w:rPr>
      </w:pPr>
      <w:r>
        <w:rPr>
          <w:rFonts w:ascii="Times New Roman;serif" w:hAnsi="Times New Roman;serif"/>
          <w:b/>
          <w:color w:val="000000"/>
          <w:sz w:val="44"/>
        </w:rPr>
        <w:t>WM TECHNOLOGY,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_______________________________________________________________________________</w:t>
      </w:r>
    </w:p>
    <w:tbl>
      <w:tblPr>
        <w:tblW w:w="7286" w:type="dxa"/>
        <w:jc w:val="center"/>
        <w:tblInd w:w="0" w:type="dxa"/>
        <w:tblLayout w:type="fixed"/>
        <w:tblCellMar>
          <w:top w:w="28" w:type="dxa"/>
          <w:left w:w="28" w:type="dxa"/>
          <w:bottom w:w="28" w:type="dxa"/>
          <w:right w:w="28" w:type="dxa"/>
        </w:tblCellMar>
      </w:tblPr>
      <w:tblGrid>
        <w:gridCol w:w="1553"/>
        <w:gridCol w:w="1364"/>
        <w:gridCol w:w="1372"/>
        <w:gridCol w:w="109"/>
        <w:gridCol w:w="109"/>
        <w:gridCol w:w="109"/>
        <w:gridCol w:w="736"/>
        <w:gridCol w:w="736"/>
        <w:gridCol w:w="1198"/>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ind w:left="0" w:right="0" w:firstLine="45"/>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erif" w:hAnsi="Times New Roman;serif"/>
                <w:b/>
                <w:color w:val="000000"/>
                <w:sz w:val="16"/>
              </w:rPr>
            </w:pPr>
            <w:r>
              <w:rPr>
                <w:rFonts w:ascii="Times New Roman;serif" w:hAnsi="Times New Roman;serif"/>
                <w:b/>
                <w:color w:val="000000"/>
                <w:sz w:val="16"/>
              </w:rPr>
              <w:t>98-1605615</w:t>
            </w:r>
          </w:p>
        </w:tc>
      </w:tr>
      <w:tr>
        <w:trPr/>
        <w:tc>
          <w:tcPr>
            <w:tcW w:w="42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6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000000"/>
                <w:sz w:val="16"/>
              </w:rPr>
            </w:pPr>
            <w:r>
              <w:rPr>
                <w:rFonts w:ascii="Times New Roman;serif" w:hAnsi="Times New Roman;serif"/>
                <w:b/>
                <w:color w:val="000000"/>
                <w:sz w:val="16"/>
              </w:rPr>
              <w:t>41 Discovery</w:t>
            </w:r>
          </w:p>
          <w:p>
            <w:pPr>
              <w:pStyle w:val="TableContents"/>
              <w:bidi w:val="0"/>
              <w:spacing w:lineRule="auto" w:line="268" w:before="0" w:after="0"/>
              <w:ind w:left="0" w:right="0" w:firstLine="45"/>
              <w:jc w:val="center"/>
              <w:rPr>
                <w:rFonts w:ascii="Times New Roman;serif" w:hAnsi="Times New Roman;serif"/>
                <w:b/>
                <w:color w:val="000000"/>
                <w:sz w:val="16"/>
              </w:rPr>
            </w:pPr>
            <w:r>
              <w:rPr>
                <w:rFonts w:ascii="Times New Roman;serif" w:hAnsi="Times New Roman;serif"/>
                <w:b/>
                <w:color w:val="000000"/>
                <w:sz w:val="16"/>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firstLine="45"/>
              <w:jc w:val="center"/>
              <w:rPr/>
            </w:pPr>
            <w:r>
              <w:rPr/>
            </w:r>
          </w:p>
        </w:tc>
        <w:tc>
          <w:tcPr>
            <w:tcW w:w="26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erif" w:hAnsi="Times New Roman;serif"/>
                <w:b/>
                <w:color w:val="000000"/>
                <w:sz w:val="16"/>
              </w:rPr>
            </w:pPr>
            <w:r>
              <w:rPr>
                <w:rFonts w:ascii="Times New Roman;serif" w:hAnsi="Times New Roman;serif"/>
                <w:b/>
                <w:color w:val="000000"/>
                <w:sz w:val="16"/>
              </w:rPr>
              <w:t>92618</w:t>
            </w:r>
          </w:p>
        </w:tc>
      </w:tr>
      <w:tr>
        <w:trPr/>
        <w:tc>
          <w:tcPr>
            <w:tcW w:w="42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(844) 933-3627</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 telephone number, including area code)</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2385"/>
        <w:gridCol w:w="1982"/>
        <w:gridCol w:w="2008"/>
        <w:gridCol w:w="408"/>
        <w:gridCol w:w="403"/>
        <w:gridCol w:w="405"/>
        <w:gridCol w:w="764"/>
        <w:gridCol w:w="764"/>
        <w:gridCol w:w="1086"/>
      </w:tblGrid>
      <w:tr>
        <w:trPr/>
        <w:tc>
          <w:tcPr>
            <w:tcW w:w="2385"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2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6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MAPS</w:t>
            </w:r>
          </w:p>
        </w:tc>
        <w:tc>
          <w:tcPr>
            <w:tcW w:w="2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637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Warrants, each whole warrant exercisable for one share of Class A Common Stock at an exercise price of $11.50 per share</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MAPSW</w:t>
            </w:r>
          </w:p>
        </w:tc>
        <w:tc>
          <w:tcPr>
            <w:tcW w:w="2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 None</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2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69"/>
        <w:gridCol w:w="669"/>
        <w:gridCol w:w="67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Act).     Yes   ☐     No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As of October 31, 2025, there were 107,897,133 shares of the registrant’s Class A common stock outstanding and 49,319,542 shares of Class V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WM TECHNOLOGY,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79"/>
        <w:gridCol w:w="245"/>
        <w:gridCol w:w="246"/>
        <w:gridCol w:w="2950"/>
        <w:gridCol w:w="2950"/>
        <w:gridCol w:w="2960"/>
        <w:gridCol w:w="167"/>
        <w:gridCol w:w="167"/>
        <w:gridCol w:w="241"/>
      </w:tblGrid>
      <w:tr>
        <w:trPr/>
        <w:tc>
          <w:tcPr>
            <w:tcW w:w="2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10">
              <w:r>
                <w:rPr>
                  <w:rStyle w:val="InternetLink"/>
                  <w:rFonts w:ascii="Times New Roman;serif" w:hAnsi="Times New Roman;serif"/>
                  <w:b w:val="false"/>
                  <w:color w:val="0000FF"/>
                  <w:sz w:val="20"/>
                  <w:u w:val="single"/>
                </w:rPr>
                <w:t>Forward-Looking Statements</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13">
              <w:r>
                <w:rPr>
                  <w:rStyle w:val="InternetLink"/>
                  <w:rFonts w:ascii="Times New Roman;serif" w:hAnsi="Times New Roman;serif"/>
                  <w:b/>
                  <w:strike w:val="false"/>
                  <w:dstrike w:val="false"/>
                  <w:color w:val="000000"/>
                  <w:sz w:val="20"/>
                  <w:u w:val="none"/>
                  <w:effect w:val="none"/>
                </w:rPr>
                <w:t>Part I - Financial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cb25c747744f98b4b1e06cf501ce57_13">
              <w:r>
                <w:rPr>
                  <w:rStyle w:val="InternetLink"/>
                  <w:rFonts w:ascii="Times New Roman;serif" w:hAnsi="Times New Roman;serif"/>
                  <w:b w:val="false"/>
                  <w:color w:val="0000EE"/>
                  <w:sz w:val="20"/>
                  <w:u w:val="single"/>
                </w:rPr>
                <w:t>3</w:t>
              </w:r>
            </w:hyperlink>
          </w:p>
        </w:tc>
      </w:tr>
      <w:tr>
        <w:trPr/>
        <w:tc>
          <w:tcPr>
            <w:tcW w:w="77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16">
              <w:r>
                <w:rPr>
                  <w:rStyle w:val="InternetLink"/>
                  <w:rFonts w:ascii="Times New Roman;serif" w:hAnsi="Times New Roman;serif"/>
                  <w:b w:val="false"/>
                  <w:color w:val="0000EE"/>
                  <w:sz w:val="20"/>
                  <w:u w:val="single"/>
                </w:rPr>
                <w:t>Item 1.</w:t>
              </w:r>
            </w:hyperlink>
          </w:p>
        </w:tc>
        <w:tc>
          <w:tcPr>
            <w:tcW w:w="886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EE"/>
                <w:sz w:val="20"/>
                <w:u w:val="single"/>
              </w:rPr>
              <w:t xml:space="preserve">Condensed Consolidated </w:t>
            </w:r>
            <w:hyperlink w:anchor="iaacb25c747744f98b4b1e06cf501ce57_16">
              <w:r>
                <w:rPr>
                  <w:rStyle w:val="InternetLink"/>
                  <w:rFonts w:ascii="Times New Roman;serif" w:hAnsi="Times New Roman;serif"/>
                  <w:b w:val="false"/>
                  <w:color w:val="000080"/>
                  <w:sz w:val="20"/>
                  <w:u w:val="single"/>
                </w:rPr>
                <w:t>Financial Statements</w:t>
              </w:r>
            </w:hyperlink>
            <w:r>
              <w:rPr>
                <w:rFonts w:ascii="Times New Roman;serif" w:hAnsi="Times New Roman;serif"/>
                <w:b w:val="false"/>
                <w:color w:val="0000EE"/>
                <w:sz w:val="20"/>
                <w:u w:val="single"/>
              </w:rPr>
              <w:t xml:space="preserve"> (Unaudited)</w:t>
            </w:r>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cb25c747744f98b4b1e06cf501ce57_16">
              <w:r>
                <w:rPr>
                  <w:rStyle w:val="InternetLink"/>
                  <w:rFonts w:ascii="Times New Roman;serif" w:hAnsi="Times New Roman;serif"/>
                  <w:b w:val="false"/>
                  <w:color w:val="0000EE"/>
                  <w:sz w:val="20"/>
                  <w:u w:val="single"/>
                </w:rPr>
                <w:t>3</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cb25c747744f98b4b1e06cf501ce57_19">
              <w:r>
                <w:rPr>
                  <w:rStyle w:val="InternetLink"/>
                  <w:rFonts w:ascii="Times New Roman;serif" w:hAnsi="Times New Roman;serif"/>
                  <w:b w:val="false"/>
                  <w:color w:val="000080"/>
                  <w:sz w:val="20"/>
                  <w:u w:val="single"/>
                </w:rPr>
                <w:t>Condensed Consolidated Balance Sheet</w:t>
              </w:r>
            </w:hyperlink>
            <w:r>
              <w:rPr>
                <w:rFonts w:ascii="Times New Roman;serif" w:hAnsi="Times New Roman;serif"/>
                <w:b w:val="false"/>
                <w:color w:val="0000EE"/>
                <w:sz w:val="20"/>
                <w:u w:val="single"/>
              </w:rPr>
              <w:t>s as of September 30, 2025 and December 31, 2024</w:t>
            </w:r>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cb25c747744f98b4b1e06cf501ce57_19">
              <w:r>
                <w:rPr>
                  <w:rStyle w:val="InternetLink"/>
                  <w:rFonts w:ascii="Times New Roman;serif" w:hAnsi="Times New Roman;serif"/>
                  <w:b w:val="false"/>
                  <w:color w:val="0000EE"/>
                  <w:sz w:val="20"/>
                  <w:u w:val="single"/>
                </w:rPr>
                <w:t>3</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22">
              <w:r>
                <w:rPr>
                  <w:rStyle w:val="InternetLink"/>
                  <w:rFonts w:ascii="Times New Roman;serif" w:hAnsi="Times New Roman;serif"/>
                  <w:b w:val="false"/>
                  <w:color w:val="000080"/>
                  <w:sz w:val="20"/>
                  <w:u w:val="single"/>
                </w:rPr>
                <w:t>Condensed Consolidated Statements of Operations f</w:t>
              </w:r>
            </w:hyperlink>
            <w:r>
              <w:rPr>
                <w:rFonts w:ascii="Times New Roman;serif" w:hAnsi="Times New Roman;serif"/>
                <w:b w:val="false"/>
                <w:color w:val="0000EE"/>
                <w:sz w:val="20"/>
                <w:u w:val="single"/>
              </w:rPr>
              <w:t>or the Three and Nine Months Ended September 30, 2025 and 2024</w:t>
            </w:r>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cb25c747744f98b4b1e06cf501ce57_22">
              <w:r>
                <w:rPr>
                  <w:rStyle w:val="InternetLink"/>
                  <w:rFonts w:ascii="Times New Roman;serif" w:hAnsi="Times New Roman;serif"/>
                  <w:b w:val="false"/>
                  <w:color w:val="0000EE"/>
                  <w:sz w:val="20"/>
                  <w:u w:val="single"/>
                </w:rPr>
                <w:t>4</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25">
              <w:r>
                <w:rPr>
                  <w:rStyle w:val="InternetLink"/>
                  <w:rFonts w:ascii="Times New Roman;serif" w:hAnsi="Times New Roman;serif"/>
                  <w:b w:val="false"/>
                  <w:color w:val="000080"/>
                  <w:sz w:val="20"/>
                  <w:u w:val="single"/>
                </w:rPr>
                <w:t>Condensed Consolidated Statements of Equit</w:t>
              </w:r>
            </w:hyperlink>
            <w:r>
              <w:rPr>
                <w:rFonts w:ascii="Times New Roman;serif" w:hAnsi="Times New Roman;serif"/>
                <w:b w:val="false"/>
                <w:color w:val="0000EE"/>
                <w:sz w:val="20"/>
                <w:u w:val="single"/>
              </w:rPr>
              <w:t xml:space="preserve">y </w:t>
            </w:r>
            <w:hyperlink w:anchor="iaacb25c747744f98b4b1e06cf501ce57_22">
              <w:r>
                <w:rPr>
                  <w:rStyle w:val="InternetLink"/>
                  <w:rFonts w:ascii="Times New Roman;serif" w:hAnsi="Times New Roman;serif"/>
                  <w:b w:val="false"/>
                  <w:color w:val="000080"/>
                  <w:sz w:val="20"/>
                  <w:u w:val="single"/>
                </w:rPr>
                <w:t>f</w:t>
              </w:r>
            </w:hyperlink>
            <w:r>
              <w:rPr>
                <w:rFonts w:ascii="Times New Roman;serif" w:hAnsi="Times New Roman;serif"/>
                <w:b w:val="false"/>
                <w:color w:val="0000EE"/>
                <w:sz w:val="20"/>
                <w:u w:val="single"/>
              </w:rPr>
              <w:t>or the Three and Nine Months Ended September 30, 2025 and 2024</w:t>
            </w:r>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cb25c747744f98b4b1e06cf501ce57_25">
              <w:r>
                <w:rPr>
                  <w:rStyle w:val="InternetLink"/>
                  <w:rFonts w:ascii="Times New Roman;serif" w:hAnsi="Times New Roman;serif"/>
                  <w:b w:val="false"/>
                  <w:color w:val="0000EE"/>
                  <w:sz w:val="20"/>
                  <w:u w:val="single"/>
                </w:rPr>
                <w:t>5</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28">
              <w:r>
                <w:rPr>
                  <w:rStyle w:val="InternetLink"/>
                  <w:rFonts w:ascii="Times New Roman;serif" w:hAnsi="Times New Roman;serif"/>
                  <w:b w:val="false"/>
                  <w:color w:val="000080"/>
                  <w:sz w:val="20"/>
                  <w:u w:val="single"/>
                </w:rPr>
                <w:t xml:space="preserve">Condensed Consolidated Statements of Cash Flows </w:t>
              </w:r>
            </w:hyperlink>
            <w:r>
              <w:rPr>
                <w:rFonts w:ascii="Times New Roman;serif" w:hAnsi="Times New Roman;serif"/>
                <w:b w:val="false"/>
                <w:color w:val="0000EE"/>
                <w:sz w:val="20"/>
                <w:u w:val="single"/>
              </w:rPr>
              <w:t>for the Nine Months Ended September 30, 2025 and 2024</w:t>
            </w:r>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cb25c747744f98b4b1e06cf501ce57_28">
              <w:r>
                <w:rPr>
                  <w:rStyle w:val="InternetLink"/>
                  <w:rFonts w:ascii="Times New Roman;serif" w:hAnsi="Times New Roman;serif"/>
                  <w:b w:val="false"/>
                  <w:color w:val="0000EE"/>
                  <w:sz w:val="20"/>
                  <w:u w:val="single"/>
                </w:rPr>
                <w:t>7</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31">
              <w:r>
                <w:rPr>
                  <w:rStyle w:val="InternetLink"/>
                  <w:rFonts w:ascii="Times New Roman;serif" w:hAnsi="Times New Roman;serif"/>
                  <w:b w:val="false"/>
                  <w:color w:val="0000EE"/>
                  <w:sz w:val="20"/>
                  <w:u w:val="single"/>
                </w:rPr>
                <w:t>Notes to Condensed Consolidated Financial Statements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cb25c747744f98b4b1e06cf501ce57_31">
              <w:r>
                <w:rPr>
                  <w:rStyle w:val="InternetLink"/>
                  <w:rFonts w:ascii="Times New Roman;serif" w:hAnsi="Times New Roman;serif"/>
                  <w:b w:val="false"/>
                  <w:color w:val="0000EE"/>
                  <w:sz w:val="20"/>
                  <w:u w:val="single"/>
                </w:rPr>
                <w:t>8</w:t>
              </w:r>
            </w:hyperlink>
          </w:p>
        </w:tc>
      </w:tr>
      <w:tr>
        <w:trPr/>
        <w:tc>
          <w:tcPr>
            <w:tcW w:w="77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85">
              <w:r>
                <w:rPr>
                  <w:rStyle w:val="InternetLink"/>
                  <w:rFonts w:ascii="Times New Roman;serif" w:hAnsi="Times New Roman;serif"/>
                  <w:b w:val="false"/>
                  <w:color w:val="0000EE"/>
                  <w:sz w:val="20"/>
                  <w:u w:val="single"/>
                </w:rPr>
                <w:t>Item 2.</w:t>
              </w:r>
            </w:hyperlink>
          </w:p>
        </w:tc>
        <w:tc>
          <w:tcPr>
            <w:tcW w:w="88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85">
              <w:r>
                <w:rPr>
                  <w:rStyle w:val="InternetLink"/>
                  <w:rFonts w:ascii="Times New Roman;serif" w:hAnsi="Times New Roman;serif"/>
                  <w:b w:val="false"/>
                  <w:color w:val="0000EE"/>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cb25c747744f98b4b1e06cf501ce57_85">
              <w:r>
                <w:rPr>
                  <w:rStyle w:val="InternetLink"/>
                  <w:rFonts w:ascii="Times New Roman;serif" w:hAnsi="Times New Roman;serif"/>
                  <w:b w:val="false"/>
                  <w:color w:val="0000EE"/>
                  <w:sz w:val="20"/>
                  <w:u w:val="single"/>
                </w:rPr>
                <w:t>31</w:t>
              </w:r>
            </w:hyperlink>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cb25c747744f98b4b1e06cf501ce57_124">
              <w:r>
                <w:rPr>
                  <w:rStyle w:val="InternetLink"/>
                  <w:rFonts w:ascii="Times New Roman;serif" w:hAnsi="Times New Roman;serif"/>
                  <w:b w:val="false"/>
                  <w:color w:val="0000EE"/>
                  <w:sz w:val="20"/>
                  <w:u w:val="single"/>
                </w:rPr>
                <w:t>Item 3.</w:t>
              </w:r>
            </w:hyperlink>
          </w:p>
        </w:tc>
        <w:tc>
          <w:tcPr>
            <w:tcW w:w="8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cb25c747744f98b4b1e06cf501ce57_124">
              <w:r>
                <w:rPr>
                  <w:rStyle w:val="InternetLink"/>
                  <w:rFonts w:ascii="Times New Roman;serif" w:hAnsi="Times New Roman;serif"/>
                  <w:b w:val="false"/>
                  <w:color w:val="0000EE"/>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cb25c747744f98b4b1e06cf501ce57_124">
              <w:r>
                <w:rPr>
                  <w:rStyle w:val="InternetLink"/>
                  <w:rFonts w:ascii="Times New Roman;serif" w:hAnsi="Times New Roman;serif"/>
                  <w:b w:val="false"/>
                  <w:color w:val="0000EE"/>
                  <w:sz w:val="20"/>
                  <w:u w:val="single"/>
                </w:rPr>
                <w:t>44</w:t>
              </w:r>
            </w:hyperlink>
          </w:p>
        </w:tc>
      </w:tr>
      <w:tr>
        <w:trPr/>
        <w:tc>
          <w:tcPr>
            <w:tcW w:w="77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127">
              <w:r>
                <w:rPr>
                  <w:rStyle w:val="InternetLink"/>
                  <w:rFonts w:ascii="Times New Roman;serif" w:hAnsi="Times New Roman;serif"/>
                  <w:b w:val="false"/>
                  <w:color w:val="0000EE"/>
                  <w:sz w:val="20"/>
                  <w:u w:val="single"/>
                </w:rPr>
                <w:t>Item 4.</w:t>
              </w:r>
            </w:hyperlink>
          </w:p>
        </w:tc>
        <w:tc>
          <w:tcPr>
            <w:tcW w:w="88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127">
              <w:r>
                <w:rPr>
                  <w:rStyle w:val="InternetLink"/>
                  <w:rFonts w:ascii="Times New Roman;serif" w:hAnsi="Times New Roman;serif"/>
                  <w:b w:val="false"/>
                  <w:color w:val="0000EE"/>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cb25c747744f98b4b1e06cf501ce57_127">
              <w:r>
                <w:rPr>
                  <w:rStyle w:val="InternetLink"/>
                  <w:rFonts w:ascii="Times New Roman;serif" w:hAnsi="Times New Roman;serif"/>
                  <w:b w:val="false"/>
                  <w:color w:val="0000EE"/>
                  <w:sz w:val="20"/>
                  <w:u w:val="single"/>
                </w:rPr>
                <w:t>44</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130">
              <w:r>
                <w:rPr>
                  <w:rStyle w:val="InternetLink"/>
                  <w:rFonts w:ascii="Times New Roman;serif" w:hAnsi="Times New Roman;serif"/>
                  <w:b/>
                  <w:strike w:val="false"/>
                  <w:dstrike w:val="false"/>
                  <w:color w:val="000000"/>
                  <w:sz w:val="20"/>
                  <w:u w:val="none"/>
                  <w:effect w:val="none"/>
                </w:rPr>
                <w:t>Part II - 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cb25c747744f98b4b1e06cf501ce57_130">
              <w:r>
                <w:rPr>
                  <w:rStyle w:val="InternetLink"/>
                  <w:rFonts w:ascii="Times New Roman;serif" w:hAnsi="Times New Roman;serif"/>
                  <w:b w:val="false"/>
                  <w:color w:val="0000EE"/>
                  <w:sz w:val="20"/>
                  <w:u w:val="single"/>
                </w:rPr>
                <w:t>47</w:t>
              </w:r>
            </w:hyperlink>
          </w:p>
        </w:tc>
      </w:tr>
      <w:tr>
        <w:trPr/>
        <w:tc>
          <w:tcPr>
            <w:tcW w:w="77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133">
              <w:r>
                <w:rPr>
                  <w:rStyle w:val="InternetLink"/>
                  <w:rFonts w:ascii="Times New Roman;serif" w:hAnsi="Times New Roman;serif"/>
                  <w:b w:val="false"/>
                  <w:color w:val="0000EE"/>
                  <w:sz w:val="20"/>
                  <w:u w:val="single"/>
                </w:rPr>
                <w:t>Item 1.</w:t>
              </w:r>
            </w:hyperlink>
          </w:p>
        </w:tc>
        <w:tc>
          <w:tcPr>
            <w:tcW w:w="88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133">
              <w:r>
                <w:rPr>
                  <w:rStyle w:val="InternetLink"/>
                  <w:rFonts w:ascii="Times New Roman;serif" w:hAnsi="Times New Roman;serif"/>
                  <w:b w:val="false"/>
                  <w:color w:val="0000EE"/>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cb25c747744f98b4b1e06cf501ce57_133">
              <w:r>
                <w:rPr>
                  <w:rStyle w:val="InternetLink"/>
                  <w:rFonts w:ascii="Times New Roman;serif" w:hAnsi="Times New Roman;serif"/>
                  <w:b w:val="false"/>
                  <w:color w:val="0000EE"/>
                  <w:sz w:val="20"/>
                  <w:u w:val="single"/>
                </w:rPr>
                <w:t>47</w:t>
              </w:r>
            </w:hyperlink>
          </w:p>
        </w:tc>
      </w:tr>
      <w:tr>
        <w:trPr/>
        <w:tc>
          <w:tcPr>
            <w:tcW w:w="77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136">
              <w:r>
                <w:rPr>
                  <w:rStyle w:val="InternetLink"/>
                  <w:rFonts w:ascii="Times New Roman;serif" w:hAnsi="Times New Roman;serif"/>
                  <w:b w:val="false"/>
                  <w:color w:val="0000EE"/>
                  <w:sz w:val="20"/>
                  <w:u w:val="single"/>
                </w:rPr>
                <w:t>Item 1A.</w:t>
              </w:r>
            </w:hyperlink>
          </w:p>
        </w:tc>
        <w:tc>
          <w:tcPr>
            <w:tcW w:w="88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136">
              <w:r>
                <w:rPr>
                  <w:rStyle w:val="InternetLink"/>
                  <w:rFonts w:ascii="Times New Roman;serif" w:hAnsi="Times New Roman;serif"/>
                  <w:b w:val="false"/>
                  <w:color w:val="0000EE"/>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cb25c747744f98b4b1e06cf501ce57_136">
              <w:r>
                <w:rPr>
                  <w:rStyle w:val="InternetLink"/>
                  <w:rFonts w:ascii="Times New Roman;serif" w:hAnsi="Times New Roman;serif"/>
                  <w:b w:val="false"/>
                  <w:color w:val="0000EE"/>
                  <w:sz w:val="20"/>
                  <w:u w:val="single"/>
                </w:rPr>
                <w:t>47</w:t>
              </w:r>
            </w:hyperlink>
          </w:p>
        </w:tc>
      </w:tr>
      <w:tr>
        <w:trPr/>
        <w:tc>
          <w:tcPr>
            <w:tcW w:w="77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139">
              <w:r>
                <w:rPr>
                  <w:rStyle w:val="InternetLink"/>
                  <w:rFonts w:ascii="Times New Roman;serif" w:hAnsi="Times New Roman;serif"/>
                  <w:b w:val="false"/>
                  <w:color w:val="0000EE"/>
                  <w:sz w:val="20"/>
                  <w:u w:val="single"/>
                </w:rPr>
                <w:t>Item 2.</w:t>
              </w:r>
            </w:hyperlink>
          </w:p>
        </w:tc>
        <w:tc>
          <w:tcPr>
            <w:tcW w:w="88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139">
              <w:r>
                <w:rPr>
                  <w:rStyle w:val="InternetLink"/>
                  <w:rFonts w:ascii="Times New Roman;serif" w:hAnsi="Times New Roman;serif"/>
                  <w:b w:val="false"/>
                  <w:color w:val="0000EE"/>
                  <w:sz w:val="20"/>
                  <w:u w:val="single"/>
                </w:rPr>
                <w:t>Unregistered Sales of Equity Securities and Use of Proceeds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cb25c747744f98b4b1e06cf501ce57_139">
              <w:r>
                <w:rPr>
                  <w:rStyle w:val="InternetLink"/>
                  <w:rFonts w:ascii="Times New Roman;serif" w:hAnsi="Times New Roman;serif"/>
                  <w:b w:val="false"/>
                  <w:color w:val="0000EE"/>
                  <w:sz w:val="20"/>
                  <w:u w:val="single"/>
                </w:rPr>
                <w:t>47</w:t>
              </w:r>
            </w:hyperlink>
          </w:p>
        </w:tc>
      </w:tr>
      <w:tr>
        <w:trPr/>
        <w:tc>
          <w:tcPr>
            <w:tcW w:w="77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142">
              <w:r>
                <w:rPr>
                  <w:rStyle w:val="InternetLink"/>
                  <w:rFonts w:ascii="Times New Roman;serif" w:hAnsi="Times New Roman;serif"/>
                  <w:b w:val="false"/>
                  <w:color w:val="0000EE"/>
                  <w:sz w:val="20"/>
                  <w:u w:val="single"/>
                </w:rPr>
                <w:t>Item 3.</w:t>
              </w:r>
            </w:hyperlink>
          </w:p>
        </w:tc>
        <w:tc>
          <w:tcPr>
            <w:tcW w:w="88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142">
              <w:r>
                <w:rPr>
                  <w:rStyle w:val="InternetLink"/>
                  <w:rFonts w:ascii="Times New Roman;serif" w:hAnsi="Times New Roman;serif"/>
                  <w:b w:val="false"/>
                  <w:color w:val="0000EE"/>
                  <w:sz w:val="20"/>
                  <w:u w:val="single"/>
                </w:rPr>
                <w:t>Defaults Upon Senior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cb25c747744f98b4b1e06cf501ce57_142">
              <w:r>
                <w:rPr>
                  <w:rStyle w:val="InternetLink"/>
                  <w:rFonts w:ascii="Times New Roman;serif" w:hAnsi="Times New Roman;serif"/>
                  <w:b w:val="false"/>
                  <w:color w:val="0000EE"/>
                  <w:sz w:val="20"/>
                  <w:u w:val="single"/>
                </w:rPr>
                <w:t>47</w:t>
              </w:r>
            </w:hyperlink>
          </w:p>
        </w:tc>
      </w:tr>
      <w:tr>
        <w:trPr/>
        <w:tc>
          <w:tcPr>
            <w:tcW w:w="77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145">
              <w:r>
                <w:rPr>
                  <w:rStyle w:val="InternetLink"/>
                  <w:rFonts w:ascii="Times New Roman;serif" w:hAnsi="Times New Roman;serif"/>
                  <w:b w:val="false"/>
                  <w:color w:val="0000EE"/>
                  <w:sz w:val="20"/>
                  <w:u w:val="single"/>
                </w:rPr>
                <w:t>Item 4.</w:t>
              </w:r>
            </w:hyperlink>
          </w:p>
        </w:tc>
        <w:tc>
          <w:tcPr>
            <w:tcW w:w="88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145">
              <w:r>
                <w:rPr>
                  <w:rStyle w:val="InternetLink"/>
                  <w:rFonts w:ascii="Times New Roman;serif" w:hAnsi="Times New Roman;serif"/>
                  <w:b w:val="false"/>
                  <w:color w:val="0000EE"/>
                  <w:sz w:val="20"/>
                  <w:u w:val="singl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cb25c747744f98b4b1e06cf501ce57_145">
              <w:r>
                <w:rPr>
                  <w:rStyle w:val="InternetLink"/>
                  <w:rFonts w:ascii="Times New Roman;serif" w:hAnsi="Times New Roman;serif"/>
                  <w:b w:val="false"/>
                  <w:color w:val="0000EE"/>
                  <w:sz w:val="20"/>
                  <w:u w:val="single"/>
                </w:rPr>
                <w:t>47</w:t>
              </w:r>
            </w:hyperlink>
          </w:p>
        </w:tc>
      </w:tr>
      <w:tr>
        <w:trPr/>
        <w:tc>
          <w:tcPr>
            <w:tcW w:w="77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148">
              <w:r>
                <w:rPr>
                  <w:rStyle w:val="InternetLink"/>
                  <w:rFonts w:ascii="Times New Roman;serif" w:hAnsi="Times New Roman;serif"/>
                  <w:b w:val="false"/>
                  <w:color w:val="0000EE"/>
                  <w:sz w:val="20"/>
                  <w:u w:val="single"/>
                </w:rPr>
                <w:t>Item 5.</w:t>
              </w:r>
            </w:hyperlink>
          </w:p>
        </w:tc>
        <w:tc>
          <w:tcPr>
            <w:tcW w:w="88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148">
              <w:r>
                <w:rPr>
                  <w:rStyle w:val="InternetLink"/>
                  <w:rFonts w:ascii="Times New Roman;serif" w:hAnsi="Times New Roman;serif"/>
                  <w:b w:val="false"/>
                  <w:color w:val="0000EE"/>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cb25c747744f98b4b1e06cf501ce57_148">
              <w:r>
                <w:rPr>
                  <w:rStyle w:val="InternetLink"/>
                  <w:rFonts w:ascii="Times New Roman;serif" w:hAnsi="Times New Roman;serif"/>
                  <w:b w:val="false"/>
                  <w:color w:val="0000EE"/>
                  <w:sz w:val="20"/>
                  <w:u w:val="single"/>
                </w:rPr>
                <w:t>47</w:t>
              </w:r>
            </w:hyperlink>
          </w:p>
        </w:tc>
      </w:tr>
      <w:tr>
        <w:trPr/>
        <w:tc>
          <w:tcPr>
            <w:tcW w:w="77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151">
              <w:r>
                <w:rPr>
                  <w:rStyle w:val="InternetLink"/>
                  <w:rFonts w:ascii="Times New Roman;serif" w:hAnsi="Times New Roman;serif"/>
                  <w:b w:val="false"/>
                  <w:color w:val="0000EE"/>
                  <w:sz w:val="20"/>
                  <w:u w:val="single"/>
                </w:rPr>
                <w:t>Item 6.</w:t>
              </w:r>
            </w:hyperlink>
          </w:p>
        </w:tc>
        <w:tc>
          <w:tcPr>
            <w:tcW w:w="88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151">
              <w:r>
                <w:rPr>
                  <w:rStyle w:val="InternetLink"/>
                  <w:rFonts w:ascii="Times New Roman;serif" w:hAnsi="Times New Roman;serif"/>
                  <w:b w:val="false"/>
                  <w:color w:val="0000EE"/>
                  <w:sz w:val="20"/>
                  <w:u w:val="single"/>
                </w:rPr>
                <w:t>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cb25c747744f98b4b1e06cf501ce57_151">
              <w:r>
                <w:rPr>
                  <w:rStyle w:val="InternetLink"/>
                  <w:rFonts w:ascii="Times New Roman;serif" w:hAnsi="Times New Roman;serif"/>
                  <w:b w:val="false"/>
                  <w:color w:val="0000EE"/>
                  <w:sz w:val="20"/>
                  <w:u w:val="single"/>
                </w:rPr>
                <w:t>48</w:t>
              </w:r>
            </w:hyperlink>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aacb25c747744f98b4b1e06cf501ce57_154">
              <w:r>
                <w:rPr>
                  <w:rStyle w:val="InternetLink"/>
                  <w:rFonts w:ascii="Times New Roman;serif" w:hAnsi="Times New Roman;serif"/>
                  <w:b w:val="false"/>
                  <w:color w:val="0000EE"/>
                  <w:sz w:val="20"/>
                  <w:u w:val="single"/>
                </w:rPr>
                <w:t>Signatures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cb25c747744f98b4b1e06cf501ce57_154">
              <w:r>
                <w:rPr>
                  <w:rStyle w:val="InternetLink"/>
                  <w:rFonts w:ascii="Times New Roman;serif" w:hAnsi="Times New Roman;serif"/>
                  <w:b w:val="false"/>
                  <w:color w:val="0000EE"/>
                  <w:sz w:val="20"/>
                  <w:u w:val="single"/>
                </w:rPr>
                <w:t>49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financial and business performance, including key business metrics and any underlying assumptions thereunder;</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market opportunity and our ability to acquire new clients and retain existing clients;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expectations and timing related to commercial product launches;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success of our go-to-market strategy;</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scale our business and expand our offerings;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competitive advantages and growth strategies;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future capital requirements and sources and uses of cash;</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obtain funding for our future operations;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impact of material weaknesses in our internal controls and our ability to remediate any such material weakness on the timing we anticipate, or at all;</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maintain our listing on the Nasdaq Stock Market LLC (“Nasdaq”);</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impact of the restatement on our reputation and investor confidence in us and the increased possibility of legal proceedings and regulatory inquiries;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 xml:space="preserve">the outcome of any known and unknown litigation and regulatory proceedings; </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changes in domestic and foreign business, market, financial, political and legal conditions;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 xml:space="preserve">the effect of macroeconomic conditions, including, but not limited to inflation, tariffs, public health crises, uncertain credit and global financial markets, past and potential future disruptions in access to bank deposits or lending commitments due to bank failures; current and potential future geopolitical events, including the military conflicts between Russia and Ukraine and in the Middle East; and the occurrence of a catastrophic event, including but not limited to severe weather, war, or terrorist attack; </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future global, regional or local economic and market conditions affecting the cannabis industry;</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development, effects and enforcement of and changes to laws and regulations, including with respect to the cannabis and hemp industries;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successfully capitalize on new and existing cannabis markets, including our ability to successfully monetize our solutions in those markets;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manage future growth;</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effectively anticipate and address changes in the end-user market in the cannabis industry;</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develop new products and solutions, bring them to market in a timely manner and make enhancements to our platform and our ability to maintain and grow our two-sided marketplace, including our ability to acquire and retain paying clients;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effects of competition on our future business;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success in retaining or recruiting, or changes required in, officers, key employees or directors;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cyber-attacks and security vulnerabilities; and</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possibility that we may be adversely affected by other economic, business or competitive factors.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included in our Annual Report on Form 10-K for the year ended December 31, 2024, filed with the SEC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3"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March 13, 2025.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WHERE YOU CAN FIND ADDITIONAL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intend to announce material information to the public through filings with the Securities and Exchange Commission (“SEC”), the investor relations page on our website, which is located at ir.weedmaps.com, public conference calls, and public webcasts. The information disclosed through the foregoing channels could be deemed to be material information. As such, we encourage investors, the media, and others to follow the channels listed above and to review the information disclosed through such channels.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we post through these channels is not a part of this Quarterly Report on Form 10-Q. Any updates to the list of disclosure channels through which we will announce information will be posted on the investor relations page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51460"/>
                <wp:effectExtent l="0" t="0" r="0" b="0"/>
                <wp:wrapNone/>
                <wp:docPr id="4"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 thousands, except for share data)</w:t>
      </w:r>
    </w:p>
    <w:tbl>
      <w:tblPr>
        <w:tblW w:w="10205" w:type="dxa"/>
        <w:jc w:val="left"/>
        <w:tblInd w:w="0" w:type="dxa"/>
        <w:tblLayout w:type="fixed"/>
        <w:tblCellMar>
          <w:top w:w="28" w:type="dxa"/>
          <w:left w:w="28" w:type="dxa"/>
          <w:bottom w:w="28" w:type="dxa"/>
          <w:right w:w="28" w:type="dxa"/>
        </w:tblCellMar>
      </w:tblPr>
      <w:tblGrid>
        <w:gridCol w:w="2693"/>
        <w:gridCol w:w="2075"/>
        <w:gridCol w:w="2042"/>
        <w:gridCol w:w="109"/>
        <w:gridCol w:w="109"/>
        <w:gridCol w:w="109"/>
        <w:gridCol w:w="249"/>
        <w:gridCol w:w="976"/>
        <w:gridCol w:w="128"/>
        <w:gridCol w:w="109"/>
        <w:gridCol w:w="109"/>
        <w:gridCol w:w="109"/>
        <w:gridCol w:w="245"/>
        <w:gridCol w:w="960"/>
        <w:gridCol w:w="183"/>
      </w:tblGrid>
      <w:tr>
        <w:trPr/>
        <w:tc>
          <w:tcPr>
            <w:tcW w:w="2693"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192,911 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181,866 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liability,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 $0.0001 par value; 75,000,000 shares authorized; no shares issued and outstanding at September 30, 2025 and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 $0.0001 par value; 1,500,000,000 shares authorized; 107,897,133 shares issued and outstanding at September 30, 2025 and 99,033,110 shares issued and 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V Common Stock - $0.0001 par value; 500,000,000 shares authorized, 49,319,542 shares issued and outstanding at September 30, 2025 and 54,319,542 shares issued and outstanding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108,237 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92,941 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WM Technology, Inc.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135,358 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120,067 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192,911 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181,866 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 thousands, except for share data)</w:t>
      </w:r>
    </w:p>
    <w:tbl>
      <w:tblPr>
        <w:tblW w:w="10205" w:type="dxa"/>
        <w:jc w:val="left"/>
        <w:tblInd w:w="0" w:type="dxa"/>
        <w:tblLayout w:type="fixed"/>
        <w:tblCellMar>
          <w:top w:w="28" w:type="dxa"/>
          <w:left w:w="28" w:type="dxa"/>
          <w:bottom w:w="28" w:type="dxa"/>
          <w:right w:w="28" w:type="dxa"/>
        </w:tblCellMar>
      </w:tblPr>
      <w:tblGrid>
        <w:gridCol w:w="1641"/>
        <w:gridCol w:w="1207"/>
        <w:gridCol w:w="1216"/>
        <w:gridCol w:w="273"/>
        <w:gridCol w:w="922"/>
        <w:gridCol w:w="123"/>
        <w:gridCol w:w="123"/>
        <w:gridCol w:w="123"/>
        <w:gridCol w:w="123"/>
        <w:gridCol w:w="273"/>
        <w:gridCol w:w="866"/>
        <w:gridCol w:w="123"/>
        <w:gridCol w:w="109"/>
        <w:gridCol w:w="109"/>
        <w:gridCol w:w="109"/>
        <w:gridCol w:w="241"/>
        <w:gridCol w:w="945"/>
        <w:gridCol w:w="109"/>
        <w:gridCol w:w="109"/>
        <w:gridCol w:w="109"/>
        <w:gridCol w:w="109"/>
        <w:gridCol w:w="219"/>
        <w:gridCol w:w="862"/>
        <w:gridCol w:w="162"/>
      </w:tblGrid>
      <w:tr>
        <w:trPr/>
        <w:tc>
          <w:tcPr>
            <w:tcW w:w="164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shown separately below)</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126,648 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WM Technology, Inc.</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per share</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shares outstanding</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107,569,086 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97,166,788 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105,797,793 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95,743,064 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109,112,744 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97,811,251 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108,144,795 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96,761,731 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 thousands, except for share data)</w:t>
      </w:r>
    </w:p>
    <w:tbl>
      <w:tblPr>
        <w:tblW w:w="12388" w:type="dxa"/>
        <w:jc w:val="center"/>
        <w:tblInd w:w="0" w:type="dxa"/>
        <w:tblLayout w:type="fixed"/>
        <w:tblCellMar>
          <w:top w:w="28" w:type="dxa"/>
          <w:left w:w="28" w:type="dxa"/>
          <w:bottom w:w="28" w:type="dxa"/>
          <w:right w:w="28" w:type="dxa"/>
        </w:tblCellMar>
      </w:tblPr>
      <w:tblGrid>
        <w:gridCol w:w="507"/>
        <w:gridCol w:w="354"/>
        <w:gridCol w:w="355"/>
        <w:gridCol w:w="525"/>
        <w:gridCol w:w="526"/>
        <w:gridCol w:w="308"/>
        <w:gridCol w:w="196"/>
        <w:gridCol w:w="331"/>
        <w:gridCol w:w="109"/>
        <w:gridCol w:w="109"/>
        <w:gridCol w:w="109"/>
        <w:gridCol w:w="109"/>
        <w:gridCol w:w="304"/>
        <w:gridCol w:w="304"/>
        <w:gridCol w:w="308"/>
        <w:gridCol w:w="196"/>
        <w:gridCol w:w="241"/>
        <w:gridCol w:w="109"/>
        <w:gridCol w:w="109"/>
        <w:gridCol w:w="109"/>
        <w:gridCol w:w="109"/>
        <w:gridCol w:w="196"/>
        <w:gridCol w:w="736"/>
        <w:gridCol w:w="109"/>
        <w:gridCol w:w="109"/>
        <w:gridCol w:w="109"/>
        <w:gridCol w:w="109"/>
        <w:gridCol w:w="213"/>
        <w:gridCol w:w="719"/>
        <w:gridCol w:w="119"/>
        <w:gridCol w:w="109"/>
        <w:gridCol w:w="109"/>
        <w:gridCol w:w="109"/>
        <w:gridCol w:w="225"/>
        <w:gridCol w:w="744"/>
        <w:gridCol w:w="127"/>
        <w:gridCol w:w="109"/>
        <w:gridCol w:w="109"/>
        <w:gridCol w:w="109"/>
        <w:gridCol w:w="259"/>
        <w:gridCol w:w="856"/>
        <w:gridCol w:w="146"/>
        <w:gridCol w:w="109"/>
        <w:gridCol w:w="109"/>
        <w:gridCol w:w="109"/>
        <w:gridCol w:w="109"/>
        <w:gridCol w:w="109"/>
        <w:gridCol w:w="196"/>
        <w:gridCol w:w="736"/>
        <w:gridCol w:w="154"/>
      </w:tblGrid>
      <w:tr>
        <w:trPr/>
        <w:tc>
          <w:tcPr>
            <w:tcW w:w="50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9" w:type="dxa"/>
            <w:gridSpan w:val="41"/>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and Nine Months Ended September 30, 2025</w:t>
            </w:r>
          </w:p>
        </w:tc>
        <w:tc>
          <w:tcPr>
            <w:tcW w:w="1413" w:type="dxa"/>
            <w:gridSpan w:val="6"/>
            <w:tcBorders/>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Stock </w:t>
              <w:br/>
              <w:t>Class 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Stock </w:t>
              <w:br/>
              <w:t>Class V</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WM Technology, Inc. Stockholders’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2024</w:t>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99,033,110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54,319,542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(56,879)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36,077 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83,990 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 vesting of restricted stock units, net of shares withheld for taxes</w:t>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711,646</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 Class A Unit exchange</w:t>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w:t>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 Class P Unit exchange</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309,010</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March 31, 2025</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105,053,766 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49,319,542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(55,232)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48,465 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75,251 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 vesting of restricted stock units, net of shares withheld for taxes</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2,172,694</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June 30,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107,226,460 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49,319,542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(53,805)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52,740 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75,265 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128,005 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 vesting of restricted stock units, net of shares withheld for taxes</w:t>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670,673</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adjustments to non-controlling interests</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September 30, 2025</w:t>
            </w:r>
          </w:p>
        </w:tc>
        <w:tc>
          <w:tcPr>
            <w:tcW w:w="13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107,897,133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49,319,542</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(51,345)</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56,908 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78,450 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135,358 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 thousands, except for share data)</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(Continued)</w:t>
      </w:r>
    </w:p>
    <w:tbl>
      <w:tblPr>
        <w:tblW w:w="12096" w:type="dxa"/>
        <w:jc w:val="center"/>
        <w:tblInd w:w="0" w:type="dxa"/>
        <w:tblLayout w:type="fixed"/>
        <w:tblCellMar>
          <w:top w:w="28" w:type="dxa"/>
          <w:left w:w="28" w:type="dxa"/>
          <w:bottom w:w="28" w:type="dxa"/>
          <w:right w:w="28" w:type="dxa"/>
        </w:tblCellMar>
      </w:tblPr>
      <w:tblGrid>
        <w:gridCol w:w="507"/>
        <w:gridCol w:w="354"/>
        <w:gridCol w:w="355"/>
        <w:gridCol w:w="304"/>
        <w:gridCol w:w="304"/>
        <w:gridCol w:w="308"/>
        <w:gridCol w:w="196"/>
        <w:gridCol w:w="331"/>
        <w:gridCol w:w="109"/>
        <w:gridCol w:w="109"/>
        <w:gridCol w:w="109"/>
        <w:gridCol w:w="109"/>
        <w:gridCol w:w="480"/>
        <w:gridCol w:w="481"/>
        <w:gridCol w:w="196"/>
        <w:gridCol w:w="196"/>
        <w:gridCol w:w="241"/>
        <w:gridCol w:w="109"/>
        <w:gridCol w:w="109"/>
        <w:gridCol w:w="109"/>
        <w:gridCol w:w="109"/>
        <w:gridCol w:w="196"/>
        <w:gridCol w:w="646"/>
        <w:gridCol w:w="109"/>
        <w:gridCol w:w="109"/>
        <w:gridCol w:w="109"/>
        <w:gridCol w:w="109"/>
        <w:gridCol w:w="213"/>
        <w:gridCol w:w="719"/>
        <w:gridCol w:w="119"/>
        <w:gridCol w:w="109"/>
        <w:gridCol w:w="109"/>
        <w:gridCol w:w="109"/>
        <w:gridCol w:w="225"/>
        <w:gridCol w:w="744"/>
        <w:gridCol w:w="127"/>
        <w:gridCol w:w="109"/>
        <w:gridCol w:w="109"/>
        <w:gridCol w:w="109"/>
        <w:gridCol w:w="259"/>
        <w:gridCol w:w="856"/>
        <w:gridCol w:w="146"/>
        <w:gridCol w:w="109"/>
        <w:gridCol w:w="109"/>
        <w:gridCol w:w="109"/>
        <w:gridCol w:w="109"/>
        <w:gridCol w:w="109"/>
        <w:gridCol w:w="196"/>
        <w:gridCol w:w="736"/>
        <w:gridCol w:w="154"/>
      </w:tblGrid>
      <w:tr>
        <w:trPr/>
        <w:tc>
          <w:tcPr>
            <w:tcW w:w="50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7" w:type="dxa"/>
            <w:gridSpan w:val="41"/>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and Nine Months Ended September 30, 2024</w:t>
            </w:r>
          </w:p>
        </w:tc>
        <w:tc>
          <w:tcPr>
            <w:tcW w:w="1413" w:type="dxa"/>
            <w:gridSpan w:val="6"/>
            <w:tcBorders/>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Stock </w:t>
              <w:br/>
              <w:t>Class 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Stock </w:t>
              <w:br/>
              <w:t>Class V</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WM Technology, Inc. Stockholders’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2023</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94,383,053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55,486,361 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(64,518)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86,771 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 vesting of restricted stock units, net of shares withheld for taxes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628,941</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 Class P Unit exchange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39,741</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March 31, 2024</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95,051,735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55,486,361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(63,278)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20,792 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86,036 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 vesting of restricted stock units, net of shares withheld for taxes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1,896,515</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June 30, 2024</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96,948,250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55,486,361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(62,562)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84,728 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 vesting of restricted stock units, net of shares withheld for taxes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427,776</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September 30, 2024</w:t>
            </w:r>
          </w:p>
        </w:tc>
        <w:tc>
          <w:tcPr>
            <w:tcW w:w="91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97,376,026</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55,486,361</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88,762 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(59,230)</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29,547 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85,443 </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114,990 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566" w:type="dxa"/>
        <w:jc w:val="left"/>
        <w:tblInd w:w="0" w:type="dxa"/>
        <w:tblLayout w:type="fixed"/>
        <w:tblCellMar>
          <w:top w:w="28" w:type="dxa"/>
          <w:left w:w="28" w:type="dxa"/>
          <w:bottom w:w="28" w:type="dxa"/>
          <w:right w:w="28" w:type="dxa"/>
        </w:tblCellMar>
      </w:tblPr>
      <w:tblGrid>
        <w:gridCol w:w="2429"/>
        <w:gridCol w:w="2138"/>
        <w:gridCol w:w="2153"/>
        <w:gridCol w:w="245"/>
        <w:gridCol w:w="837"/>
        <w:gridCol w:w="126"/>
        <w:gridCol w:w="126"/>
        <w:gridCol w:w="126"/>
        <w:gridCol w:w="126"/>
        <w:gridCol w:w="245"/>
        <w:gridCol w:w="837"/>
        <w:gridCol w:w="178"/>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lease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contingency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(recovery) for credit losses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lease termination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and expenditures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repayment of related party note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payment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beginning of period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end of period</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45,043 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84" w:type="dxa"/>
        <w:jc w:val="left"/>
        <w:tblInd w:w="0" w:type="dxa"/>
        <w:tblLayout w:type="fixed"/>
        <w:tblCellMar>
          <w:top w:w="28" w:type="dxa"/>
          <w:left w:w="28" w:type="dxa"/>
          <w:bottom w:w="28" w:type="dxa"/>
          <w:right w:w="28" w:type="dxa"/>
        </w:tblCellMar>
      </w:tblPr>
      <w:tblGrid>
        <w:gridCol w:w="2477"/>
        <w:gridCol w:w="2176"/>
        <w:gridCol w:w="2187"/>
        <w:gridCol w:w="211"/>
        <w:gridCol w:w="616"/>
        <w:gridCol w:w="109"/>
        <w:gridCol w:w="109"/>
        <w:gridCol w:w="109"/>
        <w:gridCol w:w="109"/>
        <w:gridCol w:w="211"/>
        <w:gridCol w:w="616"/>
        <w:gridCol w:w="154"/>
      </w:tblGrid>
      <w:tr>
        <w:trPr/>
        <w:tc>
          <w:tcPr>
            <w:tcW w:w="2477"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capitalized for software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lease liabilities and right-of-use assets due to lease modification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assets included in 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    Business and Organization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business-to-consumer and business-to-business suite of products afford cannabis retailers and brands of all sizes integrated tools to compliantly run their businesses and to reach, convert, and retain consumers.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The Company believes the size, loyalty and engagement of its user base and the frequency of consumption of cannabis by its base makes the Weedmaps marketplace highly valuable to its clients.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Weedmaps for Business, the Company’s SaaS offering, is a comprehensive set of eCommerce and compliance software solutions catered towards cannabis retailers, delivery services and brands that streamline front and back-end operations and help manage compliance needs. With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 also offers other add-on products for additional fees.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On the Closing Date, and in connection with the closing of the Business Combination (the “Closing”), Silver Spike was domesticated and continues as a Delaware corporation, changing its name to WM Technology,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Legacy WMH was reorganized into an Up-C structure, in which substantially all of the assets and business of Legacy WMH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GAAP and the rules and regulations of the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2024, filed with the SEC on March 13, 2025. The condensed consolidated financial statements of the Company include all adjustments of a normal recurring nature which, in the opinion of management, are necessary for a fair statement of the Company’s financial position as of September 30, 2025, and results of its operations and its cash flows for the interim periods presented. Certain prior period amounts have been reclassified to conform to the current period presentation. The results of operations for the three and nine months ended September 30, 2025 are not necessarily indicative of the results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expected for the entire year. There have been no significant changes in the Company’s accounting policies from those described in the Company’s audited consolidated financial statements and the related notes to those statements.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WM Technology, Inc. and WMH LLC, including their wholly and majority owned subsidiaries. In conformity with GAAP, all significant intercompany accounts and transactions have been eliminated.</w:t>
      </w:r>
    </w:p>
    <w:p>
      <w:pPr>
        <w:pStyle w:val="TextBody"/>
        <w:bidi w:val="0"/>
        <w:spacing w:lineRule="auto" w:line="288" w:before="60" w:after="283"/>
        <w:jc w:val="both"/>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and nine months ended September 30, 2025 and 2024.</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Significant estimates made by management include, among others, the allowance for credit losses, loss contingencies,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performance and stock-based compensation and the recognition and disclosure of contingent liabilities.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Risks and Uncertainties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operates in a relatively new industry where laws and regulations vary significantly by jurisdiction. Currently, forty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two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pStyle w:val="TextBody"/>
        <w:bidi w:val="0"/>
        <w:spacing w:lineRule="auto" w:line="288" w:before="120" w:after="283"/>
        <w:jc w:val="both"/>
        <w:rPr/>
      </w:pPr>
      <w:r>
        <w:rPr>
          <w:rFonts w:ascii="Times New Roman;serif" w:hAnsi="Times New Roman;serif"/>
          <w:b w:val="false"/>
          <w:color w:val="000000"/>
          <w:sz w:val="20"/>
        </w:rPr>
        <w:t>The geographic concentration of the Company’s clients makes the Company vulnerable to a downturn in the local markets. Historically, the Company’s business operations have been located primarily in the State of California. See Note 3, “</w:t>
      </w:r>
      <w:r>
        <w:rPr>
          <w:rFonts w:ascii="Times New Roman;serif" w:hAnsi="Times New Roman;serif"/>
          <w:b w:val="false"/>
          <w:color w:val="000000"/>
          <w:sz w:val="20"/>
          <w:shd w:fill="FFFFFF" w:val="clear"/>
        </w:rPr>
        <w:t>Revenue from Contracts with Customers</w:t>
      </w:r>
      <w:r>
        <w:rPr>
          <w:rFonts w:ascii="Times New Roman;serif" w:hAnsi="Times New Roman;serif"/>
          <w:b w:val="false"/>
          <w:color w:val="000000"/>
          <w:sz w:val="20"/>
        </w:rPr>
        <w:t>,” to these condensed consolidated financial statements for additional information.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20" w:after="283"/>
        <w:jc w:val="both"/>
        <w:rPr/>
      </w:pPr>
      <w:r>
        <w:rPr>
          <w:rFonts w:ascii="Times New Roman;serif" w:hAnsi="Times New Roman;serif"/>
          <w:b w:val="false"/>
          <w:color w:val="000000"/>
          <w:sz w:val="20"/>
        </w:rPr>
        <w:t>The Company follows the guidance in Accounting Standards Codification (“ASC”) 820,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its financial assets and liabilities that are re-measured and reported at fair value at each reporting period. See Note 6, “Fair Value Measurements” to these condensed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120" w:after="283"/>
        <w:jc w:val="both"/>
        <w:rPr/>
      </w:pPr>
      <w:r>
        <w:rPr>
          <w:rFonts w:ascii="Times New Roman;serif" w:hAnsi="Times New Roman;serif"/>
          <w:b w:val="false"/>
          <w:color w:val="000000"/>
          <w:sz w:val="20"/>
        </w:rPr>
        <w:t>A receivable is recorded when an unconditional right to invoice and receive payment exists. Accounts receivable represents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serif" w:hAnsi="Times New Roman;serif"/>
          <w:b w:val="false"/>
          <w:i/>
          <w:color w:val="000000"/>
          <w:sz w:val="20"/>
        </w:rPr>
        <w:t>Financial Instruments – Credit Losses</w:t>
      </w:r>
      <w:r>
        <w:rPr>
          <w:rFonts w:ascii="Times New Roman;serif" w:hAnsi="Times New Roman;serif"/>
          <w:b w:val="false"/>
          <w:color w:val="000000"/>
          <w:sz w:val="2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Account balances are written off against the allowance when it is determined that it is probable that the receivable will not be recovered. The Company had allowance for credit losses of $2.8 million and $1.2 million as of September 30, 2025 and December 31, 2024, respectively.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no customer accounted for more than 10% of the total gross accounts receivable outstanding.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allowance for credit losses:</w:t>
      </w:r>
    </w:p>
    <w:p>
      <w:pPr>
        <w:pStyle w:val="TextBody"/>
        <w:bidi w:val="0"/>
        <w:spacing w:before="0" w:after="0"/>
        <w:ind w:left="0" w:right="0" w:firstLine="540"/>
        <w:jc w:val="both"/>
        <w:rPr/>
      </w:pPr>
      <w:r>
        <w:rPr/>
      </w:r>
    </w:p>
    <w:tbl>
      <w:tblPr>
        <w:tblW w:w="8871" w:type="dxa"/>
        <w:jc w:val="left"/>
        <w:tblInd w:w="0" w:type="dxa"/>
        <w:tblLayout w:type="fixed"/>
        <w:tblCellMar>
          <w:top w:w="28" w:type="dxa"/>
          <w:left w:w="28" w:type="dxa"/>
          <w:bottom w:w="28" w:type="dxa"/>
          <w:right w:w="28" w:type="dxa"/>
        </w:tblCellMar>
      </w:tblPr>
      <w:tblGrid>
        <w:gridCol w:w="1113"/>
        <w:gridCol w:w="980"/>
        <w:gridCol w:w="982"/>
        <w:gridCol w:w="299"/>
        <w:gridCol w:w="874"/>
        <w:gridCol w:w="154"/>
        <w:gridCol w:w="154"/>
        <w:gridCol w:w="154"/>
        <w:gridCol w:w="154"/>
        <w:gridCol w:w="299"/>
        <w:gridCol w:w="874"/>
        <w:gridCol w:w="154"/>
        <w:gridCol w:w="109"/>
        <w:gridCol w:w="109"/>
        <w:gridCol w:w="109"/>
        <w:gridCol w:w="211"/>
        <w:gridCol w:w="616"/>
        <w:gridCol w:w="109"/>
        <w:gridCol w:w="109"/>
        <w:gridCol w:w="109"/>
        <w:gridCol w:w="109"/>
        <w:gridCol w:w="211"/>
        <w:gridCol w:w="616"/>
        <w:gridCol w:w="109"/>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beginning of period</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(recovery) for credit losses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end of period</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Investments in Equity Securities</w:t>
      </w:r>
    </w:p>
    <w:p>
      <w:pPr>
        <w:pStyle w:val="TextBody"/>
        <w:bidi w:val="0"/>
        <w:spacing w:lineRule="auto" w:line="288" w:before="120" w:after="283"/>
        <w:jc w:val="both"/>
        <w:rPr/>
      </w:pPr>
      <w:r>
        <w:rPr>
          <w:rFonts w:ascii="Times New Roman;serif" w:hAnsi="Times New Roman;serif"/>
          <w:b w:val="false"/>
          <w:color w:val="000000"/>
          <w:sz w:val="20"/>
        </w:rPr>
        <w:t>Investments in equity securities that do not have a readily determinable fair value and qualify for the measurement alternative for equity investments provided in ASC 321, “</w:t>
      </w:r>
      <w:r>
        <w:rPr>
          <w:rFonts w:ascii="Times New Roman;serif" w:hAnsi="Times New Roman;serif"/>
          <w:b w:val="false"/>
          <w:i/>
          <w:color w:val="000000"/>
          <w:sz w:val="20"/>
        </w:rPr>
        <w:t xml:space="preserve">Investments – Equity Securities,” </w:t>
      </w:r>
      <w:r>
        <w:rPr>
          <w:rFonts w:ascii="Times New Roman;serif" w:hAnsi="Times New Roman;serif"/>
          <w:b w:val="false"/>
          <w:color w:val="000000"/>
          <w:sz w:val="20"/>
        </w:rPr>
        <w:t>are accounted for at cost, less any impairment, plus or minus changes resulting from observable price changes in orderly transactions for an identical or similar investment of the same issuer. As of September 30, 2025 and December 31, 2024, the carrying value of the Company’s investments in equity securities without a readily determinable fair value were $0.0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performs a qualitative assessment at each reporting date to evaluate whether the investments in equity securities are impaired. When a qualitative assessment indicates that an investment is impaired, the investment is written down to its fair value and the impairment charge is included in asset impairment charges in the accompanying condensed consolidated statements of operations. No impairment to investments in equity securities were recorded for the three and nine months ended September 30, 2025 and 2024.</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are carried at cost, less accumulated depreciation, amortization and asset impairment charges, and consist of internally developed software, computer equipment, motor vehicle, furniture and fixtures and leasehold improvements. Depreciation is computed using the straight-line method over the estimated useful lives of the assets and generally over three years for computer equipment and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and amortization are removed from the accounts and any resulting gain or loss is reflected in the Company’s condensed consolidated statements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recognized. No impairments to property and equipment were recorded during the three and nine months ended September 30, 2025 and 2024.</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Capitalized Software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Capitalized website and internal-use software development costs are included in property and equipment in the accompanying consolidated balance sheets. The Company capitalizes certain costs related to the development and enhancement of the Weedmaps platform and SaaS solutions when (i) the preliminary development project stage is completed, (ii) 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Capitalization of these costs ceases once the project is substantially complete and the software is ready for its intended purpose.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pStyle w:val="TextBody"/>
        <w:bidi w:val="0"/>
        <w:spacing w:lineRule="auto" w:line="288" w:before="120" w:after="283"/>
        <w:jc w:val="both"/>
        <w:rPr/>
      </w:pPr>
      <w:r>
        <w:rPr>
          <w:rFonts w:ascii="Times New Roman;serif" w:hAnsi="Times New Roman;serif"/>
          <w:b w:val="false"/>
          <w:color w:val="000000"/>
          <w:sz w:val="20"/>
        </w:rPr>
        <w:t xml:space="preserve">As of September 30, 2025 and December 31, 2024, the Company has $23.9 million and $23.1 million in capitalized software costs, net, respectively which are recorded within property and equipment, net on the Company’s condensed consolidated balance sheets. For the three months ended September 30, 2025 and 2024, the Company amortized $2.9 million and $3.1 million, respectively. For the nine months ended September 30, 2025 and 2024, the Company amortized $9.1 million and $8.4 million, respectively. Amortization of internal-use software development costs is included in depreciation and amortization expense </w:t>
      </w:r>
      <w:r>
        <w:rPr>
          <w:rFonts w:ascii="Times New Roman;serif" w:hAnsi="Times New Roman;serif"/>
          <w:b w:val="false"/>
          <w:color w:val="000000"/>
          <w:sz w:val="20"/>
          <w:shd w:fill="FFFFFF" w:val="clear"/>
        </w:rPr>
        <w:t>in the accompanying condensed consolidated statements of operations.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Goodwill and Intangible Assets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Goodwill consists of the excess of the purchase price over the fair value of identifiable net assets of businesses acquired. Goodwill is reviewed for impairment each year using a qualitative or quantitative process that is performed at least annually as of December 31 or whenever events or circumstances indicate a likely reduction in the fair value of a reporting unit below its carrying amount such as changes in the business climate, poor indicators of operating performance or the sale or disposition of a significant portion of a reporting unit.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the fair value of the reporting unit is estimated using a discounted cash flow valuation which incorporates assumptions regarding long-term growth rates, revenue and earnings projections, estimation of cash flows, discount rates and other factors. Changes in these inputs could materially affect the results of the impairment review. If the carrying value of the reporting unit exceeds its fair value, an impairment loss equal to the difference will be recorded. No goodwill impairment charges were recorded for the three and nine months ended September 30, 2025 and 2024.</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See Note 7, “Goodwill and Intangible Assets,” to these condensed consolidated financial statements for additional information. No intangible assets impairment charges were recorded for the three and nine months ended September 30, 2025 and 2024.</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20"/>
        <w:jc w:val="both"/>
        <w:rPr/>
      </w:pPr>
      <w:r>
        <w:rPr>
          <w:rFonts w:ascii="Times New Roman;serif" w:hAnsi="Times New Roman;serif"/>
          <w:b w:val="false"/>
          <w:color w:val="000000"/>
          <w:sz w:val="20"/>
          <w:shd w:fill="FFFFFF" w:val="clear"/>
        </w:rPr>
        <w:t xml:space="preserve">The Company’s operating leases consist of office space located primarily in the United States. The Company does not have any leases classified as financing leases. </w:t>
      </w:r>
      <w:r>
        <w:rPr>
          <w:rFonts w:ascii="Times New Roman;serif" w:hAnsi="Times New Roman;serif"/>
          <w:b w:val="false"/>
          <w:color w:val="000000"/>
          <w:sz w:val="20"/>
        </w:rPr>
        <w:t xml:space="preserve">The Company classifies arrangements meeting the definition of a lease as operating or financing leases, and leases are recorded on the condensed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pStyle w:val="TextBody"/>
        <w:bidi w:val="0"/>
        <w:spacing w:lineRule="auto" w:line="288" w:before="120" w:after="283"/>
        <w:jc w:val="both"/>
        <w:rPr/>
      </w:pPr>
      <w:r>
        <w:rPr>
          <w:rFonts w:ascii="Times New Roman;serif" w:hAnsi="Times New Roman;serif"/>
          <w:b w:val="false"/>
          <w:color w:val="000000"/>
          <w:sz w:val="20"/>
        </w:rPr>
        <w:t>In calculating the right-of-use asset and lease liability, the Company elects to combine lease and non-lease components for all classes of assets. The Company excludes short-term leases having initial terms of 12 months or less as provided u</w:t>
      </w:r>
      <w:r>
        <w:rPr>
          <w:rFonts w:ascii="Times New Roman;serif" w:hAnsi="Times New Roman;serif"/>
          <w:b w:val="false"/>
          <w:color w:val="000000"/>
          <w:sz w:val="20"/>
          <w:shd w:fill="FFFFFF" w:val="clear"/>
        </w:rPr>
        <w:t>nder ASC 842, “</w:t>
      </w:r>
      <w:r>
        <w:rPr>
          <w:rFonts w:ascii="Times New Roman;serif" w:hAnsi="Times New Roman;serif"/>
          <w:b w:val="false"/>
          <w:i/>
          <w:color w:val="000000"/>
          <w:sz w:val="20"/>
          <w:shd w:fill="FFFFFF" w:val="clear"/>
        </w:rPr>
        <w:t>Leases,”</w:t>
      </w:r>
      <w:r>
        <w:rPr>
          <w:color w:val="000000"/>
        </w:rPr>
        <w:t xml:space="preserve"> </w:t>
      </w:r>
      <w:r>
        <w:rPr>
          <w:rFonts w:ascii="Times New Roman;serif" w:hAnsi="Times New Roman;serif"/>
          <w:b w:val="false"/>
          <w:color w:val="000000"/>
          <w:sz w:val="20"/>
        </w:rPr>
        <w:t>as an accounting policy election, and instead recognizes rent expense on a straight-line basis over the lease term.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 During the three and nine months ended September 30, 2025 and 2024, the Company recognized no impairment charge related to ROU assets.</w:t>
      </w:r>
    </w:p>
    <w:p>
      <w:pPr>
        <w:pStyle w:val="TextBody"/>
        <w:bidi w:val="0"/>
        <w:spacing w:lineRule="auto" w:line="288" w:before="120" w:after="283"/>
        <w:jc w:val="both"/>
        <w:rPr/>
      </w:pPr>
      <w:r>
        <w:rPr>
          <w:rFonts w:ascii="Times New Roman;serif" w:hAnsi="Times New Roman;serif"/>
          <w:b w:val="false"/>
          <w:color w:val="000000"/>
          <w:sz w:val="20"/>
          <w:shd w:fill="FFFFFF" w:val="clear"/>
        </w:rPr>
        <w:t>Net rent expense f</w:t>
      </w:r>
      <w:r>
        <w:rPr>
          <w:rFonts w:ascii="Times New Roman;serif" w:hAnsi="Times New Roman;serif"/>
          <w:b w:val="false"/>
          <w:color w:val="000000"/>
          <w:sz w:val="20"/>
        </w:rPr>
        <w:t xml:space="preserve">or the three months ended September 30, 2025 and 2024 was $1.5 million and $1.7 million, respectively. </w:t>
      </w:r>
      <w:r>
        <w:rPr>
          <w:rFonts w:ascii="Times New Roman;serif" w:hAnsi="Times New Roman;serif"/>
          <w:b w:val="false"/>
          <w:color w:val="000000"/>
          <w:sz w:val="20"/>
          <w:shd w:fill="FFFFFF" w:val="clear"/>
        </w:rPr>
        <w:t>Net rent expense f</w:t>
      </w:r>
      <w:r>
        <w:rPr>
          <w:rFonts w:ascii="Times New Roman;serif" w:hAnsi="Times New Roman;serif"/>
          <w:b w:val="false"/>
          <w:color w:val="000000"/>
          <w:sz w:val="20"/>
        </w:rPr>
        <w:t>or the nine months ended September 30, 2025 and 2024 was $4.7 million and $5.8 million, respectively. Rent expense is incl</w:t>
      </w:r>
      <w:r>
        <w:rPr>
          <w:rFonts w:ascii="Times New Roman;serif" w:hAnsi="Times New Roman;serif"/>
          <w:b w:val="false"/>
          <w:color w:val="000000"/>
          <w:sz w:val="20"/>
          <w:shd w:fill="FFFFFF" w:val="clear"/>
        </w:rPr>
        <w:t xml:space="preserve">uded in general and administrative expense in the accompanying condensed consolidated statements of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2024, the Company amended its lease for its corporate headquarters located in Irvine, California. The amendment extended the lease term by five years through February 2030 and reduced the leased square footage. The lease extension was accounted for as a lease modification, and the Company remeasured its lease liability and ROU asset using an incremental borrowing rate of 11.5% and recognized a non-cash lease liability of $3.3 million and the related non-cash ROU asset of $3.3 million. The lease classification remained as an operating lease.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in the second quarter of 2024, the Company paid $0.1 million to terminate a lease agreement for one of its offices. In conjunction with the early lease termination, the Company reported a gain of $0.1 million which is recognized as a reduction to the related lease expense. The Company also de-recognized a ROU asset of $0.2 million and a lease liability of $0.4 million on the condensed consolidated balance sheet related to early lease termination.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Sublease rental income is recognized as a reduction to the related lease expense on a straight-line basis over the sublease term. For the three months ended September 30, 2025 and 2024, the Company recorded rent income related to subleases of $0.0 million and $0.2 million, respectively. For the nine months ended September 30, 2025 and 2024, the Company recorded rent income related to subleases of $0.9 million and $1.3 million, respectively.</w:t>
      </w:r>
    </w:p>
    <w:p>
      <w:pPr>
        <w:pStyle w:val="TextBody"/>
        <w:bidi w:val="0"/>
        <w:spacing w:lineRule="auto" w:line="288" w:before="60" w:after="283"/>
        <w:jc w:val="both"/>
        <w:rPr>
          <w:rFonts w:ascii="Times New Roman;serif" w:hAnsi="Times New Roman;serif"/>
          <w:b/>
          <w:i/>
          <w:color w:val="000000"/>
          <w:sz w:val="20"/>
        </w:rPr>
      </w:pPr>
      <w:r>
        <w:rPr>
          <w:rFonts w:ascii="Times New Roman;serif" w:hAnsi="Times New Roman;serif"/>
          <w:b/>
          <w:i/>
          <w:color w:val="000000"/>
          <w:sz w:val="20"/>
        </w:rPr>
        <w:t xml:space="preserve">Warrant Liability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September 30, 2025,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purchasers or their permitted transferees, the Private Placement Warrants will cease to be Private Placement Warrants, and become Public Warrants and be redeemable by the Company and exercisable by such holders on the same basis as the other Public Warrants.</w:t>
      </w:r>
    </w:p>
    <w:p>
      <w:pPr>
        <w:pStyle w:val="TextBody"/>
        <w:bidi w:val="0"/>
        <w:spacing w:lineRule="auto" w:line="288" w:before="120" w:after="120"/>
        <w:jc w:val="both"/>
        <w:rPr/>
      </w:pPr>
      <w:r>
        <w:rPr>
          <w:rFonts w:ascii="Times New Roman;serif" w:hAnsi="Times New Roman;serif"/>
          <w:b w:val="false"/>
          <w:color w:val="000000"/>
          <w:sz w:val="20"/>
        </w:rPr>
        <w:t>The Company evaluated the Warrants under ASC 815-40</w:t>
      </w:r>
      <w:r>
        <w:rPr>
          <w:color w:val="000000"/>
        </w:rPr>
        <w:t xml:space="preserve"> </w:t>
      </w:r>
      <w:r>
        <w:rPr>
          <w:rFonts w:ascii="Times New Roman;serif" w:hAnsi="Times New Roman;serif"/>
          <w:b w:val="false"/>
          <w:i/>
          <w:color w:val="000000"/>
          <w:sz w:val="20"/>
        </w:rPr>
        <w:t>-</w:t>
      </w:r>
      <w:r>
        <w:rPr>
          <w:color w:val="000000"/>
        </w:rPr>
        <w:t xml:space="preserve"> </w:t>
      </w:r>
      <w:r>
        <w:rPr>
          <w:rFonts w:ascii="Times New Roman;serif" w:hAnsi="Times New Roman;serif"/>
          <w:b w:val="false"/>
          <w:i/>
          <w:color w:val="000000"/>
          <w:sz w:val="20"/>
        </w:rPr>
        <w:t>Derivatives and Hedging - Contracts in Entity’s Own Equity</w:t>
      </w:r>
      <w:r>
        <w:rPr>
          <w:rFonts w:ascii="Times New Roman;serif" w:hAnsi="Times New Roman;serif"/>
          <w:b w:val="false"/>
          <w:color w:val="000000"/>
          <w:sz w:val="20"/>
        </w:rPr>
        <w:t>, and concluded they do not meet the criteria to be classified in stockholders’ equity. Specifically, the exercise of the Warrants may be settled in cash upon the occurrence of a tender offer or exchange that involves 50% or more of the Company’s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operations at each reporting date. See Note 10, “Warrant Liability,” to these condensed consolidated financial statements for additional information.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the Company entered into the TRA with continuing members that provides for a payment to the continuing Class A Unit holders of 85% of the amount of tax benefits, if any, that the Company realizes, or is deemed to realize, as a result of redemptions or exchanges of Units (as defined below). In connection with such potential future tax benefits resulting from the Business Combination, and such subsequent redemptions and exchanges, the Company has established a deferred tax asset for the additional tax basis and a corresponding TRA liability of 85% of the expected benefit. The remaining 15% is recorded to additional paid-in capital.</w:t>
      </w:r>
    </w:p>
    <w:p>
      <w:pPr>
        <w:pStyle w:val="TextBody"/>
        <w:bidi w:val="0"/>
        <w:spacing w:lineRule="auto" w:line="288" w:before="120" w:after="120"/>
        <w:jc w:val="both"/>
        <w:rPr/>
      </w:pPr>
      <w:r>
        <w:rPr>
          <w:rFonts w:ascii="Times New Roman;serif" w:hAnsi="Times New Roman;serif"/>
          <w:b w:val="false"/>
          <w:color w:val="000000"/>
          <w:sz w:val="20"/>
        </w:rPr>
        <w:t xml:space="preserve">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(loss) on the condensed consolidated statements of operations. As of September 30, 2025 and December 31, 2024, the TRA liability was $2.5 million and $4.4 million, respectively. For the three and nine months ended September 30, 2025, the Company recognized an income of $1.6 million and $0.5 million, respectively, related to the remeasurement of the TRA liability. For the three and nine months ended September 30, 2024, the Company recognized a loss of $0.5 million and $1.5 million, respectively, related to the remeasurement of the TRA liability. See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below for information related to the Company’s allowance against its net deferred tax assets.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83"/>
        <w:jc w:val="both"/>
        <w:rPr/>
      </w:pPr>
      <w:r>
        <w:rPr>
          <w:rFonts w:ascii="Times New Roman;serif" w:hAnsi="Times New Roman;serif"/>
          <w:b w:val="false"/>
          <w:color w:val="000000"/>
          <w:sz w:val="20"/>
        </w:rPr>
        <w:t>The Company recognizes revenue when the fundamental criteria for revenue recognition are met. In accord</w:t>
      </w:r>
      <w:r>
        <w:rPr>
          <w:rFonts w:ascii="Times New Roman;serif" w:hAnsi="Times New Roman;serif"/>
          <w:b w:val="false"/>
          <w:color w:val="000000"/>
          <w:sz w:val="20"/>
          <w:shd w:fill="FFFFFF" w:val="clear"/>
        </w:rPr>
        <w:t xml:space="preserve">ance with ASC Topic 606, </w:t>
      </w:r>
      <w:r>
        <w:rPr>
          <w:color w:val="000000"/>
          <w:shd w:fill="FFFFFF" w:val="clear"/>
        </w:rPr>
        <w:t>“</w:t>
      </w:r>
      <w:r>
        <w:rPr>
          <w:rFonts w:ascii="Times New Roman;serif" w:hAnsi="Times New Roman;serif"/>
          <w:b w:val="false"/>
          <w:i/>
          <w:color w:val="000000"/>
          <w:sz w:val="20"/>
          <w:shd w:fill="FFFFFF" w:val="clear"/>
        </w:rPr>
        <w:t>Revenue from Contracts with Customers,</w:t>
      </w:r>
      <w:r>
        <w:rPr>
          <w:color w:val="000000"/>
          <w:shd w:fill="FFFFFF" w:val="clear"/>
        </w:rPr>
        <w:t xml:space="preserve">” </w:t>
      </w:r>
      <w:r>
        <w:rPr>
          <w:rFonts w:ascii="Times New Roman;serif" w:hAnsi="Times New Roman;serif"/>
          <w:b w:val="false"/>
          <w:color w:val="000000"/>
          <w:sz w:val="20"/>
          <w:shd w:fill="FFFFFF" w:val="clear"/>
        </w:rPr>
        <w:t>th</w:t>
      </w:r>
      <w:r>
        <w:rPr>
          <w:rFonts w:ascii="Times New Roman;serif" w:hAnsi="Times New Roman;serif"/>
          <w:b w:val="false"/>
          <w:color w:val="000000"/>
          <w:sz w:val="20"/>
        </w:rPr>
        <w:t>e Company recognizes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w:t>
      </w:r>
      <w:r>
        <w:rPr>
          <w:rFonts w:ascii="Times New Roman;serif" w:hAnsi="Times New Roman;serif"/>
          <w:b w:val="false"/>
          <w:color w:val="000000"/>
          <w:sz w:val="20"/>
          <w:shd w:fill="FFFFFF" w:val="clear"/>
        </w:rPr>
        <w:t xml:space="preserve">. The Company’s contract with customers do not contain general rights of return. However, adjustments to the standard pricing may occur for selected customers on a case-by-case basis. Revenue reflects the transaction price, including any adjustments, that the Company expects to receive for such goods and services. Transaction price adjustments are primarily related to the Company’s Together for Equity Access and Legislation program, through which the Company provides free software, advertising, educational materials and training programs to applicants or licenses under social equity licensing programs. The Company provides these transaction price adjustments to license holders who were awarded special status by the state based on owner qualifications. Special status is typically given in new markets to add more diversity and inclusion in the cannabis space. A license’s social equity status is validated by the Company on the applicable state’s website. </w:t>
      </w:r>
      <w:r>
        <w:rPr>
          <w:rFonts w:ascii="Times New Roman;serif" w:hAnsi="Times New Roman;serif"/>
          <w:b w:val="false"/>
          <w:color w:val="000000"/>
          <w:sz w:val="20"/>
        </w:rPr>
        <w:t>For the three months ended September 30, 2025 and 2024, total</w:t>
      </w:r>
      <w:r>
        <w:rPr>
          <w:color w:val="000000"/>
          <w:shd w:fill="FFFFFF" w:val="clear"/>
        </w:rPr>
        <w:t xml:space="preserve"> </w:t>
      </w:r>
      <w:r>
        <w:rPr>
          <w:rFonts w:ascii="Times New Roman;serif" w:hAnsi="Times New Roman;serif"/>
          <w:b w:val="false"/>
          <w:color w:val="000000"/>
          <w:sz w:val="20"/>
          <w:shd w:fill="FFFFFF" w:val="clear"/>
        </w:rPr>
        <w:t>transaction price adjustments</w:t>
      </w:r>
      <w:r>
        <w:rPr>
          <w:color w:val="000000"/>
        </w:rPr>
        <w:t xml:space="preserve"> </w:t>
      </w:r>
      <w:r>
        <w:rPr>
          <w:rFonts w:ascii="Times New Roman;serif" w:hAnsi="Times New Roman;serif"/>
          <w:b w:val="false"/>
          <w:color w:val="000000"/>
          <w:sz w:val="20"/>
        </w:rPr>
        <w:t>issued was $2.2 million and $1.4 million, respectively. For the nine months ended September 30, 2025 and 2024, total transaction price adjustments issued was $6.0 million and $4.0 million, respectively. For clients that pay in advance for listing and other services, the Company records deferred revenue and recognizes revenue over the applicable subscription term.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revenues are derived primarily from monthly subscriptions to Weedmaps for Business, featured and deal listings and other WM Ad solutions. The Company’s Weedmaps for Business subscriptions generally have one-month terms that automatically renew unless notice of cancellation is provided in advance. Featured and deal listings and other WM 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solutions are offered as add-on products to the Weedmaps for Business subscriptions. Featured and deal listings provide customers with premium placement ad solutions and discount and promotion pricing tools. Other WM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pStyle w:val="TextBody"/>
        <w:bidi w:val="0"/>
        <w:spacing w:lineRule="auto" w:line="288" w:before="120" w:after="120"/>
        <w:jc w:val="both"/>
        <w:rPr/>
      </w:pPr>
      <w:r>
        <w:rPr>
          <w:rFonts w:ascii="Times New Roman;serif" w:hAnsi="Times New Roman;serif"/>
          <w:b w:val="false"/>
          <w:color w:val="000000"/>
          <w:sz w:val="20"/>
          <w:shd w:fill="FFFFFF" w:val="clear"/>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w:t>
      </w:r>
      <w:r>
        <w:rPr>
          <w:rFonts w:ascii="Times New Roman;serif" w:hAnsi="Times New Roman;serif"/>
          <w:b w:val="false"/>
          <w:color w:val="000000"/>
          <w:sz w:val="20"/>
        </w:rPr>
        <w:t>e Note 3, “Revenue from Contracts with Customers,” to these condensed consolidated financial statements for additional information.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Cost of Revenues (Exclusive of Depreciation and Amortization)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cost of revenue primarily consists of web hosting, internet service costs, credit card processing costs and other third party services.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Advertising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expenses the cost of advertising in the period incurred. Advertising expense totaled $3.4 million and $2.0 million for the three months ended September 30, 2025 and 2024, respectively, and $7.0 million and $8.3 million for the nine months ended September 30, 2025 and 2024, respectively, and are included in sales and marketing expense in the accompanying condensed consolidated statements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measures fair value of employee stock-based compensation awards on the date of grant and allocates the related expense over the requisite service period. The fair value of restricted stock units and performance-based restricted stock units without market conditions is equal to the market price of the Company’s Class A common stock on the date of grant. The fair value of performance-based restricted stock units with market conditions is measured using a Monte Carlo simulation.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of the Company that impacts the vesting of the award, the Company records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When awards include a performance condition of the markets, the vesting of the award is dependent upon the attainment of a target stock price. Forfeitures of such stock-based awards are recognized as they occur and the Company records compensation cost over the derived service period. See Note 12, “Stock-based Compensation,” to these condensed consolidated financial statements for additional information.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Employee Benefit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401(k) saving plan is a tax-qualified deferred compensation arrangement under Section 401(k) of the Internal Revenue Code. Under the Company’s 401(k) plan, participating U.S. employees may contribute a portion of their eligible earnings, subject to applicable U.S. Internal Revenue Service and plan limits. The Company matches up to 3.5% of the employee’s eligible compensation, vested upon two years of service. For the three months ended September 30, 2025 and 2024, the Company expensed $0.5 million and $0.4 million, respectively, and for the nine months ended September 30, 2025 and 2024, the Company expensed $1.7 million and $1.4 million, respectively, related to employer contributions for the Company’s 401(k) saving plan.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primarily of change in fair value of warrant liability, TRA liability remeasurement, interest income and other tax related expenses.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uses the asset and liability method of accounting for income taxes under ASC 740 - Income Taxes. Under the guidance, deferred tax assets and liabilities are recognized for the future tax consequences of (i) 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assesses whether it is “more-likely-than-not” that it will realize its deferred tax assets.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 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President Trump signed into law legislation formally titled “An Act to Provide for Reconciliation Pursuant to Title II of H. Con. Res. 14”), commonly referred to as the One Big Beautiful Bill Act (“OBBBA”). The OBBBA includes significant tax law changes, primarily extending or modifying various provisions originally enacted under the 2017 Tax Cuts and Jobs Act.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OBBBA includes business tax provisions that are relevant to the Company such as the restoration of immediate expensing of domestic research and experimental expenditures incurred in tax years beginning after 2024, accelerated deduction of certain capitalized domestic research and experimental expenditures incurred in prior tax years and the permanent reinstatement of 100% bonus depreciation for qualified property placed in service after January 19, 2025. As result of the OBBBA, the Company benefits from accelerating deductions of previously capitalized research and development costs such that it does not have any significant income taxes. The Company has recognized the effects of the OBBBA in the third quarter of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and for the year ending December 31, 2024, the Company conducted similar analyses, and determined that a full valuation allowance was still required. As of September 30, 2025 and December 31, 2024, the TRA liability was $2.5 million and $4.4 million, respectively, with the reduction in liability attributed to tax impacts of the OBBBA on the TRA liability for 2025.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income taxed to holders of non-controlling interest, changes in flow-through income not subject to tax, the effect of state income tax, valuation allowances and tax law developments.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WMH LLC will generally be required from time to time to make pro rata distributions in cash to the Company and the other holders of WMH Units at certain assumed tax rates in amounts that are intended to be sufficient to cover the taxes on the Company’s and the other WMH equity holders’ respective allocable shares of the taxable income of WMH LLC. As a result of the OBBBA, the Company does not expect WMH LLC to have significant net taxable income for the year ending December 31, 2025 and as such, WMH, LLC is not expected to make such pro rata distributions in 2025 to the Company and the other holders of WMH Units. Previously recorded tax distributions related to the 2025 tax year and prior to the OBBBA’s effective date were reversed in the third quarter of 2025. The amounts that have been paid to the holders of WMH Units were re-characterized as advanced tax distributions and, for financial reporting purposes were recorded to other assets in the condensed consolidated balance sheet, available to offset future tax distributions.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and 2024, the Company recorded less than $0.1 million in income tax provisions due to the impact of the full valuation allowance on its net deferred assets. The effective tax rates differ from the federal statutory rate of 21% primarily due to the impact of valuation allowances, warrant valuations, non-controlling interests represented by the portion of the flow-through income not subject to tax, permanent stock-based compensation and state taxes.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Earnings (Loss) Per Share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Basic income (loss) per share is computed by dividing net income (loss) attributable to WM Technology, Inc. by the weighted-average number of shares of Class A Common Stock outstanding during the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13, “Earnings Per Share,” for additional information on dilutive securities.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September 30, 2025, the Company had cash balances that exceeded the deposit insurance limit with four financial institutions. The Company believes that the risk of loss is not significant and has not experienced any losses in such accounts.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November 2023, the Financial Accounting Standards Board (“FASB”) issued Accounting Standards Update (“ASU”) 2023-07, “Segment Reporting (Topic 280): Improvements to Reportable Segment Disclosure”, which is intended to improve reportable segment disclosure requirements, primarily through 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Segment Reporting, including the significant segment expense disclosures. This ASU is effective for fiscal years beginning after December 15, 2023 and interim periods within fiscal years beginning after December 15, 2024. The Company adopted this ASU as of December 31, 2024. See Note 4, “Segment Reporting,” for additional reportable segment disclosure.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also reviewed other accounting pronouncements that became effective for fiscal year 2025 and determined that either they were not applicable, or they did not have a material impact on the condensed consolidated financial statements.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120" w:after="283"/>
        <w:jc w:val="both"/>
        <w:rPr/>
      </w:pPr>
      <w:r>
        <w:rPr>
          <w:rFonts w:ascii="Times New Roman;serif" w:hAnsi="Times New Roman;serif"/>
          <w:b w:val="false"/>
          <w:color w:val="000000"/>
          <w:sz w:val="20"/>
        </w:rPr>
        <w:t xml:space="preserve">In December 2023, the FASB issued ASU 2023-09, </w:t>
      </w:r>
      <w:r>
        <w:rPr>
          <w:color w:val="000000"/>
        </w:rPr>
        <w:t>“</w:t>
      </w:r>
      <w:r>
        <w:rPr>
          <w:rFonts w:ascii="Times New Roman;serif" w:hAnsi="Times New Roman;serif"/>
          <w:b w:val="false"/>
          <w:i/>
          <w:color w:val="000000"/>
          <w:sz w:val="20"/>
        </w:rPr>
        <w:t>Income Taxes - Improvements to Income Tax Disclosures”</w:t>
      </w:r>
      <w:r>
        <w:rPr>
          <w:color w:val="000000"/>
        </w:rPr>
        <w:t xml:space="preserve"> </w:t>
      </w:r>
      <w:r>
        <w:rPr>
          <w:rFonts w:ascii="Times New Roman;serif" w:hAnsi="Times New Roman;serif"/>
          <w:b w:val="false"/>
          <w:color w:val="000000"/>
          <w:sz w:val="20"/>
        </w:rPr>
        <w:t>requiring enhancements and further transparency to certain income tax disclosures, most notably the tax rate reconciliation and income taxes paid. This ASU is effective for annual reporting periods beginning after December 15, 2024 on a prospective basis and retrospective application is permitted. The Company is currently evaluating the impact of the adoption of this standard.</w:t>
      </w:r>
    </w:p>
    <w:p>
      <w:pPr>
        <w:pStyle w:val="TextBody"/>
        <w:bidi w:val="0"/>
        <w:spacing w:lineRule="auto" w:line="288" w:before="120" w:after="283"/>
        <w:jc w:val="both"/>
        <w:rPr/>
      </w:pPr>
      <w:r>
        <w:rPr>
          <w:rFonts w:ascii="Times New Roman;serif" w:hAnsi="Times New Roman;serif"/>
          <w:b w:val="false"/>
          <w:color w:val="000000"/>
          <w:sz w:val="20"/>
        </w:rPr>
        <w:t xml:space="preserve">In November 2024, the FASB issued ASU 2024-03, </w:t>
      </w:r>
      <w:r>
        <w:rPr>
          <w:color w:val="000000"/>
        </w:rPr>
        <w:t>“</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requiring additional disaggregated disclosures in the notes to financial statements for certain categories of expenses that are included on the face of the statement of income. This ASU is effective for annual reporting periods beginning after December 15, 2026 and interim reporting periods beginning after December 15, 2027. The Company is currently evaluating the impact of the adoption of this standard.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pPr>
      <w:r>
        <w:rPr>
          <w:rFonts w:ascii="Times New Roman;serif" w:hAnsi="Times New Roman;serif"/>
          <w:b w:val="false"/>
          <w:color w:val="000000"/>
          <w:sz w:val="20"/>
        </w:rPr>
        <w:t xml:space="preserve">In September 2025, the FASB issued ASU 2025-06, </w:t>
      </w:r>
      <w:r>
        <w:rPr>
          <w:color w:val="000000"/>
        </w:rPr>
        <w:t>“</w:t>
      </w:r>
      <w:r>
        <w:rPr>
          <w:rFonts w:ascii="Times New Roman;serif" w:hAnsi="Times New Roman;serif"/>
          <w:b w:val="false"/>
          <w:i/>
          <w:color w:val="000000"/>
          <w:sz w:val="20"/>
        </w:rPr>
        <w:t>Intangibles - Goodwill and Other -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which amends the guidance in ASC 350-40, Intangibles-Goodwill and Other-Internal-Use Software. The amendments modernize the recognition and disclosure framework for internal-use software costs, removing the previous “development stage” model and introducing a more judgment-based approach. This ASU is effective for annual reporting periods beginning after December 15, 2027, and interim reporting period within those annual reporting periods. The Company is currently evaluating the impact of the adoption of this standard.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also reviewed other recently issued accounting pronouncements to be adopted in future periods and determined that they are not expected to have a material impact on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3.    Revenue from Contracts with Customers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sells a monthly subscription offering to retailer and brand clients as well as upsell and add-on offerings to licensed clients. The Company’s current Weedmaps for Business monthly subscription package includes: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offers other add-on products for additional fees, including: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WM Ads: Ad solutions on the Weedmaps marketplace designed for clients to amplify their businesses and reach more highly engaged cannabis consumers throughout their buying journey including: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Featured Listings: Premium placement ad solutions on high visibility locations on the Weedmaps marketplace (desktop and mobile) to amplify the Company’s clients’ businesses and maximize clients’ listings and deal presence.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WM Deals: Discount and promotion pricing tools that let clients strategically reach prospective price-conscious cannabis customers with deals or discounts to drive conversion. In some jurisdictions, it is required by applicable law to showcase discounts.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Other ads solutions: Includes banner ads and promotion tiles on the Company’s marketplace as well as banner ads that can be tied to keyword searches. These products provide clients with targeted ad solutions in highly visible slots across the Company’s digital surfaces.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WM Dispatch: Compliant, automated and optimized logistics and fulfillment last-mile delivery software (including driver apps) that helps clients manage their delivery fleets. This product streamlines the delivery experience from in-store to front-door.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disaggregated revenues information (in thousands):</w:t>
      </w:r>
    </w:p>
    <w:tbl>
      <w:tblPr>
        <w:tblW w:w="10205" w:type="dxa"/>
        <w:jc w:val="left"/>
        <w:tblInd w:w="0" w:type="dxa"/>
        <w:tblLayout w:type="fixed"/>
        <w:tblCellMar>
          <w:top w:w="28" w:type="dxa"/>
          <w:left w:w="28" w:type="dxa"/>
          <w:bottom w:w="28" w:type="dxa"/>
          <w:right w:w="28" w:type="dxa"/>
        </w:tblCellMar>
      </w:tblPr>
      <w:tblGrid>
        <w:gridCol w:w="1379"/>
        <w:gridCol w:w="1208"/>
        <w:gridCol w:w="1223"/>
        <w:gridCol w:w="267"/>
        <w:gridCol w:w="915"/>
        <w:gridCol w:w="138"/>
        <w:gridCol w:w="138"/>
        <w:gridCol w:w="138"/>
        <w:gridCol w:w="138"/>
        <w:gridCol w:w="267"/>
        <w:gridCol w:w="915"/>
        <w:gridCol w:w="138"/>
        <w:gridCol w:w="109"/>
        <w:gridCol w:w="109"/>
        <w:gridCol w:w="109"/>
        <w:gridCol w:w="238"/>
        <w:gridCol w:w="933"/>
        <w:gridCol w:w="122"/>
        <w:gridCol w:w="122"/>
        <w:gridCol w:w="122"/>
        <w:gridCol w:w="122"/>
        <w:gridCol w:w="238"/>
        <w:gridCol w:w="933"/>
        <w:gridCol w:w="184"/>
      </w:tblGrid>
      <w:tr>
        <w:trPr/>
        <w:tc>
          <w:tcPr>
            <w:tcW w:w="1379"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1721" w:type="dxa"/>
            <w:gridSpan w:val="6"/>
            <w:tcBorders/>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Weedmaps for Business and other SaaS solutions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Featured and deal listings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79,830 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85,814 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119,894 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126,099 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 solutions</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revenues</w:t>
            </w:r>
            <w:r>
              <w:rPr>
                <w:rFonts w:ascii="Times New Roman;serif" w:hAnsi="Times New Roman;serif"/>
                <w:b w:val="false"/>
                <w:color w:val="000000"/>
                <w:sz w:val="13"/>
              </w:rPr>
              <w:t>1</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131,635 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136,844 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60" w:after="283"/>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Revenues include transaction price adjustments of $2.2 million and $1.4 million, respectively, for the three months ended September 30, 2025 and 2024 and $6.0 million and $4.0 million, respectively, for the nine months ended September 30, 2025 and 2024.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Deferred revenue primarily consists of billings or payments received in advance of revenue recognition from subscription offerings, as described above, and is recognized as the revenue recognition criteria are met. Deferred revenue balance as of September 30, 2025 and December 31, 2024 were $5.1 million and $5.4 million, respectively, and the balance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pStyle w:val="TextBody"/>
        <w:bidi w:val="0"/>
        <w:spacing w:lineRule="auto" w:line="288" w:before="120" w:after="120"/>
        <w:jc w:val="both"/>
        <w:rPr/>
      </w:pPr>
      <w:r>
        <w:rPr>
          <w:rFonts w:ascii="Times New Roman;serif" w:hAnsi="Times New Roman;serif"/>
          <w:b w:val="false"/>
          <w:color w:val="000000"/>
          <w:sz w:val="20"/>
        </w:rPr>
        <w:t xml:space="preserve">Substantially all of the Company’s revenue has been generated in the United States for the three and nine months ended September 30, 2025 and 2024. For the </w:t>
      </w:r>
      <w:r>
        <w:rPr>
          <w:rFonts w:ascii="Times New Roman;serif" w:hAnsi="Times New Roman;serif"/>
          <w:b w:val="false"/>
          <w:color w:val="000000"/>
          <w:sz w:val="20"/>
          <w:shd w:fill="FFFFFF" w:val="clear"/>
        </w:rPr>
        <w:t xml:space="preserve">three and nine months ended September 30, 2025, </w:t>
      </w:r>
      <w:r>
        <w:rPr>
          <w:rFonts w:ascii="Times New Roman;serif" w:hAnsi="Times New Roman;serif"/>
          <w:b w:val="false"/>
          <w:color w:val="000000"/>
          <w:sz w:val="20"/>
        </w:rPr>
        <w:t xml:space="preserve">approximately 56% of the Company’s revenues originated in California. For the </w:t>
      </w:r>
      <w:r>
        <w:rPr>
          <w:rFonts w:ascii="Times New Roman;serif" w:hAnsi="Times New Roman;serif"/>
          <w:b w:val="false"/>
          <w:color w:val="000000"/>
          <w:sz w:val="20"/>
          <w:shd w:fill="FFFFFF" w:val="clear"/>
        </w:rPr>
        <w:t xml:space="preserve">three and nine months ended </w:t>
      </w:r>
      <w:r>
        <w:rPr>
          <w:rFonts w:ascii="Times New Roman;serif" w:hAnsi="Times New Roman;serif"/>
          <w:b w:val="false"/>
          <w:color w:val="000000"/>
          <w:sz w:val="20"/>
        </w:rPr>
        <w:t>September 30, 2024,</w:t>
      </w:r>
      <w:r>
        <w:rPr>
          <w:color w:val="000000"/>
          <w:shd w:fill="FFFFFF" w:val="clear"/>
        </w:rPr>
        <w:t xml:space="preserve"> </w:t>
      </w:r>
      <w:r>
        <w:rPr>
          <w:rFonts w:ascii="Times New Roman;serif" w:hAnsi="Times New Roman;serif"/>
          <w:b w:val="false"/>
          <w:color w:val="000000"/>
          <w:sz w:val="20"/>
        </w:rPr>
        <w:t xml:space="preserve">approximately 52% of the Company’s revenues originated in California.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4.    Segment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considers its product offerings as similar, in close proximity, and have aggregated them into one reportable segment, which constitutes consolidated results. Revenue from customers is derived principally from monthly subscription packages and other add-on products. The Company’s chief operating decision maker (the “CODM”) is the Chief Executive Officer. The Company’s CODM reviews financial information on a consolidated basis for purposes of allocating resources and assessing financial performance, as well as for making strategic operational decisions and managing the organization. The accounting policies for the segment are the same as those described in Note 2, “Summary of Significant Accounting Policies.”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the balance sheet as total consolidated assets. The majority of the Company’s revenue and total assets are within the United States. The CODM evaluates company-wide performance based on multiple performance measures (both GAAP and Non-GAAP measures), including, but not limited net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table below provides the calculation of net income, which is the performance measure that is most consistent with GAAP, and the significant operating expenses included in this performance measure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859" w:type="dxa"/>
        <w:jc w:val="left"/>
        <w:tblInd w:w="0" w:type="dxa"/>
        <w:tblLayout w:type="fixed"/>
        <w:tblCellMar>
          <w:top w:w="28" w:type="dxa"/>
          <w:left w:w="28" w:type="dxa"/>
          <w:bottom w:w="28" w:type="dxa"/>
          <w:right w:w="28" w:type="dxa"/>
        </w:tblCellMar>
      </w:tblPr>
      <w:tblGrid>
        <w:gridCol w:w="1357"/>
        <w:gridCol w:w="1193"/>
        <w:gridCol w:w="1199"/>
        <w:gridCol w:w="273"/>
        <w:gridCol w:w="934"/>
        <w:gridCol w:w="141"/>
        <w:gridCol w:w="141"/>
        <w:gridCol w:w="141"/>
        <w:gridCol w:w="141"/>
        <w:gridCol w:w="273"/>
        <w:gridCol w:w="934"/>
        <w:gridCol w:w="141"/>
        <w:gridCol w:w="109"/>
        <w:gridCol w:w="109"/>
        <w:gridCol w:w="109"/>
        <w:gridCol w:w="211"/>
        <w:gridCol w:w="826"/>
        <w:gridCol w:w="109"/>
        <w:gridCol w:w="109"/>
        <w:gridCol w:w="109"/>
        <w:gridCol w:w="109"/>
        <w:gridCol w:w="211"/>
        <w:gridCol w:w="826"/>
        <w:gridCol w:w="154"/>
      </w:tblGrid>
      <w:tr>
        <w:trPr/>
        <w:tc>
          <w:tcPr>
            <w:tcW w:w="135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(add):</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non-operating expense (income), net</w:t>
            </w:r>
            <w:r>
              <w:rPr>
                <w:rFonts w:ascii="Times New Roman;serif" w:hAnsi="Times New Roman;serif"/>
                <w:b w:val="false"/>
                <w:color w:val="000000"/>
                <w:sz w:val="13"/>
              </w:rPr>
              <w:t>(1)</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income</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Includes change in fair value of warrant liability, change in the TRA liability and other non-operating income and expense.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no reconciling items or adjustments between segment revenues, net income, total assets and consolidated revenues, net income, and total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5.    Commitments and Contingencies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Litigation</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On October 17, 2024, a putative shareholder class action complaint, captioned </w:t>
      </w:r>
      <w:r>
        <w:rPr>
          <w:rFonts w:ascii="Times New Roman;serif" w:hAnsi="Times New Roman;serif"/>
          <w:b w:val="false"/>
          <w:i/>
          <w:color w:val="000000"/>
          <w:sz w:val="20"/>
          <w:shd w:fill="FFFFFF" w:val="clear"/>
        </w:rPr>
        <w:t>Seret Ishak v. WM Technology, Inc. et al</w:t>
      </w:r>
      <w:r>
        <w:rPr>
          <w:rFonts w:ascii="Times New Roman;serif" w:hAnsi="Times New Roman;serif"/>
          <w:b w:val="false"/>
          <w:color w:val="000000"/>
          <w:sz w:val="20"/>
          <w:shd w:fill="FFFFFF" w:val="clear"/>
        </w:rPr>
        <w:t>., Case No. 2:24-cv-08959 (the “Securities Class Action”), was filed in the U.S. District Court for the Central District of California, naming the Company and certain former and current officers and/or directors of the Company and Silver Spike as defendants. The lawsuit alleges that the Company made material misrepresentations and/or omissions of material fact relating to historical public reporting of MAUs in violation of Sections 10(b) and 20(a) of the Exchange Act and Rule 10b-5 promulgated thereunder. The putative class action is brought on behalf of persons or entities who purchased or otherwise acquired the Company’s securities between May 25, 2021, and September 24, 2024, inclusive, and seeks unspecified monetary damages on behalf of the putative class and an award of costs and expenses, including attorneys’ fees. On May 12, 2025, the plaintiffs filed an amended class action complaint. On July 11, 2025, the Company moved to dismiss the plaintiffs’ amended class action complaint. The motion to dismiss was fully briefed as of October 9, 2025, and, on October 10, 2025, the court issued an order specifying that the matter stands submitted and will be decided without oral argument. At this early stage of the proceedings, the Company is unable to make any prediction regarding the outcome of the litigation.</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On November 8, 2024, a shareholder derivative action, captioned </w:t>
      </w:r>
      <w:r>
        <w:rPr>
          <w:rFonts w:ascii="Times New Roman;serif" w:hAnsi="Times New Roman;serif"/>
          <w:b w:val="false"/>
          <w:i/>
          <w:color w:val="000000"/>
          <w:sz w:val="20"/>
          <w:shd w:fill="FFFFFF" w:val="clear"/>
        </w:rPr>
        <w:t>DeGennaro v. Francis, et. al</w:t>
      </w:r>
      <w:r>
        <w:rPr>
          <w:rFonts w:ascii="Times New Roman;serif" w:hAnsi="Times New Roman;serif"/>
          <w:b w:val="false"/>
          <w:color w:val="000000"/>
          <w:sz w:val="20"/>
          <w:shd w:fill="FFFFFF" w:val="clear"/>
        </w:rPr>
        <w:t>, Case No. 8:24-cv-02454 (the “DeGennaro Action”), was filed in the U.S. District Court for the Central District of California against certain members of the Company’s board of directors and certain former and current officers. The plaintiff purports to bring the action derivatively on behalf of the Company, and the Company is a nominal defendant in the action. The derivative complaint alleges, among other things, that the individual defendants authorized or permitted materially false statements and/or material omissions of fact relating to historical public reporting of MAUs. The derivative complaint asserts claims for violations of Section 10(b) of the Exchange Act as well as claims for breach of fiduciary duty, aiding and abetting breach of fiduciary duty, unjust enrichment, and waste of corporate assets. The derivative complaint seeks unspecified damages on behalf of the Company, disgorgement or restitution, corporate governance reforms, declaratory relief, and an award of costs and expenses to the derivative plaintiff, including attorneys’ fees.</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Further, on November 18, 2024, a shareholder derivative action, captioned </w:t>
      </w:r>
      <w:r>
        <w:rPr>
          <w:rFonts w:ascii="Times New Roman;serif" w:hAnsi="Times New Roman;serif"/>
          <w:b w:val="false"/>
          <w:i/>
          <w:color w:val="000000"/>
          <w:sz w:val="20"/>
          <w:shd w:fill="FFFFFF" w:val="clear"/>
        </w:rPr>
        <w:t>Pearson v. Francis, et. al</w:t>
      </w:r>
      <w:r>
        <w:rPr>
          <w:rFonts w:ascii="Times New Roman;serif" w:hAnsi="Times New Roman;serif"/>
          <w:b w:val="false"/>
          <w:color w:val="000000"/>
          <w:sz w:val="20"/>
          <w:shd w:fill="FFFFFF" w:val="clear"/>
        </w:rPr>
        <w:t xml:space="preserve">, Case No. 8:24-cv-02525 (the “Pearson Action”), was filed in the U.S. District Court for the Central District of California against certain former and current members of the Company’s board of directors and certain former and current officers. The derivative complaint alleges, among other things, that the individual defendants authorized or permitted materially false statements and/or material omissions of fact relating to historical public reporting of MAUs and corporate governance matters. The derivative complaint asserts claims for violations of Section 14(a) of the Exchange Act and Rule 14a-9 promulgated thereunder, as well as claims for breach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of fiduciary duty, unjust enrichment, abuse of control, gross mismanagement, waste of corporate assets, and contribution under Sections 10(b) and 21D of the Exchange Act. The derivative complaint seeks unspecified damages on behalf of the Company, restitution, corporate governance reforms, declaratory relief, and an award of costs and expenses to the derivative plaintiff, including attorneys’ fees. On December 10, 2024, the U.S. District Court of the Central District of California issued an order consolidating the DeGennaro Action and the Pearson Action. On October 3, 2025, the court granted the parties’ joint stipulation to stay the consolidated action until resolution of the motion to dismiss the putative shareholder class action discussed above. At this early stage of the proceedings, the Company is unable to make any prediction regarding the outcome of the litigation.</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SEC Matter</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previously disclosed, in the second quarter of 2022, the Company’s board of directors received an internal complaint regarding the calculation, definition and reporting of the Company’s monthly active users (“MAUs”) metric. In response, the Company’s board of directors formed a special committee of independent directors to conduct an internal investigation with the assistance of outside counsel. As a result of the findings of that internal investigation, the Company provided certain additional information regarding the growth and nature of the Company’s previously-reported MAUs in the Company’s Quarterly Report on Form 10-Q for the quarter ended June 30, 2022 filed with the SEC on August 9, 2022. This investigation found no impact on the Company’s financial results under GAAP or the reporting or disclosure of any currently disclosed non-GAAP financial metric. As also previously reported, in the third quarter of 2022, the Company determined not to report MAUs going forward. In August 2022, the Company’s board of directors determined to voluntarily report the internal complaint and subsequent internal investigation to the SEC, following which the SEC’s Division of Enforcement commenced an investigation. </w:t>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also previously reported in the Current Report on Form 8-K filed on July 25, 2024, on July 22, 2024, the Company reached an agreement in principle with the SEC staff to resolve the SEC’s investigation with respect to the Company. Under the terms of the settlement, the Company consented, without admitting or denying the SEC’s findings, to the entry of an administrative cease-and-desist order finding violations of Sections 17(a)(2) and (3) of the Securities Act of 1933, as amended, Sections 13(a) and 14(a) of the Securities Exchange Act of 1934, as amended, and Rules 12b-20, 13a-1, 13a-11, 13a-13, and 14a-9 thereunder, and pay a civil money penalty of $1.5 million. The settlement was approved by the SEC, and the administrative cease-and-desist order was entered in September 2024. The Company issued payment to the SEC, and it was received by the SEC, in October 2024. Accordingly, the SEC enforcement matter is concluded with respect to the Company.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Purchase Obligations</w:t>
      </w:r>
    </w:p>
    <w:p>
      <w:pPr>
        <w:pStyle w:val="TextBody"/>
        <w:bidi w:val="0"/>
        <w:spacing w:lineRule="auto" w:line="288" w:before="120" w:after="60"/>
        <w:jc w:val="both"/>
        <w:rPr/>
      </w:pPr>
      <w:r>
        <w:rPr>
          <w:rFonts w:ascii="Times New Roman;serif" w:hAnsi="Times New Roman;serif"/>
          <w:b w:val="false"/>
          <w:color w:val="000000"/>
          <w:sz w:val="20"/>
        </w:rPr>
        <w:t>The Company has minimum outstanding purchase obligations of approximately $3.1 million for the remaining three months in 2025 and $7.5 million in 2026, due under software license agre</w:t>
      </w:r>
      <w:r>
        <w:rPr>
          <w:rFonts w:ascii="Times New Roman;serif" w:hAnsi="Times New Roman;serif"/>
          <w:b w:val="false"/>
          <w:color w:val="000000"/>
          <w:sz w:val="20"/>
          <w:shd w:fill="FFFFFF" w:val="clear"/>
        </w:rPr>
        <w:t>ement, of which the majority relates to the Company’s remaining period of a three-year AWS Enterprise, (“AWS”), agreement. The Company has an obligation to pay the shortfall if it does not meet the specified minimum purchase obligations. In the second quarter of 2025, the Company performed a review of its cloud infrastructure strategy prompted by a downward revision in forecasted server cost spend for the full fiscal year 2025. The lower spend identified was attributable to server management optimization and efficiencies implemented during 2024 and discounts received in 2025 on prepayments under the AWS agreement made in 2024. Due to the revised forecast, the Company identified a probable shortfall in the minimum purchase obligation of approximately $2.3 million.</w:t>
      </w:r>
    </w:p>
    <w:p>
      <w:pPr>
        <w:pStyle w:val="TextBody"/>
        <w:bidi w:val="0"/>
        <w:spacing w:lineRule="auto" w:line="288" w:before="120" w:after="60"/>
        <w:jc w:val="both"/>
        <w:rPr/>
      </w:pPr>
      <w:r>
        <w:rPr>
          <w:rFonts w:ascii="Times New Roman;serif" w:hAnsi="Times New Roman;serif"/>
          <w:b w:val="false"/>
          <w:color w:val="000000"/>
          <w:sz w:val="20"/>
        </w:rPr>
        <w:t xml:space="preserve">Under ASC 450 – </w:t>
      </w:r>
      <w:r>
        <w:rPr>
          <w:rFonts w:ascii="Times New Roman;serif" w:hAnsi="Times New Roman;serif"/>
          <w:b w:val="false"/>
          <w:i/>
          <w:color w:val="000000"/>
          <w:sz w:val="20"/>
        </w:rPr>
        <w:t>Contingencies</w:t>
      </w:r>
      <w:r>
        <w:rPr>
          <w:rFonts w:ascii="Times New Roman;serif" w:hAnsi="Times New Roman;serif"/>
          <w:b w:val="false"/>
          <w:color w:val="000000"/>
          <w:sz w:val="20"/>
        </w:rPr>
        <w:t xml:space="preserve">, the Company evaluated whether a loss contingency should be recognized for non-cancellable commitments that will not provide future economic benefits. The Company determined that the unused portion of the AWS minimum commitment obligation is not probable of being recovered through usage or other means, and as such </w:t>
      </w:r>
      <w:r>
        <w:rPr>
          <w:rFonts w:ascii="Times New Roman;serif" w:hAnsi="Times New Roman;serif"/>
          <w:b w:val="false"/>
          <w:color w:val="000000"/>
          <w:sz w:val="20"/>
          <w:shd w:fill="FFFFFF" w:val="clear"/>
        </w:rPr>
        <w:t xml:space="preserve">recorded a loss contingency of $2.3 million in the second quarter of 2025, which is </w:t>
      </w:r>
      <w:r>
        <w:rPr>
          <w:rFonts w:ascii="Times New Roman;serif" w:hAnsi="Times New Roman;serif"/>
          <w:b w:val="false"/>
          <w:color w:val="000000"/>
          <w:sz w:val="20"/>
        </w:rPr>
        <w:t xml:space="preserve">included in general and administrative expense in the condensed consolidated statement of operations. As of September 30, 2025, the Company recorded amounts due to AWS of </w:t>
      </w:r>
      <w:r>
        <w:rPr>
          <w:rFonts w:ascii="Times New Roman;serif" w:hAnsi="Times New Roman;serif"/>
          <w:b w:val="false"/>
          <w:color w:val="000000"/>
          <w:sz w:val="20"/>
          <w:shd w:fill="FFFFFF" w:val="clear"/>
        </w:rPr>
        <w:t xml:space="preserve">$2.3 million, </w:t>
      </w:r>
      <w:r>
        <w:rPr>
          <w:rFonts w:ascii="Times New Roman;serif" w:hAnsi="Times New Roman;serif"/>
          <w:b w:val="false"/>
          <w:color w:val="000000"/>
          <w:sz w:val="20"/>
        </w:rPr>
        <w:t xml:space="preserve">$1.7 million of which is included in accounts payable and accrued expenses and $0.6 million of which is included in other long-term liabilities in the condensed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6.    Fair Value Measurements</w:t>
      </w:r>
    </w:p>
    <w:p>
      <w:pPr>
        <w:pStyle w:val="TextBody"/>
        <w:bidi w:val="0"/>
        <w:spacing w:lineRule="auto" w:line="288" w:before="120" w:after="283"/>
        <w:jc w:val="both"/>
        <w:rPr/>
      </w:pPr>
      <w:r>
        <w:rPr>
          <w:rFonts w:ascii="Times New Roman;serif" w:hAnsi="Times New Roman;serif"/>
          <w:b w:val="false"/>
          <w:color w:val="000000"/>
          <w:sz w:val="20"/>
        </w:rPr>
        <w:t xml:space="preserve">The Company follows the guidance in ASC 820 –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its financial assets and liabilities that are re-measured and reported at fair value at each reporting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and liabilities). The following fair value hierarchy is used to classify assets and liabilities based on the observable inputs and unobservable inputs used in order to value the assets and liabilities: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Level 2: Observable inputs other than Level 1 inputs. Examples of Level 2 inputs include quoted prices in active markets for similar assets or liabilities and quoted prices for identical assets or liabilities in markets that are not active.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Level 3: Unobservable inputs based on the Company assessment of the assumptions that market participants would use in pricing the asset or liability.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liabilities that are measured at fair value on a recurring basis at September 30, 2025 and December 31, 2024, and indicates the fair value hierarchy of the valuation inputs the Company utilized to determine such fair value (in thousands):</w:t>
      </w:r>
    </w:p>
    <w:tbl>
      <w:tblPr>
        <w:tblW w:w="8990" w:type="dxa"/>
        <w:jc w:val="left"/>
        <w:tblInd w:w="0" w:type="dxa"/>
        <w:tblLayout w:type="fixed"/>
        <w:tblCellMar>
          <w:top w:w="28" w:type="dxa"/>
          <w:left w:w="28" w:type="dxa"/>
          <w:bottom w:w="28" w:type="dxa"/>
          <w:right w:w="28" w:type="dxa"/>
        </w:tblCellMar>
      </w:tblPr>
      <w:tblGrid>
        <w:gridCol w:w="1406"/>
        <w:gridCol w:w="1237"/>
        <w:gridCol w:w="1241"/>
        <w:gridCol w:w="109"/>
        <w:gridCol w:w="109"/>
        <w:gridCol w:w="109"/>
        <w:gridCol w:w="195"/>
        <w:gridCol w:w="195"/>
        <w:gridCol w:w="196"/>
        <w:gridCol w:w="109"/>
        <w:gridCol w:w="109"/>
        <w:gridCol w:w="109"/>
        <w:gridCol w:w="475"/>
        <w:gridCol w:w="1049"/>
        <w:gridCol w:w="246"/>
        <w:gridCol w:w="109"/>
        <w:gridCol w:w="109"/>
        <w:gridCol w:w="109"/>
        <w:gridCol w:w="448"/>
        <w:gridCol w:w="992"/>
        <w:gridCol w:w="329"/>
      </w:tblGrid>
      <w:tr>
        <w:trPr/>
        <w:tc>
          <w:tcPr>
            <w:tcW w:w="140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 Public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 Private Placement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changes in the fair value of the warrant liabilities (in thousands):</w:t>
      </w:r>
    </w:p>
    <w:tbl>
      <w:tblPr>
        <w:tblW w:w="10205" w:type="dxa"/>
        <w:jc w:val="left"/>
        <w:tblInd w:w="0" w:type="dxa"/>
        <w:tblLayout w:type="fixed"/>
        <w:tblCellMar>
          <w:top w:w="28" w:type="dxa"/>
          <w:left w:w="28" w:type="dxa"/>
          <w:bottom w:w="28" w:type="dxa"/>
          <w:right w:w="28" w:type="dxa"/>
        </w:tblCellMar>
      </w:tblPr>
      <w:tblGrid>
        <w:gridCol w:w="824"/>
        <w:gridCol w:w="362"/>
        <w:gridCol w:w="366"/>
        <w:gridCol w:w="109"/>
        <w:gridCol w:w="109"/>
        <w:gridCol w:w="109"/>
        <w:gridCol w:w="271"/>
        <w:gridCol w:w="601"/>
        <w:gridCol w:w="142"/>
        <w:gridCol w:w="109"/>
        <w:gridCol w:w="109"/>
        <w:gridCol w:w="109"/>
        <w:gridCol w:w="326"/>
        <w:gridCol w:w="719"/>
        <w:gridCol w:w="169"/>
        <w:gridCol w:w="109"/>
        <w:gridCol w:w="109"/>
        <w:gridCol w:w="109"/>
        <w:gridCol w:w="292"/>
        <w:gridCol w:w="646"/>
        <w:gridCol w:w="151"/>
        <w:gridCol w:w="109"/>
        <w:gridCol w:w="109"/>
        <w:gridCol w:w="109"/>
        <w:gridCol w:w="271"/>
        <w:gridCol w:w="601"/>
        <w:gridCol w:w="142"/>
        <w:gridCol w:w="109"/>
        <w:gridCol w:w="109"/>
        <w:gridCol w:w="109"/>
        <w:gridCol w:w="326"/>
        <w:gridCol w:w="719"/>
        <w:gridCol w:w="169"/>
        <w:gridCol w:w="109"/>
        <w:gridCol w:w="109"/>
        <w:gridCol w:w="109"/>
        <w:gridCol w:w="288"/>
        <w:gridCol w:w="636"/>
        <w:gridCol w:w="222"/>
      </w:tblGrid>
      <w:tr>
        <w:trPr/>
        <w:tc>
          <w:tcPr>
            <w:tcW w:w="82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2025</w:t>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Public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Private Placement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Warrant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Public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Private Placement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Warrant Liabilities</w:t>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inputs or other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24"/>
        <w:gridCol w:w="362"/>
        <w:gridCol w:w="366"/>
        <w:gridCol w:w="109"/>
        <w:gridCol w:w="109"/>
        <w:gridCol w:w="109"/>
        <w:gridCol w:w="271"/>
        <w:gridCol w:w="601"/>
        <w:gridCol w:w="142"/>
        <w:gridCol w:w="109"/>
        <w:gridCol w:w="109"/>
        <w:gridCol w:w="109"/>
        <w:gridCol w:w="326"/>
        <w:gridCol w:w="719"/>
        <w:gridCol w:w="169"/>
        <w:gridCol w:w="109"/>
        <w:gridCol w:w="109"/>
        <w:gridCol w:w="109"/>
        <w:gridCol w:w="292"/>
        <w:gridCol w:w="646"/>
        <w:gridCol w:w="151"/>
        <w:gridCol w:w="109"/>
        <w:gridCol w:w="109"/>
        <w:gridCol w:w="109"/>
        <w:gridCol w:w="271"/>
        <w:gridCol w:w="601"/>
        <w:gridCol w:w="142"/>
        <w:gridCol w:w="109"/>
        <w:gridCol w:w="109"/>
        <w:gridCol w:w="109"/>
        <w:gridCol w:w="326"/>
        <w:gridCol w:w="719"/>
        <w:gridCol w:w="169"/>
        <w:gridCol w:w="109"/>
        <w:gridCol w:w="109"/>
        <w:gridCol w:w="109"/>
        <w:gridCol w:w="288"/>
        <w:gridCol w:w="636"/>
        <w:gridCol w:w="222"/>
      </w:tblGrid>
      <w:tr>
        <w:trPr/>
        <w:tc>
          <w:tcPr>
            <w:tcW w:w="82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2024</w:t>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Public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Private Placement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Warrant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Public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Private Placement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Warrant Liabilities</w:t>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inputs or other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Public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determined the fair value of the Public Warrants, based on the publicly listed trading price of such warrants as of the valuation date. Accordingly, the Public Warrants are classified as Level 1 financial instruments. The fair value of the Public Warrants was $0.4 million and $0.4 million as of September 30, 2025 and December 31, 2024, respectively.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Private Placement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quantitative information regarding Level 3 fair value measurements inputs at their measurement dates:</w:t>
      </w:r>
    </w:p>
    <w:tbl>
      <w:tblPr>
        <w:tblW w:w="6037" w:type="dxa"/>
        <w:jc w:val="left"/>
        <w:tblInd w:w="0" w:type="dxa"/>
        <w:tblLayout w:type="fixed"/>
        <w:tblCellMar>
          <w:top w:w="28" w:type="dxa"/>
          <w:left w:w="28" w:type="dxa"/>
          <w:bottom w:w="28" w:type="dxa"/>
          <w:right w:w="28" w:type="dxa"/>
        </w:tblCellMar>
      </w:tblPr>
      <w:tblGrid>
        <w:gridCol w:w="669"/>
        <w:gridCol w:w="587"/>
        <w:gridCol w:w="588"/>
        <w:gridCol w:w="109"/>
        <w:gridCol w:w="109"/>
        <w:gridCol w:w="109"/>
        <w:gridCol w:w="340"/>
        <w:gridCol w:w="993"/>
        <w:gridCol w:w="437"/>
        <w:gridCol w:w="109"/>
        <w:gridCol w:w="109"/>
        <w:gridCol w:w="109"/>
        <w:gridCol w:w="326"/>
        <w:gridCol w:w="954"/>
        <w:gridCol w:w="489"/>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Significant changes in the volatility would result in a significant lower or higher fair value measurement,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Private Placement Warrants was $0.2 million and $0.2 million as of September 30, 2025 and December 31, 2024, respectively. There were no transfers in or out of Level 3 from other levels in the fair value hierarchy.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Goodwill and Intangible Assets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Goodwill totaled $68.4 million as of September 30, 2025 and December 31, 2024, respectively. No goodwill impairment charges were recorded for the three and nine months ended September 30, 2025 and 2024.</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 September 30, 2025 and December 31, 2024 (in thousands):</w:t>
      </w:r>
    </w:p>
    <w:tbl>
      <w:tblPr>
        <w:tblW w:w="10205" w:type="dxa"/>
        <w:jc w:val="center"/>
        <w:tblInd w:w="0" w:type="dxa"/>
        <w:tblLayout w:type="fixed"/>
        <w:tblCellMar>
          <w:top w:w="28" w:type="dxa"/>
          <w:left w:w="28" w:type="dxa"/>
          <w:bottom w:w="28" w:type="dxa"/>
          <w:right w:w="28" w:type="dxa"/>
        </w:tblCellMar>
      </w:tblPr>
      <w:tblGrid>
        <w:gridCol w:w="738"/>
        <w:gridCol w:w="462"/>
        <w:gridCol w:w="466"/>
        <w:gridCol w:w="906"/>
        <w:gridCol w:w="906"/>
        <w:gridCol w:w="908"/>
        <w:gridCol w:w="109"/>
        <w:gridCol w:w="109"/>
        <w:gridCol w:w="109"/>
        <w:gridCol w:w="345"/>
        <w:gridCol w:w="1008"/>
        <w:gridCol w:w="178"/>
        <w:gridCol w:w="109"/>
        <w:gridCol w:w="109"/>
        <w:gridCol w:w="109"/>
        <w:gridCol w:w="405"/>
        <w:gridCol w:w="1215"/>
        <w:gridCol w:w="211"/>
        <w:gridCol w:w="109"/>
        <w:gridCol w:w="109"/>
        <w:gridCol w:w="109"/>
        <w:gridCol w:w="315"/>
        <w:gridCol w:w="923"/>
        <w:gridCol w:w="238"/>
      </w:tblGrid>
      <w:tr>
        <w:trPr/>
        <w:tc>
          <w:tcPr>
            <w:tcW w:w="73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Amortization Period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Intangible Assets</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domain names</w:t>
            </w:r>
          </w:p>
        </w:tc>
        <w:tc>
          <w:tcPr>
            <w:tcW w:w="2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technology</w:t>
            </w:r>
          </w:p>
        </w:tc>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2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38"/>
        <w:gridCol w:w="462"/>
        <w:gridCol w:w="466"/>
        <w:gridCol w:w="906"/>
        <w:gridCol w:w="906"/>
        <w:gridCol w:w="908"/>
        <w:gridCol w:w="109"/>
        <w:gridCol w:w="109"/>
        <w:gridCol w:w="109"/>
        <w:gridCol w:w="345"/>
        <w:gridCol w:w="1008"/>
        <w:gridCol w:w="178"/>
        <w:gridCol w:w="109"/>
        <w:gridCol w:w="109"/>
        <w:gridCol w:w="109"/>
        <w:gridCol w:w="405"/>
        <w:gridCol w:w="1215"/>
        <w:gridCol w:w="211"/>
        <w:gridCol w:w="109"/>
        <w:gridCol w:w="109"/>
        <w:gridCol w:w="109"/>
        <w:gridCol w:w="315"/>
        <w:gridCol w:w="923"/>
        <w:gridCol w:w="238"/>
      </w:tblGrid>
      <w:tr>
        <w:trPr/>
        <w:tc>
          <w:tcPr>
            <w:tcW w:w="73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Amortization Period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Intangible Assets</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domain names</w:t>
            </w:r>
          </w:p>
        </w:tc>
        <w:tc>
          <w:tcPr>
            <w:tcW w:w="2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technology</w:t>
            </w:r>
          </w:p>
        </w:tc>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2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intangible assets was $0.1 million and $0.1 million, respectively, for the three months ended September 30, 2025 and 2024, respectively. Amortization expense for intangible assets was $0.4 million and $0.4 million, respectively, for the nine months ended September 30, 2025 and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estimated future amortization expense of intangible assets as of September 30, 2025 is as follows (in thousands): </w:t>
      </w:r>
    </w:p>
    <w:tbl>
      <w:tblPr>
        <w:tblW w:w="4788" w:type="dxa"/>
        <w:jc w:val="center"/>
        <w:tblInd w:w="0" w:type="dxa"/>
        <w:tblLayout w:type="fixed"/>
        <w:tblCellMar>
          <w:top w:w="28" w:type="dxa"/>
          <w:left w:w="28" w:type="dxa"/>
          <w:bottom w:w="28" w:type="dxa"/>
          <w:right w:w="28" w:type="dxa"/>
        </w:tblCellMar>
      </w:tblPr>
      <w:tblGrid>
        <w:gridCol w:w="1261"/>
        <w:gridCol w:w="1108"/>
        <w:gridCol w:w="1111"/>
        <w:gridCol w:w="109"/>
        <w:gridCol w:w="109"/>
        <w:gridCol w:w="109"/>
        <w:gridCol w:w="211"/>
        <w:gridCol w:w="616"/>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period in 2025 (three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Prepaid Expenses and Other Current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as of September 30, 2025 and December 31, 2024 consisted of the following (in thousands):</w:t>
      </w:r>
    </w:p>
    <w:tbl>
      <w:tblPr>
        <w:tblW w:w="8137" w:type="dxa"/>
        <w:jc w:val="center"/>
        <w:tblInd w:w="0" w:type="dxa"/>
        <w:tblLayout w:type="fixed"/>
        <w:tblCellMar>
          <w:top w:w="28" w:type="dxa"/>
          <w:left w:w="28" w:type="dxa"/>
          <w:bottom w:w="28" w:type="dxa"/>
          <w:right w:w="28" w:type="dxa"/>
        </w:tblCellMar>
      </w:tblPr>
      <w:tblGrid>
        <w:gridCol w:w="1428"/>
        <w:gridCol w:w="1256"/>
        <w:gridCol w:w="1261"/>
        <w:gridCol w:w="109"/>
        <w:gridCol w:w="109"/>
        <w:gridCol w:w="109"/>
        <w:gridCol w:w="397"/>
        <w:gridCol w:w="1165"/>
        <w:gridCol w:w="207"/>
        <w:gridCol w:w="109"/>
        <w:gridCol w:w="109"/>
        <w:gridCol w:w="109"/>
        <w:gridCol w:w="380"/>
        <w:gridCol w:w="1110"/>
        <w:gridCol w:w="279"/>
      </w:tblGrid>
      <w:tr>
        <w:trPr/>
        <w:tc>
          <w:tcPr>
            <w:tcW w:w="142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8,284 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 impairment charges were recognized for the three and nine months ended September 30, 2025 and 2024, related to capitalized implementation costs for a cloud computing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Accounts Payable and Accrued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 as of September 30, 2025 and December 31, 2024 consisted of the following (in thousands):</w:t>
      </w:r>
    </w:p>
    <w:tbl>
      <w:tblPr>
        <w:tblW w:w="8153" w:type="dxa"/>
        <w:jc w:val="center"/>
        <w:tblInd w:w="0" w:type="dxa"/>
        <w:tblLayout w:type="fixed"/>
        <w:tblCellMar>
          <w:top w:w="28" w:type="dxa"/>
          <w:left w:w="28" w:type="dxa"/>
          <w:bottom w:w="28" w:type="dxa"/>
          <w:right w:w="28" w:type="dxa"/>
        </w:tblCellMar>
      </w:tblPr>
      <w:tblGrid>
        <w:gridCol w:w="1432"/>
        <w:gridCol w:w="1262"/>
        <w:gridCol w:w="1266"/>
        <w:gridCol w:w="109"/>
        <w:gridCol w:w="109"/>
        <w:gridCol w:w="109"/>
        <w:gridCol w:w="358"/>
        <w:gridCol w:w="1226"/>
        <w:gridCol w:w="185"/>
        <w:gridCol w:w="109"/>
        <w:gridCol w:w="109"/>
        <w:gridCol w:w="109"/>
        <w:gridCol w:w="344"/>
        <w:gridCol w:w="1175"/>
        <w:gridCol w:w="251"/>
      </w:tblGrid>
      <w:tr>
        <w:trPr/>
        <w:tc>
          <w:tcPr>
            <w:tcW w:w="143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 payable and other accrued liabilities</w:t>
            </w:r>
            <w:r>
              <w:rPr>
                <w:rFonts w:ascii="Times New Roman;serif" w:hAnsi="Times New Roman;serif"/>
                <w:b w:val="false"/>
                <w:color w:val="000000"/>
                <w:sz w:val="13"/>
              </w:rPr>
              <w:t>1</w:t>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commissions and bonuses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salaries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vacation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employee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20,083 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20,102 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As of September 30, 2025, the accounts payable and other accrued liabilities included $1.7 million of the $2.3 million in loss contingency due to AWS related to a purchase obligation shortfall stemming from the AWS minimum commitment obligation that is not probable of being recovered through usage or other means. See Note 5, “Commitments and Contingencies” to these condensed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Warrant Liability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September 30, 2025, there were 12,499,973 Public Warrants outstanding and 7,000,000 Private Placement Warrants outstanding.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exercise its redemption right even if it is unable to register or qualify the underlying securities for sale under all applicable state securities laws. 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 </w:t>
      </w:r>
    </w:p>
    <w:p>
      <w:pPr>
        <w:pStyle w:val="TextBody"/>
        <w:bidi w:val="0"/>
        <w:spacing w:lineRule="auto" w:line="288" w:before="120" w:after="283"/>
        <w:jc w:val="both"/>
        <w:rPr/>
      </w:pPr>
      <w:r>
        <w:rPr>
          <w:rFonts w:ascii="Times New Roman;serif" w:hAnsi="Times New Roman;serif"/>
          <w:b w:val="false"/>
          <w:color w:val="000000"/>
          <w:sz w:val="20"/>
        </w:rPr>
        <w:t xml:space="preserve">The Company concluded the Public Warrants and Private Placement Warrants, or the Warrants, meet the definition of a derivative under ASC 815 -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(as described in Note 2) and are recorded as liabilities. Upon the Closing, the fair value of the Warrants was recorded on the balance sheet. The fair value of the Warrants are remeasured as of each balance sheet date, which resulted in non-cash loss of $0.4 million and $— million in the condensed consolidated statements of operations for the three and nine months ended September 30, 2025, respectively, and non-cash gain of $0.6 million and $0.2 million in the condensed consolidated statements of operations for the three and nine months ended September 30, 2024, respectively. See Note 6, “Fair Value Measurements” to these condensed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11.     Equity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Class A Common Stock</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Dividend Rights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Rights upon Liquidation, Dissolution and Winding-Up</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event of any voluntary or involuntary liquidation, dissolution or winding up of the Company’s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Preemptive or Other Rights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Class V Common Stock</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Dividend Rights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holders of the Class V Common Stock will not participate in any dividends declared by the Company’s board of directors.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Rights upon Liquidation, Dissolution and Winding-Up</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event of any voluntary or involuntary liquidation, dissolution or winding up of the Company’s affairs, the holders of Class V Common Stock are not entitled to receive any of the Company’s assets.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Preemptive or Other Rights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holders of shares of Class V Common Stock do not have preemptive, subscription, redemption or conversion rights. There will be no redemption or sinking fund provisions applicable to the Class V Common Stock.</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Issuance and Retirement of Class V Common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amended and restated certificate of incorporation in effect as of June 15, 2021, the Company was authorized to issue 75,000,000 shares of preferred stock with such designations, voting and other rights and preferences as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determined from time to time by the Company’s board of directors. As of September 30, 2025, there were no shares of preferred stock issued or outstanding.</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lineRule="auto" w:line="288" w:before="120" w:after="120"/>
        <w:jc w:val="both"/>
        <w:rPr/>
      </w:pPr>
      <w:r>
        <w:rPr>
          <w:rFonts w:ascii="Times New Roman;serif" w:hAnsi="Times New Roman;serif"/>
          <w:b w:val="false"/>
          <w:color w:val="000000"/>
          <w:sz w:val="20"/>
        </w:rPr>
        <w:t xml:space="preserve">The non-controlling interest represents the Units held by holders other than the Company. As of September 30, 2025 and December 31, 2024, the non-controlling interests owned 32.4% and 36.7% of the Units outstanding, respectively. The non-controlling interests’ ownership percentage can fluctuate over time, including as the WMH LLC equity holders elect to exchange Units for Class A Common Stock. During the nine months ended September 30, 2025, 5 million shares of Class V Common Stock were exchanged on a one-to-one basis to shares of Class A Common stock. The Company has consolidated the financial position and results of operations of WMH LLC and reflected the proportionate interest held by the WMH LLC Unit equity holders as non-controlling interests. See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of Note 2, “Summary of Significant Accounting Policies,” and the condensed consolidated statement of equity for further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12.     Stock-based Compensation</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WM Holding Company, LLC Equity Incentive Plan</w:t>
      </w:r>
    </w:p>
    <w:p>
      <w:pPr>
        <w:pStyle w:val="TextBody"/>
        <w:bidi w:val="0"/>
        <w:spacing w:lineRule="auto" w:line="288" w:before="120" w:after="283"/>
        <w:jc w:val="both"/>
        <w:rPr/>
      </w:pPr>
      <w:r>
        <w:rPr>
          <w:rFonts w:ascii="Times New Roman;serif" w:hAnsi="Times New Roman;serif"/>
          <w:b w:val="false"/>
          <w:color w:val="000000"/>
          <w:sz w:val="20"/>
        </w:rPr>
        <w:t xml:space="preserve">The Company has accounted for the issuance of Class A-3 and Class B Units issued under the WM Holding Company, LLC Equity Incentive Plan in accordance with ASC 718 - </w:t>
      </w:r>
      <w:r>
        <w:rPr>
          <w:rFonts w:ascii="Times New Roman;serif" w:hAnsi="Times New Roman;serif"/>
          <w:b w:val="false"/>
          <w:i/>
          <w:color w:val="000000"/>
          <w:sz w:val="20"/>
        </w:rPr>
        <w:t>Stock Based Compensation</w:t>
      </w:r>
      <w:r>
        <w:rPr>
          <w:rFonts w:ascii="Times New Roman;serif" w:hAnsi="Times New Roman;serif"/>
          <w:b w:val="false"/>
          <w:color w:val="000000"/>
          <w:sz w:val="20"/>
        </w:rPr>
        <w:t xml:space="preserve">. The Company considers the limitation on the exercisability of the Class A-3 and Class B Units to be a performance condition and records compensation cost when it becomes probable that the performance condition will be met.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Class P Unit activity for the nine months ended September 30, 2025 is as follows:</w:t>
      </w:r>
    </w:p>
    <w:tbl>
      <w:tblPr>
        <w:tblW w:w="6032" w:type="dxa"/>
        <w:jc w:val="left"/>
        <w:tblInd w:w="0" w:type="dxa"/>
        <w:tblLayout w:type="fixed"/>
        <w:tblCellMar>
          <w:top w:w="28" w:type="dxa"/>
          <w:left w:w="28" w:type="dxa"/>
          <w:bottom w:w="28" w:type="dxa"/>
          <w:right w:w="28" w:type="dxa"/>
        </w:tblCellMar>
      </w:tblPr>
      <w:tblGrid>
        <w:gridCol w:w="1445"/>
        <w:gridCol w:w="1268"/>
        <w:gridCol w:w="1276"/>
        <w:gridCol w:w="109"/>
        <w:gridCol w:w="109"/>
        <w:gridCol w:w="109"/>
        <w:gridCol w:w="540"/>
        <w:gridCol w:w="541"/>
        <w:gridCol w:w="635"/>
      </w:tblGrid>
      <w:tr>
        <w:trPr/>
        <w:tc>
          <w:tcPr>
            <w:tcW w:w="144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Units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Class P Units,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14,403,732 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Exchanged for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Class P Units,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13,803,732 </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13,803,732</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all the outstanding Class P Units have been vested and as such, there is no remaining unrecognized stock-based compensation expense for non-vested Class P Units. For the three months ended September 30, 2025 and 2024, the Company recorded stock-based compensation expense for the Class P Units of $0.0 million and $0.1 million, respectively. For the nine months ended September 30, 2025 and 2024, the Company recorded stock-based compensation expense for the Class P Units of $0.0 million and $0.2 million, respectively.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WM Technology, Inc. Equity Incentive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forms of stock awards to employees, directors and consultants. As of September 30, 2025, 48,307,514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September 30, 2025, 23,098,008 shares of Class A Common Stock are available for future issuance.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restricted stock unit (“RSU”) activity for the nine months ended September 30, 2025 is as follows:</w:t>
      </w:r>
    </w:p>
    <w:tbl>
      <w:tblPr>
        <w:tblW w:w="8774" w:type="dxa"/>
        <w:jc w:val="left"/>
        <w:tblInd w:w="0" w:type="dxa"/>
        <w:tblLayout w:type="fixed"/>
        <w:tblCellMar>
          <w:top w:w="28" w:type="dxa"/>
          <w:left w:w="28" w:type="dxa"/>
          <w:bottom w:w="28" w:type="dxa"/>
          <w:right w:w="28" w:type="dxa"/>
        </w:tblCellMar>
      </w:tblPr>
      <w:tblGrid>
        <w:gridCol w:w="1055"/>
        <w:gridCol w:w="926"/>
        <w:gridCol w:w="928"/>
        <w:gridCol w:w="109"/>
        <w:gridCol w:w="109"/>
        <w:gridCol w:w="109"/>
        <w:gridCol w:w="525"/>
        <w:gridCol w:w="525"/>
        <w:gridCol w:w="501"/>
        <w:gridCol w:w="109"/>
        <w:gridCol w:w="109"/>
        <w:gridCol w:w="109"/>
        <w:gridCol w:w="881"/>
        <w:gridCol w:w="2135"/>
        <w:gridCol w:w="644"/>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7,946,908 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(3,556,577)</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(780,116)</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Non-vested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unrecognized stock-based compensation expense for non-vested RSUs was $8.1 million, which is expected to be recognized over a weighted-average period of 2.1 years. For the three months ended September 30, 2025 and 2024, the Company recorded stock-based compensation expense for the RSUs of $1.3 million and $1.5 million, respectively. For the nine months ended September 30, 2025 and 2024, the Company recorded stock-based compensation expense for the RSUs of $5.7 million and $6.9 million,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grants performance-based restricted stock units (“PRSUs”). For the awards with the Company’s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awards with market performance conditions, the vesting of the award is dependent upon the attainment of a target stock price. The Company recognizes stock-based compensation expense for awards with market conditions over the derived service period of the awards. The estimated fair value and derived service period for the awards with market conditions are calculated using a Monte Carlo simulation. Assumptions used in valuing awards with market conditions include the performance period, grant-date stock price, expected volatility, risk-free rate and cost of equity.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a PRSU market condition award of 4,342,391 units was granted to the Company’s Chief Executive Officer that will vest based upon achieving certain target prices for the Company’s common stock. Achievement of the target prices will be determined using the volume weighted average closing price of the Company’s Class A common stock over a 30 trading-day period. Any unvested PRSUs remaining after December 31, 2027 will be forfeited. If service is terminated prior to December 31, 2027, all unvested PRSUs will be forfeited.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key assumptions used in estimating the value of the PRSUs granted in November 2024.</w:t>
      </w:r>
    </w:p>
    <w:tbl>
      <w:tblPr>
        <w:tblW w:w="7045" w:type="dxa"/>
        <w:jc w:val="left"/>
        <w:tblInd w:w="0" w:type="dxa"/>
        <w:tblLayout w:type="fixed"/>
        <w:tblCellMar>
          <w:top w:w="28" w:type="dxa"/>
          <w:left w:w="28" w:type="dxa"/>
          <w:bottom w:w="28" w:type="dxa"/>
          <w:right w:w="28" w:type="dxa"/>
        </w:tblCellMar>
      </w:tblPr>
      <w:tblGrid>
        <w:gridCol w:w="1174"/>
        <w:gridCol w:w="1024"/>
        <w:gridCol w:w="1041"/>
        <w:gridCol w:w="109"/>
        <w:gridCol w:w="109"/>
        <w:gridCol w:w="109"/>
        <w:gridCol w:w="1017"/>
        <w:gridCol w:w="1017"/>
        <w:gridCol w:w="1445"/>
      </w:tblGrid>
      <w:tr>
        <w:trPr/>
        <w:tc>
          <w:tcPr>
            <w:tcW w:w="117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November 07, 2024</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07, 2024 - December 31, 2027</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PRSUs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4,342,391</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 Date 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$0.77</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Risk-Free Rate at Valuation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18.00%</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Estimated Volatility at Valuation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85.61%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PRSU activity for the nine months ended September 30, 2025 is as follows:</w:t>
      </w:r>
    </w:p>
    <w:tbl>
      <w:tblPr>
        <w:tblW w:w="8842" w:type="dxa"/>
        <w:jc w:val="left"/>
        <w:tblInd w:w="0" w:type="dxa"/>
        <w:tblLayout w:type="fixed"/>
        <w:tblCellMar>
          <w:top w:w="28" w:type="dxa"/>
          <w:left w:w="28" w:type="dxa"/>
          <w:bottom w:w="28" w:type="dxa"/>
          <w:right w:w="28" w:type="dxa"/>
        </w:tblCellMar>
      </w:tblPr>
      <w:tblGrid>
        <w:gridCol w:w="1055"/>
        <w:gridCol w:w="926"/>
        <w:gridCol w:w="928"/>
        <w:gridCol w:w="109"/>
        <w:gridCol w:w="109"/>
        <w:gridCol w:w="109"/>
        <w:gridCol w:w="539"/>
        <w:gridCol w:w="539"/>
        <w:gridCol w:w="541"/>
        <w:gridCol w:w="109"/>
        <w:gridCol w:w="109"/>
        <w:gridCol w:w="109"/>
        <w:gridCol w:w="881"/>
        <w:gridCol w:w="2135"/>
        <w:gridCol w:w="644"/>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4,342,391 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Non-vested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4,342,391 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unrecognized stock-based compensation expense for non-vested PRSUs was $0.8 million, which is expected to be recognized over a weighted-average period of 0.9 years. For the three months ended September 30, 2025 and 2024, the Company recorded stock-based compensation expense for the PRSUs of $0.2 million and $0.0 million, respectively. For the nine months ended September 30, 2025 and 2024, the Company recorded stock-based compensation expense for the PRSUs of $0.7 million and $0.1 million,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stock-based compensation cost related to the RSUs, PRSUs and Class P Units in the following expense categories on the accompanying condensed consolidated statements of operations (in thousands):</w:t>
      </w:r>
    </w:p>
    <w:tbl>
      <w:tblPr>
        <w:tblW w:w="10205" w:type="dxa"/>
        <w:jc w:val="left"/>
        <w:tblInd w:w="0" w:type="dxa"/>
        <w:tblLayout w:type="fixed"/>
        <w:tblCellMar>
          <w:top w:w="28" w:type="dxa"/>
          <w:left w:w="28" w:type="dxa"/>
          <w:bottom w:w="28" w:type="dxa"/>
          <w:right w:w="28" w:type="dxa"/>
        </w:tblCellMar>
      </w:tblPr>
      <w:tblGrid>
        <w:gridCol w:w="1352"/>
        <w:gridCol w:w="1188"/>
        <w:gridCol w:w="1196"/>
        <w:gridCol w:w="298"/>
        <w:gridCol w:w="871"/>
        <w:gridCol w:w="153"/>
        <w:gridCol w:w="153"/>
        <w:gridCol w:w="153"/>
        <w:gridCol w:w="153"/>
        <w:gridCol w:w="298"/>
        <w:gridCol w:w="871"/>
        <w:gridCol w:w="153"/>
        <w:gridCol w:w="109"/>
        <w:gridCol w:w="109"/>
        <w:gridCol w:w="109"/>
        <w:gridCol w:w="285"/>
        <w:gridCol w:w="833"/>
        <w:gridCol w:w="146"/>
        <w:gridCol w:w="146"/>
        <w:gridCol w:w="146"/>
        <w:gridCol w:w="146"/>
        <w:gridCol w:w="285"/>
        <w:gridCol w:w="833"/>
        <w:gridCol w:w="219"/>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capitalized to software development</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cost</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13.     Earnings Per Share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computation of income per share attributable to WM Technology, Inc. and weighted-average shares of the Company’s Class A Common Stock outstanding are as follows for the three and nine months ending September 30, 2025 and 2024 (amounts in thousands, except for share and per share amounts):</w:t>
      </w:r>
    </w:p>
    <w:tbl>
      <w:tblPr>
        <w:tblW w:w="10205" w:type="dxa"/>
        <w:jc w:val="left"/>
        <w:tblInd w:w="0" w:type="dxa"/>
        <w:tblLayout w:type="fixed"/>
        <w:tblCellMar>
          <w:top w:w="28" w:type="dxa"/>
          <w:left w:w="28" w:type="dxa"/>
          <w:bottom w:w="28" w:type="dxa"/>
          <w:right w:w="28" w:type="dxa"/>
        </w:tblCellMar>
      </w:tblPr>
      <w:tblGrid>
        <w:gridCol w:w="1642"/>
        <w:gridCol w:w="1325"/>
        <w:gridCol w:w="1340"/>
        <w:gridCol w:w="299"/>
        <w:gridCol w:w="795"/>
        <w:gridCol w:w="128"/>
        <w:gridCol w:w="128"/>
        <w:gridCol w:w="128"/>
        <w:gridCol w:w="128"/>
        <w:gridCol w:w="299"/>
        <w:gridCol w:w="737"/>
        <w:gridCol w:w="128"/>
        <w:gridCol w:w="109"/>
        <w:gridCol w:w="109"/>
        <w:gridCol w:w="109"/>
        <w:gridCol w:w="286"/>
        <w:gridCol w:w="785"/>
        <w:gridCol w:w="125"/>
        <w:gridCol w:w="125"/>
        <w:gridCol w:w="125"/>
        <w:gridCol w:w="125"/>
        <w:gridCol w:w="286"/>
        <w:gridCol w:w="754"/>
        <w:gridCol w:w="190"/>
      </w:tblGrid>
      <w:tr>
        <w:trPr/>
        <w:tc>
          <w:tcPr>
            <w:tcW w:w="164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4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430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430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4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WM Technology, Inc. Class A Common Stock – basic and diluted</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of shares of Class A Common Stock outstanding – basic</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107,569,086</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97,166,788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105,797,793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95,743,064</w:t>
            </w:r>
          </w:p>
        </w:tc>
      </w:tr>
      <w:tr>
        <w:trPr/>
        <w:tc>
          <w:tcPr>
            <w:tcW w:w="4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effect of dilutive securities:</w:t>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430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430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4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Restricted stock units</w:t>
            </w:r>
            <w:r>
              <w:rPr>
                <w:rFonts w:ascii="Times New Roman;serif" w:hAnsi="Times New Roman;serif"/>
                <w:b w:val="false"/>
                <w:color w:val="000000"/>
                <w:sz w:val="13"/>
              </w:rPr>
              <w:t>1</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1,543,658 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644,463 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2,347,002 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1,016,101 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Performance-based restricted stock units </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of shares of Class A Common Stock outstanding – diluted</w:t>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109,112,744</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97,811,251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108,144,795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96,761,731</w:t>
            </w:r>
          </w:p>
        </w:tc>
      </w:tr>
      <w:tr>
        <w:trPr/>
        <w:tc>
          <w:tcPr>
            <w:tcW w:w="4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share of Class A Common Stock:</w:t>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of Class A Common Stock – basic</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of Class A Common Stock – diluted</w:t>
            </w:r>
          </w:p>
        </w:tc>
        <w:tc>
          <w:tcPr>
            <w:tcW w:w="29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9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¹ Calculated using the treasury stock method. </w:t>
      </w:r>
    </w:p>
    <w:p>
      <w:pPr>
        <w:pStyle w:val="TextBody"/>
        <w:bidi w:val="0"/>
        <w:spacing w:lineRule="auto" w:line="288" w:before="0" w:after="120"/>
        <w:jc w:val="both"/>
        <w:rPr/>
      </w:pPr>
      <w:r>
        <w:rPr>
          <w:rFonts w:ascii="Times New Roman;serif" w:hAnsi="Times New Roman;serif"/>
          <w:b w:val="false"/>
          <w:color w:val="000000"/>
          <w:sz w:val="20"/>
        </w:rPr>
        <w:t xml:space="preserve">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w:t>
      </w:r>
      <w:r>
        <w:rPr>
          <w:rFonts w:ascii="Times New Roman;serif" w:hAnsi="Times New Roman;serif"/>
          <w:b w:val="false"/>
          <w:color w:val="000000"/>
          <w:sz w:val="20"/>
          <w:shd w:fill="FFFFFF" w:val="clear"/>
        </w:rPr>
        <w:t>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excluded the following securities from its computation of diluted shares outstanding for the periods presented, as their effect would have been anti-dilutive:</w:t>
      </w:r>
    </w:p>
    <w:tbl>
      <w:tblPr>
        <w:tblW w:w="10205" w:type="dxa"/>
        <w:jc w:val="left"/>
        <w:tblInd w:w="0" w:type="dxa"/>
        <w:tblLayout w:type="fixed"/>
        <w:tblCellMar>
          <w:top w:w="28" w:type="dxa"/>
          <w:left w:w="28" w:type="dxa"/>
          <w:bottom w:w="28" w:type="dxa"/>
          <w:right w:w="28" w:type="dxa"/>
        </w:tblCellMar>
      </w:tblPr>
      <w:tblGrid>
        <w:gridCol w:w="803"/>
        <w:gridCol w:w="702"/>
        <w:gridCol w:w="685"/>
        <w:gridCol w:w="791"/>
        <w:gridCol w:w="337"/>
        <w:gridCol w:w="316"/>
        <w:gridCol w:w="316"/>
        <w:gridCol w:w="316"/>
        <w:gridCol w:w="316"/>
        <w:gridCol w:w="786"/>
        <w:gridCol w:w="338"/>
        <w:gridCol w:w="336"/>
        <w:gridCol w:w="109"/>
        <w:gridCol w:w="109"/>
        <w:gridCol w:w="109"/>
        <w:gridCol w:w="791"/>
        <w:gridCol w:w="317"/>
        <w:gridCol w:w="296"/>
        <w:gridCol w:w="296"/>
        <w:gridCol w:w="296"/>
        <w:gridCol w:w="296"/>
        <w:gridCol w:w="786"/>
        <w:gridCol w:w="317"/>
        <w:gridCol w:w="441"/>
      </w:tblGrid>
      <w:tr>
        <w:trPr/>
        <w:tc>
          <w:tcPr>
            <w:tcW w:w="80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V Shares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49,319,542 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55,486,361 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49,319,542 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55,486,361 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P Units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13,803,732 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14,678,732 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13,803,732 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14,678,732 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outstanding</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3,268,746 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2,813,084 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4,332,367 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2,964,600 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PRSUs outstanding</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4,342,391 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4,342,391 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12,499,973 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12,499,973 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12,499,973 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12,499,973 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7,000,000 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7,000,000 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14.     Related Party Transactions</w:t>
      </w:r>
    </w:p>
    <w:p>
      <w:pPr>
        <w:pStyle w:val="TextBody"/>
        <w:bidi w:val="0"/>
        <w:spacing w:lineRule="auto" w:line="288" w:before="120" w:after="283"/>
        <w:jc w:val="both"/>
        <w:rPr/>
      </w:pPr>
      <w:r>
        <w:rPr>
          <w:rFonts w:ascii="Times New Roman;serif" w:hAnsi="Times New Roman;serif"/>
          <w:b w:val="false"/>
          <w:color w:val="000000"/>
          <w:sz w:val="20"/>
        </w:rPr>
        <w:t xml:space="preserve">During the second quarter of 2022, </w:t>
      </w:r>
      <w:r>
        <w:rPr>
          <w:rFonts w:ascii="Times New Roman;serif" w:hAnsi="Times New Roman;serif"/>
          <w:b w:val="false"/>
          <w:color w:val="000000"/>
          <w:sz w:val="20"/>
          <w:shd w:fill="FFFFFF" w:val="clear"/>
        </w:rPr>
        <w:t>the Company entered into a sublease agreement with an affiliate of the Chief Executive Officer. The sublease commenced on June 1, 2022, and the term is for the remainder of the amended lease term which expired on October 31, 2024</w:t>
      </w:r>
      <w:r>
        <w:rPr>
          <w:rFonts w:ascii="Times New Roman;serif" w:hAnsi="Times New Roman;serif"/>
          <w:b w:val="false"/>
          <w:color w:val="000000"/>
          <w:sz w:val="20"/>
        </w:rPr>
        <w:t xml:space="preserve">. The monthly base rent, after the rent abatement period for the first four months, is $69,000. As of September 30, 2025 and December 31, 2024, there was no outstanding rent receivable. For the three and nine months ended September 30, 2025, there was no income on the sublease with a related party. For the three and nine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pPr>
      <w:r>
        <w:rPr>
          <w:rFonts w:ascii="Times New Roman;serif" w:hAnsi="Times New Roman;serif"/>
          <w:b w:val="false"/>
          <w:color w:val="000000"/>
          <w:sz w:val="20"/>
        </w:rPr>
        <w:t>September 30, 2024, income on the sublease with a related party was $0.2 million and $0.5 million, respectively. Th</w:t>
      </w:r>
      <w:r>
        <w:rPr>
          <w:rFonts w:ascii="Times New Roman;serif" w:hAnsi="Times New Roman;serif"/>
          <w:b w:val="false"/>
          <w:color w:val="000000"/>
          <w:sz w:val="20"/>
          <w:shd w:fill="FFFFFF" w:val="clear"/>
        </w:rPr>
        <w:t>e income on sublease is netted with rent expense and included in general and administrative expenses on the condensed consolidated statements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and maturing on December 31, 2025. In an event of default, the outstanding principal amount shall bear interest for the entire period during which the principal balance is unpaid at a rate which is equal to 10% per annum. As of September 30, 2025 and December 31, 2024, the remaining balance of the promissory note receivable was $0.2 million and $0.4 million, respectively, and included in prepaid expenses and other current assets on the condensed consolidated balance sheets. For the three and nine months ended September 30, 2025 and 2024, interest income on the promissory note was less than $0.1 million, which is included in other income (expense), net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financial condition and results of operations of WM Technology, Inc. should be read in conjunction with the condensed consolidated financial statements and related notes included in this Quarterly Report on Form 10-Q as well as the discussion under “Item 1A. Risk Factors.”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included herein and in our Annual Report on Form 10-K for the year ended December 31, 2024.</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further discussion of our products and services, growth strategy, challenges in our end-markets and competitive strengths, see “Item 1. Business.” Unless stated otherwise, the comparisons presented in this discussion and analysis refer to the year-over-year comparison of changes in our financial condition and results of operations as of and for the three and nine months ended September 30, 2025 and 2024.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Third Quarter 2025 Financial Highlights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Revenues were $42.2 million as compared to $46.6 million in the prior year.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Average monthly paying clients was 5,221, as compared to 5,100 in the prior year.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Average monthly revenues per paying client was $2,693, as compared to $3,043 in the prior year.</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rPr>
        <w:t>Net income was $3.6 million as compared to $5.3 million in the prior year.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Adjusted EBITDA was $7.6 million as compared to $11.3 million in the prior year.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further information about how we calculate EBITDA and Adjusted EBITDA as well as limitations of its use and a reconciliation of EBITDA and Adjusted EBITDA to net income, see “Net Income to EBITDA and Adjusted EBITDA” in Non-GAAP Financial Measurements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pStyle w:val="TextBody"/>
        <w:bidi w:val="0"/>
        <w:spacing w:lineRule="auto" w:line="288" w:before="120" w:after="120"/>
        <w:jc w:val="both"/>
        <w:rPr/>
      </w:pPr>
      <w:r>
        <w:rPr>
          <w:rFonts w:ascii="Times New Roman;serif" w:hAnsi="Times New Roman;serif"/>
          <w:b w:val="false"/>
          <w:color w:val="000000"/>
          <w:sz w:val="20"/>
        </w:rPr>
        <w:t>Our business primarily consists of our commerce-driven marketplace (“Weedmaps”), and our fully integrate</w:t>
      </w:r>
      <w:r>
        <w:rPr>
          <w:rFonts w:ascii="Times New Roman;serif" w:hAnsi="Times New Roman;serif"/>
          <w:b w:val="false"/>
          <w:color w:val="000000"/>
          <w:sz w:val="20"/>
          <w:shd w:fill="FFFFFF" w:val="clear"/>
        </w:rPr>
        <w:t>d suite of end-to-end Software-as-a-Service (“SaaS”) solutions software offering (“Weedmaps for Business”). The Weedmaps marketplace is a premier destination for cannabis consumers to discover and browse information regarding cannabis and cannabi</w:t>
      </w:r>
      <w:r>
        <w:rPr>
          <w:rFonts w:ascii="Times New Roman;serif" w:hAnsi="Times New Roman;serif"/>
          <w:b w:val="false"/>
          <w:color w:val="000000"/>
          <w:sz w:val="20"/>
        </w:rPr>
        <w:t xml:space="preserve">s products with 5,221 average monthly paying clients during the three months ended September 30, 2025 on the supply-side of our marketplace. These paying clients include retailers, brands and other client types (such as doctors). Further, these clients, who can choose to purchase multiple listings solutions for each business, had purchased approximately 8,400 active listing pages as of September 30, 2025.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sell our Weedmaps for Business suite in the United States and have a limited number of non-monetized listings in several other countries including Austria, Canada, Germany, the Netherlands, Spain, Switzerland, and Uruguay. We operate in the United States, Canada and other foreign jurisdictions where medical and/or adult cannabis use is legal under state or national law. As of September 30, 2025, we actively operated in over 35 U.S. states and territories that have adult-use and/or medical-use regulations in place. Substantially all of our revenue was generated in the United States during the periods presented. We define actively operated markets as those U.S. states or territories with greater than $1,000 monthly revenue.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monetize new solutions to extend the functionality of our platform. These investments serve to deepen the consumer experience with our platform and continue to provide a high level of support to our business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Key Operating and Financial Metrics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monitor the following key financial and operational metrics to evaluate our business, measure our performance, identify trends affecting our business, formulate business plans, and make strategic decisions. The following table summarize our financial performance for three and nine months ended September 30, 2025 compared to our financial performance for the same periods in 2024. For a detailed discussion of our results of operations, see “Results of Operations” below.</w:t>
      </w:r>
    </w:p>
    <w:tbl>
      <w:tblPr>
        <w:tblW w:w="10205" w:type="dxa"/>
        <w:jc w:val="left"/>
        <w:tblInd w:w="0" w:type="dxa"/>
        <w:tblLayout w:type="fixed"/>
        <w:tblCellMar>
          <w:top w:w="28" w:type="dxa"/>
          <w:left w:w="28" w:type="dxa"/>
          <w:bottom w:w="28" w:type="dxa"/>
          <w:right w:w="28" w:type="dxa"/>
        </w:tblCellMar>
      </w:tblPr>
      <w:tblGrid>
        <w:gridCol w:w="1362"/>
        <w:gridCol w:w="1194"/>
        <w:gridCol w:w="1204"/>
        <w:gridCol w:w="270"/>
        <w:gridCol w:w="925"/>
        <w:gridCol w:w="139"/>
        <w:gridCol w:w="139"/>
        <w:gridCol w:w="139"/>
        <w:gridCol w:w="139"/>
        <w:gridCol w:w="270"/>
        <w:gridCol w:w="925"/>
        <w:gridCol w:w="139"/>
        <w:gridCol w:w="109"/>
        <w:gridCol w:w="109"/>
        <w:gridCol w:w="109"/>
        <w:gridCol w:w="239"/>
        <w:gridCol w:w="939"/>
        <w:gridCol w:w="123"/>
        <w:gridCol w:w="123"/>
        <w:gridCol w:w="123"/>
        <w:gridCol w:w="123"/>
        <w:gridCol w:w="239"/>
        <w:gridCol w:w="939"/>
        <w:gridCol w:w="185"/>
      </w:tblGrid>
      <w:tr>
        <w:trPr/>
        <w:tc>
          <w:tcPr>
            <w:tcW w:w="1362"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(dollars in thousands, except for revenues per paying client)</w:t>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88" w:before="80" w:after="283"/>
              <w:jc w:val="left"/>
              <w:rPr/>
            </w:pPr>
            <w:r>
              <w:rPr>
                <w:rFonts w:ascii="Times New Roman;serif" w:hAnsi="Times New Roman;serif"/>
                <w:b w:val="false"/>
                <w:color w:val="000000"/>
                <w:sz w:val="20"/>
              </w:rPr>
              <w:t>EBITDA</w:t>
            </w:r>
            <w:r>
              <w:rPr>
                <w:rFonts w:ascii="Times New Roman;serif" w:hAnsi="Times New Roman;serif"/>
                <w:b w:val="false"/>
                <w:color w:val="000000"/>
                <w:sz w:val="13"/>
              </w:rPr>
              <w:t>(1)</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88" w:before="80" w:after="283"/>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88" w:before="80" w:after="283"/>
              <w:jc w:val="left"/>
              <w:rPr/>
            </w:pPr>
            <w:r>
              <w:rPr>
                <w:rFonts w:ascii="Times New Roman;serif" w:hAnsi="Times New Roman;serif"/>
                <w:b w:val="false"/>
                <w:color w:val="000000"/>
                <w:sz w:val="20"/>
              </w:rPr>
              <w:t>Average monthly revenues per paying client</w:t>
            </w:r>
            <w:r>
              <w:rPr>
                <w:rFonts w:ascii="Times New Roman;serif" w:hAnsi="Times New Roman;serif"/>
                <w:b w:val="false"/>
                <w:color w:val="000000"/>
                <w:sz w:val="13"/>
              </w:rPr>
              <w:t>(2)</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20"/>
              </w:rPr>
              <w:t>Average monthly paying clients</w:t>
            </w:r>
            <w:r>
              <w:rPr>
                <w:rFonts w:ascii="Times New Roman;serif" w:hAnsi="Times New Roman;serif"/>
                <w:b w:val="false"/>
                <w:color w:val="000000"/>
                <w:sz w:val="13"/>
              </w:rPr>
              <w:t>(3)</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(1)For further information about how we calculate EBITDA and Adjusted EBITDA as well as limitations of its use and a reconciliation of EBITDA and Adjusted EBITDA to net income, see “Net income to EBITDA and Adjusted EBITDA” in Non-GAAP Financial Measurements below.</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(2)Average monthly revenues per paying client is defined as the average monthly revenues for any particular period divided by the average monthly paying clients in the same respective period. Average monthly revenues per paying client is calculated in the same manner as our previously-reported “Average monthly net revenue per paying client,” and the description of the metric is being updated solely because we changed the reporting line item from “Net revenues” to “Revenue”. For additional information, see “Basis of Presentation” and “Revenue Recognition” of Note 2. “Summary of Significant Accounting Policies,” of the consolidated financial statements included in our Annual Report on Form 10-K for the year ended December 31, 2024 filed with the SEC on March 13,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(3)Average monthly paying clients are defined as the average of the number of paying clients billed in a month across a particular period (and for which services were provided).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Average Monthly Revenues Per Paying Client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Average monthly revenues per paying client measures how much clients, for the period of measurement, are willing to pay us for our subscription and additional offerings and the efficiency of the bid-auction process for our featured listings placements (“Featured Listings”). We calculate this metric by dividing the average monthly revenues for any particular period by the average monthly number of paying clients in the same respective period. The decrease in our average monthly revenues per paying client for the three and nine months ended September 30, 2025 compared to the same periods in 2024 was primarily due to spend declines in established markets driven by continued industry challenges, such as price deflation and ongoing consolidation. In addition, new clients acquired across certain markets had lower levels of average spend. </w:t>
      </w:r>
    </w:p>
    <w:p>
      <w:pPr>
        <w:pStyle w:val="TextBody"/>
        <w:bidi w:val="0"/>
        <w:spacing w:before="0" w:after="0"/>
        <w:jc w:val="left"/>
        <w:rPr/>
      </w:pPr>
      <w:r>
        <w:rPr/>
      </w:r>
    </w:p>
    <w:tbl>
      <w:tblPr>
        <w:tblW w:w="10204" w:type="dxa"/>
        <w:jc w:val="left"/>
        <w:tblInd w:w="0" w:type="dxa"/>
        <w:tblLayout w:type="fixed"/>
        <w:tblCellMar>
          <w:top w:w="28" w:type="dxa"/>
          <w:left w:w="28" w:type="dxa"/>
          <w:bottom w:w="28" w:type="dxa"/>
          <w:right w:w="28" w:type="dxa"/>
        </w:tblCellMar>
      </w:tblPr>
      <w:tblGrid>
        <w:gridCol w:w="1345"/>
        <w:gridCol w:w="1185"/>
        <w:gridCol w:w="1190"/>
        <w:gridCol w:w="299"/>
        <w:gridCol w:w="874"/>
        <w:gridCol w:w="154"/>
        <w:gridCol w:w="154"/>
        <w:gridCol w:w="154"/>
        <w:gridCol w:w="154"/>
        <w:gridCol w:w="299"/>
        <w:gridCol w:w="874"/>
        <w:gridCol w:w="154"/>
        <w:gridCol w:w="109"/>
        <w:gridCol w:w="109"/>
        <w:gridCol w:w="109"/>
        <w:gridCol w:w="286"/>
        <w:gridCol w:w="836"/>
        <w:gridCol w:w="147"/>
        <w:gridCol w:w="147"/>
        <w:gridCol w:w="147"/>
        <w:gridCol w:w="147"/>
        <w:gridCol w:w="286"/>
        <w:gridCol w:w="836"/>
        <w:gridCol w:w="209"/>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revenues per paying client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Average Monthly Paying Clients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Average monthly paying clients for the three months ended September 30, 2025 increased 2% to 5,221 average monthly paying clients from 5,100 average monthly paying clients in the same period in 2024. Average monthly paying clients for the nine months ended September 30, 2025 increased 4% to 5,214 average monthly paying clients from 5,027 average monthly paying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clients in the same period in 2024. The increase in average monthly paying clients compared to the same period in 2024 was primarily due to new client acquisitions across certain developing markets, partially offset by a churn in more established markets.</w:t>
      </w:r>
    </w:p>
    <w:tbl>
      <w:tblPr>
        <w:tblW w:w="9215" w:type="dxa"/>
        <w:jc w:val="left"/>
        <w:tblInd w:w="0" w:type="dxa"/>
        <w:tblLayout w:type="fixed"/>
        <w:tblCellMar>
          <w:top w:w="28" w:type="dxa"/>
          <w:left w:w="28" w:type="dxa"/>
          <w:bottom w:w="28" w:type="dxa"/>
          <w:right w:w="28" w:type="dxa"/>
        </w:tblCellMar>
      </w:tblPr>
      <w:tblGrid>
        <w:gridCol w:w="990"/>
        <w:gridCol w:w="868"/>
        <w:gridCol w:w="872"/>
        <w:gridCol w:w="344"/>
        <w:gridCol w:w="344"/>
        <w:gridCol w:w="344"/>
        <w:gridCol w:w="344"/>
        <w:gridCol w:w="344"/>
        <w:gridCol w:w="344"/>
        <w:gridCol w:w="344"/>
        <w:gridCol w:w="344"/>
        <w:gridCol w:w="366"/>
        <w:gridCol w:w="109"/>
        <w:gridCol w:w="109"/>
        <w:gridCol w:w="109"/>
        <w:gridCol w:w="321"/>
        <w:gridCol w:w="321"/>
        <w:gridCol w:w="321"/>
        <w:gridCol w:w="321"/>
        <w:gridCol w:w="321"/>
        <w:gridCol w:w="321"/>
        <w:gridCol w:w="321"/>
        <w:gridCol w:w="321"/>
        <w:gridCol w:w="472"/>
      </w:tblGrid>
      <w:tr>
        <w:trPr/>
        <w:tc>
          <w:tcPr>
            <w:tcW w:w="99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paying clients</w:t>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Net Income to EBITDA and Adjusted EBITDA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financial statements, including net income, are prepared in accordance with GAAP. For more information regarding the components within our net income, see “Components of Our Results of Operations” below.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income for the three months ended September 30, 2025 and 2024 was $3.6 million and $5.3 million, respectively. The decrease in net income was primarily due to a decrease in revenue of $4.4 million and change in fair value of warrant liability of $1.0 million, partially offset by a decrease in total costs and expenses of $1.1 million, change in tax receivable agreement (“TRA”) liability of $2.1 million and an increase in other income of $0.4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income for the nine months ended September 30, 2025 and 2024 was $8.3 million and $8.5 million, respectively. The decrease in net income was primarily due to a decrease in revenue of $5.2 million and change in fair value of warrant liability of $0.2 million, partially offset by a decrease in total costs and expenses of $1.6 million, change in TRA liability of $1.9 million and an increase in other income of $1.6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provide investors with additional information regarding our financial results, we have disclosed EBITDA and Adjusted EBITDA, both of which are non-GAAP financial measures that we calculate as net income before interest, taxes and depreciation and amortization expense in the case of EBITDA and further adjusted to exclude stock-based compensation, change in fair value of warrant liability, legal settlements and other legal costs, asset impairment charges, change in the TRA liability and other non-cash, unusual and/or infrequent costs in the case of Adjusted EBITDA. Below we have provided a reconciliation of net income (the most directly comparable GAAP financial measure) to EBITDA; and from EBITDA to Adjusted EBITDA.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pStyle w:val="TextBody"/>
        <w:bidi w:val="0"/>
        <w:spacing w:lineRule="auto" w:line="288" w:before="120" w:after="60"/>
        <w:ind w:left="0" w:right="0" w:hanging="360"/>
        <w:jc w:val="both"/>
        <w:rPr/>
      </w:pPr>
      <w:r>
        <w:rPr>
          <w:color w:val="000000"/>
        </w:rPr>
        <w:t>•</w:t>
      </w:r>
      <w:r>
        <w:rPr>
          <w:rFonts w:ascii="Times New Roman;serif" w:hAnsi="Times New Roman;serif"/>
          <w:b w:val="false"/>
          <w:color w:val="000000"/>
          <w:sz w:val="20"/>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EBITDA and Adjusted EBITDA do not reflect changes in, or cash requirements for, our working capital needs;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EBITDA and Adjusted EBITDA do not reflect tax payments that may represent a reduction in cash available to 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of these limitations, you should consider EBITDA and Adjusted EBITDA alongside other financial performance measures, including net income and our other GAAP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reconciliation of net income to non-GAAP EBITDA and Adjusted EBITDA is as follows:</w:t>
      </w:r>
    </w:p>
    <w:tbl>
      <w:tblPr>
        <w:tblW w:w="10205" w:type="dxa"/>
        <w:jc w:val="left"/>
        <w:tblInd w:w="0" w:type="dxa"/>
        <w:tblLayout w:type="fixed"/>
        <w:tblCellMar>
          <w:top w:w="28" w:type="dxa"/>
          <w:left w:w="28" w:type="dxa"/>
          <w:bottom w:w="28" w:type="dxa"/>
          <w:right w:w="28" w:type="dxa"/>
        </w:tblCellMar>
      </w:tblPr>
      <w:tblGrid>
        <w:gridCol w:w="1369"/>
        <w:gridCol w:w="1190"/>
        <w:gridCol w:w="1198"/>
        <w:gridCol w:w="283"/>
        <w:gridCol w:w="828"/>
        <w:gridCol w:w="146"/>
        <w:gridCol w:w="146"/>
        <w:gridCol w:w="146"/>
        <w:gridCol w:w="146"/>
        <w:gridCol w:w="283"/>
        <w:gridCol w:w="969"/>
        <w:gridCol w:w="146"/>
        <w:gridCol w:w="109"/>
        <w:gridCol w:w="109"/>
        <w:gridCol w:w="109"/>
        <w:gridCol w:w="259"/>
        <w:gridCol w:w="889"/>
        <w:gridCol w:w="134"/>
        <w:gridCol w:w="134"/>
        <w:gridCol w:w="134"/>
        <w:gridCol w:w="134"/>
        <w:gridCol w:w="259"/>
        <w:gridCol w:w="889"/>
        <w:gridCol w:w="196"/>
      </w:tblGrid>
      <w:tr>
        <w:trPr/>
        <w:tc>
          <w:tcPr>
            <w:tcW w:w="136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Legal costs and other non-recurring charges</w:t>
            </w:r>
            <w:r>
              <w:rPr>
                <w:rFonts w:ascii="Times New Roman;serif" w:hAnsi="Times New Roman;serif"/>
                <w:b w:val="false"/>
                <w:color w:val="000000"/>
                <w:sz w:val="13"/>
              </w:rPr>
              <w:t>(1)</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Reduction in force (recovery) expense</w:t>
            </w:r>
            <w:r>
              <w:rPr>
                <w:rFonts w:ascii="Times New Roman;serif" w:hAnsi="Times New Roman;serif"/>
                <w:b w:val="false"/>
                <w:color w:val="000000"/>
                <w:sz w:val="13"/>
              </w:rPr>
              <w:t>(2)</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contingency</w:t>
            </w:r>
            <w:r>
              <w:rPr>
                <w:rFonts w:ascii="Times New Roman;serif" w:hAnsi="Times New Roman;serif"/>
                <w:b w:val="false"/>
                <w:color w:val="000000"/>
                <w:sz w:val="13"/>
              </w:rPr>
              <w:t>(3)</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7,559 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11,312 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29,421 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90"/>
        <w:jc w:val="both"/>
        <w:rPr/>
      </w:pPr>
      <w:r>
        <w:rPr>
          <w:rFonts w:ascii="Times New Roman;serif" w:hAnsi="Times New Roman;serif"/>
          <w:b w:val="false"/>
          <w:color w:val="000000"/>
          <w:sz w:val="12"/>
        </w:rPr>
        <w:t>1</w:t>
      </w:r>
      <w:r>
        <w:rPr>
          <w:rFonts w:ascii="Times New Roman;serif" w:hAnsi="Times New Roman;serif"/>
          <w:b w:val="false"/>
          <w:color w:val="000000"/>
          <w:sz w:val="18"/>
        </w:rPr>
        <w:t>As of September 30, 2025, includes legal and advisory fees related to among other things, ongoing litigation related to shareholder class action and derivative actions, and as of September 30, 2024, includes legal and advisory fees related to the SEC enforcement matter and SEC settlement. See Note 5, “Commitments and Contingencies” to the condensed consolidated financial statements included in this Quarterly Report for additional information.</w:t>
      </w:r>
    </w:p>
    <w:p>
      <w:pPr>
        <w:pStyle w:val="TextBody"/>
        <w:bidi w:val="0"/>
        <w:spacing w:lineRule="auto" w:line="288" w:before="60" w:after="60"/>
        <w:ind w:left="0" w:right="0" w:hanging="9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Represents severance charges included in general and administrative expense in the condensed consolidated statement of operations, related to certain reduction in force actions taken by our management. These reduction in force actions are designed to enhance operational efficiency and align resources with strategic priorities in its corporate technology and marketing divisions.</w:t>
      </w:r>
    </w:p>
    <w:p>
      <w:pPr>
        <w:pStyle w:val="TextBody"/>
        <w:bidi w:val="0"/>
        <w:spacing w:lineRule="auto" w:line="268" w:before="0" w:after="0"/>
        <w:ind w:left="0" w:right="0" w:hanging="9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Represents loss contingency related to the shortfall under the AWS minimum commitment obligation. See Note 5, “Commitments and Contingencies” to the condensed consolidated financial statements included in this Quarterly Report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Growth of Our Two-Sided Weedmaps Marketplace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Growth and Retention of Our Paying Clients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the military conflict between Russia and Ukraine and the current state of war between Israel and Hamas and the related risk of a larger regional conflict. Increasing prices in the component materials for the goods or services of our clients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Regulation and Maturation of Cannabis Markets</w:t>
      </w:r>
    </w:p>
    <w:p>
      <w:pPr>
        <w:pStyle w:val="TextBody"/>
        <w:bidi w:val="0"/>
        <w:spacing w:lineRule="auto" w:line="288" w:before="0" w:after="120"/>
        <w:jc w:val="both"/>
        <w:rPr/>
      </w:pPr>
      <w:r>
        <w:rPr>
          <w:rFonts w:ascii="Times New Roman;serif" w:hAnsi="Times New Roman;serif"/>
          <w:b w:val="false"/>
          <w:color w:val="000000"/>
          <w:sz w:val="20"/>
        </w:rPr>
        <w:t>We believe that we will have significant opportunities for greater growth as more jurisdictions legalize cannabis for medical and/or adult-use and the regulatory environment continues to develop. Currently</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forty </w:t>
      </w:r>
      <w:r>
        <w:rPr>
          <w:rFonts w:ascii="Times New Roman;serif" w:hAnsi="Times New Roman;serif"/>
          <w:b w:val="false"/>
          <w:color w:val="000000"/>
          <w:sz w:val="20"/>
          <w:shd w:fill="FFFFFF" w:val="clear"/>
        </w:rPr>
        <w:t>states, the</w:t>
      </w:r>
      <w:r>
        <w:rPr>
          <w:color w:val="000000"/>
        </w:rPr>
        <w:t xml:space="preserve"> </w:t>
      </w:r>
      <w:r>
        <w:rPr>
          <w:rFonts w:ascii="Times New Roman;serif" w:hAnsi="Times New Roman;serif"/>
          <w:b w:val="false"/>
          <w:color w:val="000000"/>
          <w:sz w:val="20"/>
        </w:rPr>
        <w:t xml:space="preserve">District of Columbia, Puerto Rico, the Virgin Islands, Guam and the Northern Mariana have legalized some form of cannabis use for certain medical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pPr>
      <w:r>
        <w:rPr>
          <w:rFonts w:ascii="Times New Roman;serif" w:hAnsi="Times New Roman;serif"/>
          <w:b w:val="false"/>
          <w:color w:val="000000"/>
          <w:sz w:val="20"/>
        </w:rPr>
        <w:t>purpose</w:t>
      </w:r>
      <w:r>
        <w:rPr>
          <w:rFonts w:ascii="Times New Roman;serif" w:hAnsi="Times New Roman;serif"/>
          <w:b w:val="false"/>
          <w:color w:val="000000"/>
          <w:sz w:val="20"/>
          <w:shd w:fill="FFFFFF" w:val="clear"/>
        </w:rPr>
        <w:t xml:space="preserve">s. </w:t>
      </w:r>
      <w:r>
        <w:rPr>
          <w:rFonts w:ascii="Times New Roman;serif" w:hAnsi="Times New Roman;serif"/>
          <w:b w:val="false"/>
          <w:color w:val="000000"/>
          <w:sz w:val="20"/>
        </w:rPr>
        <w:t>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two states continue to prohibit cannabis entirely. We intend to explore new expansion opportunities as additional jurisdictions legalize cannabis for medical or adult use and leverage our business model informed by our 16-year operating history to enter new markets.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thus allowing deduction or credit for certain expenses of cannabis business to increase our cash flow and liquidity, as well as those of many industry participants.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we compete with cannabis-focused and general two-sided marketplaces, internet search engines, delivery companies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Brand Recognition and Reputation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 Further, we have begun reinvesting in our own on-the-ground and field marketing presence and are increasing the types and cadence of client events. These events and in-store activations allow Weedmaps to engage with consumers at the point of purchase and also afford Weedmaps with the opportunity to engage directly with our clients, understand their needs and challenges and foster goodwill.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Investments in Growth</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continue to make focused organic and inorganic investments to grow our revenue and scale operations to support that growth.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operating expenses and capital expenditures fluctuate over time, we may accordingly experience short-term, negative impacts to our operating results and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120"/>
        <w:jc w:val="both"/>
        <w:rPr/>
      </w:pPr>
      <w:r>
        <w:rPr>
          <w:rFonts w:ascii="Times New Roman;serif" w:hAnsi="Times New Roman;serif"/>
          <w:b w:val="false"/>
          <w:color w:val="000000"/>
          <w:sz w:val="20"/>
          <w:shd w:fill="FFFFFF" w:val="clear"/>
        </w:rPr>
        <w:t>Our revenues are derived primarily from monthly subscriptions to Weedmaps for Bu</w:t>
      </w:r>
      <w:r>
        <w:rPr>
          <w:rFonts w:ascii="Times New Roman;serif" w:hAnsi="Times New Roman;serif"/>
          <w:b w:val="false"/>
          <w:color w:val="000000"/>
          <w:sz w:val="20"/>
        </w:rPr>
        <w:t>siness, featured and deal listings, other ad solutions and WM Dispatch. Our Weedmaps for Business subscriptions generally have one-month terms that autom</w:t>
      </w:r>
      <w:r>
        <w:rPr>
          <w:rFonts w:ascii="Times New Roman;serif" w:hAnsi="Times New Roman;serif"/>
          <w:b w:val="false"/>
          <w:color w:val="000000"/>
          <w:sz w:val="20"/>
          <w:shd w:fill="FFFFFF" w:val="clear"/>
        </w:rPr>
        <w:t>atically renew unless notice of cancellation is provided in advance. Featured and deal listings and other ad solutions are offered as add-on products to the Weedmaps for Business subscriptions. Featured and deal listings provide customers with premium placement ad solutions and discount and promotion pricing tools. Other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Costs and Expenses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cost structure has two components: cost of revenues and operating expenses. Our operating expenses include costs related to selling and marketing, product development, general and administrative functions and depreciation and amortization. Certain of our costs and expenses, including those associated with the operation of our technical infrastructure as well as components of our operating expenses, are generally less variable in nature and may not correlate to changes in revenue.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Cost of Revenues (Exclusive of Depreciation and Amortization)</w:t>
      </w:r>
    </w:p>
    <w:p>
      <w:pPr>
        <w:pStyle w:val="TextBody"/>
        <w:bidi w:val="0"/>
        <w:spacing w:lineRule="auto" w:line="288" w:before="120" w:after="120"/>
        <w:jc w:val="both"/>
        <w:rPr/>
      </w:pPr>
      <w:r>
        <w:rPr>
          <w:rFonts w:ascii="Times New Roman;serif" w:hAnsi="Times New Roman;serif"/>
          <w:b w:val="false"/>
          <w:color w:val="000000"/>
          <w:sz w:val="20"/>
        </w:rPr>
        <w:t>Cost of revenues excludes depreciation and amortization expense and primarily consists of web hosting, internet service and credit card processing costs. Cost of revenues is primarily driven by fluctuations</w:t>
      </w:r>
      <w:r>
        <w:rPr>
          <w:color w:val="000000"/>
          <w:shd w:fill="FFFFFF" w:val="clear"/>
        </w:rPr>
        <w:t xml:space="preserve"> </w:t>
      </w:r>
      <w:r>
        <w:rPr>
          <w:rFonts w:ascii="Times New Roman;serif" w:hAnsi="Times New Roman;serif"/>
          <w:b w:val="false"/>
          <w:color w:val="000000"/>
          <w:sz w:val="20"/>
          <w:shd w:fill="FFFFFF" w:val="clear"/>
        </w:rPr>
        <w:t>in revenue leading to increases or decreases in credit card processing and web hosting cost. We expect our cost of revenue to continue to increase on an a</w:t>
      </w:r>
      <w:r>
        <w:rPr>
          <w:rFonts w:ascii="Times New Roman;serif" w:hAnsi="Times New Roman;serif"/>
          <w:b w:val="false"/>
          <w:color w:val="000000"/>
          <w:sz w:val="20"/>
        </w:rPr>
        <w:t>bsolute basis and remain relatively flat as a percentage of revenue as we scale our business and inventory costs related to multi-media offerings.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Selling and Marketing Expenses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expenses consist of salaries and benefits, stock-based compensation expense, travel expense and incentive compensation for our sales and marketing employees. In addition, sales and marketing expenses include customer acquisition marketing, events cost and branding and advertising costs. Over the longer term, we expect sales and marketing expense to increase in a manner consistent with revenue growth, however, we may experience fluctuations in some periods as we enter and develop new markets or have large one-time marketing projects.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Product Development Expenses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Product development costs consist of salaries and benefits and stock-based compensation expense for employees, including engineering and technical teams who are responsible for building new products, as well as maintaining and improving existing products. Product development costs that do not meet the criteria for capitalization are expensed as incurred. Amortization expense related to capitalized software development cost is included in depreciation, amortization and asset impairment expense in the consolidated statements of operations. We believe that continued investment in our platform is important for our growth and expect our product development expenses will increase in a manner consistent with revenue growth as our operations grow.</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(recovery) for credit losses, loss contingency and professional and outside services related to legal and other consulting services. General and administrative expenses are primarily driven by headcount required to support our business and meet our obligations as a public company. We expect general and administrative expenses to decline as percentage of revenue as we scale our business and leverage investments in these areas.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Depreciation and Amortization Expenses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expenses primarily consist of depreciation on computer equipment, furniture and fixtures, leasehold improvements, capitalized software development costs and amortization of intangibles. We expect depreciation and amortization expenses to increase on an absolute basis for the foreseeable future as we scale our business.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primarily of change in fair value of warrant liability, TRA liability remeasurement, political contributions, interest income, interest expense, financing fees and other tax related expenses.</w:t>
      </w:r>
    </w:p>
    <w:p>
      <w:pPr>
        <w:pStyle w:val="TextBody"/>
        <w:bidi w:val="0"/>
        <w:spacing w:lineRule="auto" w:line="288" w:before="0" w:after="6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See Note 2, “Summary of Significant Accounting Policies” to the condensed consolidated financial statements included in this Quarterly Report for further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20"/>
        <w:jc w:val="both"/>
        <w:rPr/>
      </w:pPr>
      <w:r>
        <w:rPr>
          <w:rFonts w:ascii="Times New Roman;serif" w:hAnsi="Times New Roman;serif"/>
          <w:b w:val="false"/>
          <w:color w:val="000000"/>
          <w:sz w:val="20"/>
          <w:shd w:fill="FFFFFF" w:val="clear"/>
        </w:rPr>
        <w:t xml:space="preserve">A discussion regarding our financial condition and results of operations for the </w:t>
      </w:r>
      <w:r>
        <w:rPr>
          <w:rFonts w:ascii="Times New Roman;serif" w:hAnsi="Times New Roman;serif"/>
          <w:b w:val="false"/>
          <w:color w:val="000000"/>
          <w:sz w:val="20"/>
        </w:rPr>
        <w:t xml:space="preserve">three and nine months ended September 30, 2025 compared with the same periods in 2024 is </w:t>
      </w:r>
      <w:r>
        <w:rPr>
          <w:rFonts w:ascii="Times New Roman;serif" w:hAnsi="Times New Roman;serif"/>
          <w:b w:val="false"/>
          <w:color w:val="000000"/>
          <w:sz w:val="20"/>
          <w:shd w:fill="FFFFFF" w:val="clear"/>
        </w:rPr>
        <w:t xml:space="preserve">presented below.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 and express the relationship of certain line items as a percentage of revenues for those periods. The period-to-period comparison of financial results is not necessarily indicative of future results.</w:t>
      </w:r>
    </w:p>
    <w:tbl>
      <w:tblPr>
        <w:tblW w:w="10205" w:type="dxa"/>
        <w:jc w:val="left"/>
        <w:tblInd w:w="0" w:type="dxa"/>
        <w:tblLayout w:type="fixed"/>
        <w:tblCellMar>
          <w:top w:w="28" w:type="dxa"/>
          <w:left w:w="28" w:type="dxa"/>
          <w:bottom w:w="28" w:type="dxa"/>
          <w:right w:w="28" w:type="dxa"/>
        </w:tblCellMar>
      </w:tblPr>
      <w:tblGrid>
        <w:gridCol w:w="1701"/>
        <w:gridCol w:w="1274"/>
        <w:gridCol w:w="1283"/>
        <w:gridCol w:w="242"/>
        <w:gridCol w:w="827"/>
        <w:gridCol w:w="125"/>
        <w:gridCol w:w="125"/>
        <w:gridCol w:w="125"/>
        <w:gridCol w:w="125"/>
        <w:gridCol w:w="242"/>
        <w:gridCol w:w="827"/>
        <w:gridCol w:w="125"/>
        <w:gridCol w:w="109"/>
        <w:gridCol w:w="109"/>
        <w:gridCol w:w="109"/>
        <w:gridCol w:w="226"/>
        <w:gridCol w:w="885"/>
        <w:gridCol w:w="116"/>
        <w:gridCol w:w="116"/>
        <w:gridCol w:w="116"/>
        <w:gridCol w:w="116"/>
        <w:gridCol w:w="226"/>
        <w:gridCol w:w="885"/>
        <w:gridCol w:w="171"/>
      </w:tblGrid>
      <w:tr>
        <w:trPr/>
        <w:tc>
          <w:tcPr>
            <w:tcW w:w="170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shown separately below)</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125,060 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126,648 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WM Technology, Inc.</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53"/>
        <w:gridCol w:w="1445"/>
        <w:gridCol w:w="1456"/>
        <w:gridCol w:w="260"/>
        <w:gridCol w:w="237"/>
        <w:gridCol w:w="492"/>
        <w:gridCol w:w="197"/>
        <w:gridCol w:w="197"/>
        <w:gridCol w:w="197"/>
        <w:gridCol w:w="260"/>
        <w:gridCol w:w="237"/>
        <w:gridCol w:w="492"/>
        <w:gridCol w:w="109"/>
        <w:gridCol w:w="109"/>
        <w:gridCol w:w="109"/>
        <w:gridCol w:w="245"/>
        <w:gridCol w:w="235"/>
        <w:gridCol w:w="471"/>
        <w:gridCol w:w="189"/>
        <w:gridCol w:w="189"/>
        <w:gridCol w:w="189"/>
        <w:gridCol w:w="245"/>
        <w:gridCol w:w="235"/>
        <w:gridCol w:w="557"/>
      </w:tblGrid>
      <w:tr>
        <w:trPr/>
        <w:tc>
          <w:tcPr>
            <w:tcW w:w="185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shown separately below)</w:t>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4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WM Technology, Inc.</w:t>
            </w:r>
          </w:p>
        </w:tc>
        <w:tc>
          <w:tcPr>
            <w:tcW w:w="49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Three Months Ended September 30, 2025 and 2024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Revenues</w:t>
      </w:r>
    </w:p>
    <w:tbl>
      <w:tblPr>
        <w:tblW w:w="6346" w:type="dxa"/>
        <w:jc w:val="left"/>
        <w:tblInd w:w="0" w:type="dxa"/>
        <w:tblLayout w:type="fixed"/>
        <w:tblCellMar>
          <w:top w:w="28" w:type="dxa"/>
          <w:left w:w="28" w:type="dxa"/>
          <w:bottom w:w="28" w:type="dxa"/>
          <w:right w:w="28" w:type="dxa"/>
        </w:tblCellMar>
      </w:tblPr>
      <w:tblGrid>
        <w:gridCol w:w="332"/>
        <w:gridCol w:w="291"/>
        <w:gridCol w:w="293"/>
        <w:gridCol w:w="273"/>
        <w:gridCol w:w="934"/>
        <w:gridCol w:w="141"/>
        <w:gridCol w:w="141"/>
        <w:gridCol w:w="141"/>
        <w:gridCol w:w="141"/>
        <w:gridCol w:w="273"/>
        <w:gridCol w:w="934"/>
        <w:gridCol w:w="141"/>
        <w:gridCol w:w="109"/>
        <w:gridCol w:w="109"/>
        <w:gridCol w:w="109"/>
        <w:gridCol w:w="211"/>
        <w:gridCol w:w="691"/>
        <w:gridCol w:w="109"/>
        <w:gridCol w:w="109"/>
        <w:gridCol w:w="109"/>
        <w:gridCol w:w="109"/>
        <w:gridCol w:w="164"/>
        <w:gridCol w:w="166"/>
        <w:gridCol w:w="31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Revenues decreased by $4.4 million or 9% for the three months ended September 30, 2025 compared to the same period in 2024. The decrease was primarily due to decreases in revenues from our Featured Listing and WM Deal products of $3.7 million and our Weedmaps for Business and other SaaS solutions of $0.5 million and our other ad solutions of $0.2 million. The overall decrease in revenues from the prior year period was driven by continued headwinds across core markets, where ongoing pricing pressure continues to compress client operating margins and constrain marketing budgets.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Featured Listing and WM Deal products, Weedmaps for Business and other SaaS solutions, and other ad solutions represented approximately 61%, 31% and 8% of our total revenues,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Costs and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our total costs and expenses:</w:t>
      </w:r>
    </w:p>
    <w:tbl>
      <w:tblPr>
        <w:tblW w:w="10205" w:type="dxa"/>
        <w:jc w:val="left"/>
        <w:tblInd w:w="0" w:type="dxa"/>
        <w:tblLayout w:type="fixed"/>
        <w:tblCellMar>
          <w:top w:w="28" w:type="dxa"/>
          <w:left w:w="28" w:type="dxa"/>
          <w:bottom w:w="28" w:type="dxa"/>
          <w:right w:w="28" w:type="dxa"/>
        </w:tblCellMar>
      </w:tblPr>
      <w:tblGrid>
        <w:gridCol w:w="1914"/>
        <w:gridCol w:w="1642"/>
        <w:gridCol w:w="1647"/>
        <w:gridCol w:w="402"/>
        <w:gridCol w:w="335"/>
        <w:gridCol w:w="268"/>
        <w:gridCol w:w="268"/>
        <w:gridCol w:w="268"/>
        <w:gridCol w:w="268"/>
        <w:gridCol w:w="402"/>
        <w:gridCol w:w="335"/>
        <w:gridCol w:w="285"/>
        <w:gridCol w:w="109"/>
        <w:gridCol w:w="109"/>
        <w:gridCol w:w="109"/>
        <w:gridCol w:w="334"/>
        <w:gridCol w:w="336"/>
        <w:gridCol w:w="109"/>
        <w:gridCol w:w="109"/>
        <w:gridCol w:w="109"/>
        <w:gridCol w:w="109"/>
        <w:gridCol w:w="205"/>
        <w:gridCol w:w="210"/>
        <w:gridCol w:w="323"/>
      </w:tblGrid>
      <w:tr>
        <w:trPr/>
        <w:tc>
          <w:tcPr>
            <w:tcW w:w="1914"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5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shown separately below)</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7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40,217 </w:t>
            </w:r>
          </w:p>
        </w:tc>
        <w:tc>
          <w:tcPr>
            <w:tcW w:w="2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41,348 </w:t>
            </w:r>
          </w:p>
        </w:tc>
        <w:tc>
          <w:tcPr>
            <w:tcW w:w="2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Cost of Revenues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cost of revenues for the three months ended September 30, 2025 was flat compared to the same period in 2024.</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Sales and Marketing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sales and marketing expenses for the three months ended September 30, 2025 compared to the same period in 2024 was primarily related to increases in advertising expense of $1.4 million and outside service expense of $0.3 million, partially offset by a decrease in personnel-related costs of $0.6 million. The decrease in personnel-related costs was primarily related to decreases in bonus expense of $0.4 million and stock-based compensation expense of $0.2 million.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Product Development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product development expenses for the three months ended September 30, 2025 compared to the same period in 2024 was primarily due to decreases in personnel-related costs of $2.6 million, outside service expense of $0.4 million and other expense of $0.1 million. The decrease in personnel-related costs was primarily related to decreases in salaries and wages of $1.9 million, bonus expense of $0.1 million, vacation expense of $0.1 million and stock-based compensation expense of $0.5 million.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increase in general and administrative expenses for the three months ended September 30, 2025 compared to the same period in 2024 was primarily due to increases in salaries and wages of $0.3 million, stock-based compensation expense of $0.7 million, employee benefits of $0.1 million, provision (recovery) for credit losses of $1.2 million, software expense of $0.6 million and other expense of $0.4 million, partially offset by decreases in bonus expenses of $0.8 million, severance expense of $0.5 million, outside service expense of $0.3 million and rent expense of $0.3 million.</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decrease in depreciation and amortization expense for the three months ended September 30, 2025 compared to the same period in 2024 was primarily due to a decrease in depreciation of $0.5 million related to capitalized software development.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Other Income (Expense), net</w:t>
      </w:r>
    </w:p>
    <w:tbl>
      <w:tblPr>
        <w:tblW w:w="9330" w:type="dxa"/>
        <w:jc w:val="left"/>
        <w:tblInd w:w="0" w:type="dxa"/>
        <w:tblLayout w:type="fixed"/>
        <w:tblCellMar>
          <w:top w:w="28" w:type="dxa"/>
          <w:left w:w="28" w:type="dxa"/>
          <w:bottom w:w="28" w:type="dxa"/>
          <w:right w:w="28" w:type="dxa"/>
        </w:tblCellMar>
      </w:tblPr>
      <w:tblGrid>
        <w:gridCol w:w="1354"/>
        <w:gridCol w:w="1185"/>
        <w:gridCol w:w="1195"/>
        <w:gridCol w:w="321"/>
        <w:gridCol w:w="938"/>
        <w:gridCol w:w="166"/>
        <w:gridCol w:w="166"/>
        <w:gridCol w:w="166"/>
        <w:gridCol w:w="166"/>
        <w:gridCol w:w="321"/>
        <w:gridCol w:w="709"/>
        <w:gridCol w:w="166"/>
        <w:gridCol w:w="109"/>
        <w:gridCol w:w="109"/>
        <w:gridCol w:w="109"/>
        <w:gridCol w:w="211"/>
        <w:gridCol w:w="616"/>
        <w:gridCol w:w="109"/>
        <w:gridCol w:w="109"/>
        <w:gridCol w:w="109"/>
        <w:gridCol w:w="109"/>
        <w:gridCol w:w="284"/>
        <w:gridCol w:w="287"/>
        <w:gridCol w:w="316"/>
      </w:tblGrid>
      <w:tr>
        <w:trPr/>
        <w:tc>
          <w:tcPr>
            <w:tcW w:w="135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increase in other income (expense), net for the three months ended September 30, 2025 compared to the same period in 2024 was primarily due to an increase in net interest income of $0.2 million, a decrease in other expense of $0.2 million and changes in TRA liability of $2.1 million, partially offset by changes in fair value of warrant liability of $1.0 million.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7379" w:type="dxa"/>
        <w:jc w:val="left"/>
        <w:tblInd w:w="0" w:type="dxa"/>
        <w:tblLayout w:type="fixed"/>
        <w:tblCellMar>
          <w:top w:w="28" w:type="dxa"/>
          <w:left w:w="28" w:type="dxa"/>
          <w:bottom w:w="28" w:type="dxa"/>
          <w:right w:w="28" w:type="dxa"/>
        </w:tblCellMar>
      </w:tblPr>
      <w:tblGrid>
        <w:gridCol w:w="825"/>
        <w:gridCol w:w="726"/>
        <w:gridCol w:w="729"/>
        <w:gridCol w:w="389"/>
        <w:gridCol w:w="667"/>
        <w:gridCol w:w="201"/>
        <w:gridCol w:w="201"/>
        <w:gridCol w:w="201"/>
        <w:gridCol w:w="201"/>
        <w:gridCol w:w="389"/>
        <w:gridCol w:w="667"/>
        <w:gridCol w:w="201"/>
        <w:gridCol w:w="109"/>
        <w:gridCol w:w="109"/>
        <w:gridCol w:w="109"/>
        <w:gridCol w:w="211"/>
        <w:gridCol w:w="331"/>
        <w:gridCol w:w="109"/>
        <w:gridCol w:w="109"/>
        <w:gridCol w:w="109"/>
        <w:gridCol w:w="109"/>
        <w:gridCol w:w="180"/>
        <w:gridCol w:w="181"/>
        <w:gridCol w:w="316"/>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and 2024, we recorded less than $0.1 million in income tax provisions due to the impact of the full valuation allowance on its net deferred assets. See Note 2, “Summary of Significant Accounting Policies—Income Taxes,” to the condensed consolidated financial statements included in this Quarterly Report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Comparison of Nine Months Ended September 30, 2025 and 2024</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Revenues</w:t>
      </w:r>
    </w:p>
    <w:tbl>
      <w:tblPr>
        <w:tblW w:w="6221" w:type="dxa"/>
        <w:jc w:val="left"/>
        <w:tblInd w:w="0" w:type="dxa"/>
        <w:tblLayout w:type="fixed"/>
        <w:tblCellMar>
          <w:top w:w="28" w:type="dxa"/>
          <w:left w:w="28" w:type="dxa"/>
          <w:bottom w:w="28" w:type="dxa"/>
          <w:right w:w="28" w:type="dxa"/>
        </w:tblCellMar>
      </w:tblPr>
      <w:tblGrid>
        <w:gridCol w:w="332"/>
        <w:gridCol w:w="291"/>
        <w:gridCol w:w="293"/>
        <w:gridCol w:w="241"/>
        <w:gridCol w:w="946"/>
        <w:gridCol w:w="124"/>
        <w:gridCol w:w="124"/>
        <w:gridCol w:w="124"/>
        <w:gridCol w:w="124"/>
        <w:gridCol w:w="241"/>
        <w:gridCol w:w="946"/>
        <w:gridCol w:w="124"/>
        <w:gridCol w:w="109"/>
        <w:gridCol w:w="109"/>
        <w:gridCol w:w="109"/>
        <w:gridCol w:w="211"/>
        <w:gridCol w:w="691"/>
        <w:gridCol w:w="109"/>
        <w:gridCol w:w="109"/>
        <w:gridCol w:w="109"/>
        <w:gridCol w:w="109"/>
        <w:gridCol w:w="164"/>
        <w:gridCol w:w="166"/>
        <w:gridCol w:w="31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131,635 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Revenues deceased by $5.2 million, or 4%, for the nine months ended September 30, 2025 compared to the same period in 2024. The decrease was primarily due to a decrease in revenues from our Featured Listing and WM Deal products of $6.0 million and our Weedmaps for Business and other SaaS solutions of $0.2 million, partially offset by an increase in revenues from other ad solutions of $1.0 million. The overall decrease in revenues from the prior year period was driven by continued headwinds across core markets, where ongoing pricing pressure continues to compress client operating margins and constrain marketing budgets.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nine months ended September 30, 2025, Featured Listing and WM Deal products, Weedmaps for Business and other SaaS solution, and other ad solutions represented approximately 61%, 30% and 9% of our total revenues, respectively.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Costs and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our total costs and expenses:</w:t>
      </w:r>
    </w:p>
    <w:tbl>
      <w:tblPr>
        <w:tblW w:w="10205" w:type="dxa"/>
        <w:jc w:val="left"/>
        <w:tblInd w:w="0" w:type="dxa"/>
        <w:tblLayout w:type="fixed"/>
        <w:tblCellMar>
          <w:top w:w="28" w:type="dxa"/>
          <w:left w:w="28" w:type="dxa"/>
          <w:bottom w:w="28" w:type="dxa"/>
          <w:right w:w="28" w:type="dxa"/>
        </w:tblCellMar>
      </w:tblPr>
      <w:tblGrid>
        <w:gridCol w:w="1902"/>
        <w:gridCol w:w="1631"/>
        <w:gridCol w:w="1636"/>
        <w:gridCol w:w="231"/>
        <w:gridCol w:w="906"/>
        <w:gridCol w:w="119"/>
        <w:gridCol w:w="119"/>
        <w:gridCol w:w="119"/>
        <w:gridCol w:w="119"/>
        <w:gridCol w:w="231"/>
        <w:gridCol w:w="906"/>
        <w:gridCol w:w="119"/>
        <w:gridCol w:w="109"/>
        <w:gridCol w:w="109"/>
        <w:gridCol w:w="109"/>
        <w:gridCol w:w="334"/>
        <w:gridCol w:w="336"/>
        <w:gridCol w:w="109"/>
        <w:gridCol w:w="109"/>
        <w:gridCol w:w="109"/>
        <w:gridCol w:w="109"/>
        <w:gridCol w:w="206"/>
        <w:gridCol w:w="209"/>
        <w:gridCol w:w="319"/>
      </w:tblGrid>
      <w:tr>
        <w:trPr/>
        <w:tc>
          <w:tcPr>
            <w:tcW w:w="190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5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5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5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shown separately below)</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125,060 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126,648 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Cost of Revenues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cost of revenues for the nine months ended September 30, 2025 was flat compared to the same period in 2024.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Sales and Marketing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sales and marketing expenses for the nine months ended September 30, 2025 compared to the same period in 2024 was primarily related to decreases in advertising expense of $1.3 million and personnel-related costs of $0.9 million, partially offset by an increase in outside service expense of $0.4 million and other expense of $0.1 million. The decrease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personnel-related costs was primarily related to decreases in salaries and wages of $0.1 million, bonus expense of $0.2 million, payroll tax expense of $0.2 million and stock-based compensation expense of $0.4 million.</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Product Development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decrease in product development expenses for the nine months ended September 30, 2025 compared to the same period in 2024 was primarily due to decreases in personnel-related costs of $5.9 million, outside service expense of $0.4 million and other expense of $0.1 million. The decrease in personnel-related costs was primarily related to decreases in salaries and wages of $3.6 million, bonus expense of $0.7 million, vacation expense of $0.1 million, payroll tax expense of $0.4 million and stock-based compensation expense of $1.1 million.</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increase in general and administrative expenses for the nine months ended September 30, 2025 compared to the same period in 2024 was primarily due to increases in salaries and wages of $1.1 million, vacation expense of $0.1 million, stock-based compensation expense of $0.7 million, employee benefits of $0.6 million, outside service expense of $0.3 million, other expense of $2.7 million, provision (recovery) for credit losses of $2.9 million and software expense of $1.3 million, partially offset by decreases in bonus expense of $0.5 million, payroll tax expense of $0.1 million, severance expense of $0.1 million, SEC settlement of $1.5 million and rent expense of $1.1 million. The increase in other expense was primarily due to $2.3 million in loss contingency related to the shortfall under the AWS minimum commitment obligation. See Note 5, “Commitments and Contingencies” to the condensed consolidated financial statements included in this Quarterly Report for additional information.</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increase in depreciation and amortization expense for the nine months ended September 30, 2025 compared to the same period in 2024 was primarily due to an increase in depreciation of $0.2 million primary related to capitalized software development.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Other Income (Expense), net</w:t>
      </w:r>
    </w:p>
    <w:tbl>
      <w:tblPr>
        <w:tblW w:w="9174" w:type="dxa"/>
        <w:jc w:val="left"/>
        <w:tblInd w:w="0" w:type="dxa"/>
        <w:tblLayout w:type="fixed"/>
        <w:tblCellMar>
          <w:top w:w="28" w:type="dxa"/>
          <w:left w:w="28" w:type="dxa"/>
          <w:bottom w:w="28" w:type="dxa"/>
          <w:right w:w="28" w:type="dxa"/>
        </w:tblCellMar>
      </w:tblPr>
      <w:tblGrid>
        <w:gridCol w:w="1354"/>
        <w:gridCol w:w="1185"/>
        <w:gridCol w:w="1195"/>
        <w:gridCol w:w="278"/>
        <w:gridCol w:w="812"/>
        <w:gridCol w:w="143"/>
        <w:gridCol w:w="143"/>
        <w:gridCol w:w="143"/>
        <w:gridCol w:w="143"/>
        <w:gridCol w:w="278"/>
        <w:gridCol w:w="911"/>
        <w:gridCol w:w="143"/>
        <w:gridCol w:w="109"/>
        <w:gridCol w:w="109"/>
        <w:gridCol w:w="109"/>
        <w:gridCol w:w="211"/>
        <w:gridCol w:w="616"/>
        <w:gridCol w:w="109"/>
        <w:gridCol w:w="109"/>
        <w:gridCol w:w="109"/>
        <w:gridCol w:w="109"/>
        <w:gridCol w:w="269"/>
        <w:gridCol w:w="271"/>
        <w:gridCol w:w="316"/>
      </w:tblGrid>
      <w:tr>
        <w:trPr/>
        <w:tc>
          <w:tcPr>
            <w:tcW w:w="135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w:t>
            </w:r>
          </w:p>
        </w:tc>
        <w:tc>
          <w:tcPr>
            <w:tcW w:w="1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3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other income (expense), net was primarily due to an increase in net interest income of $1.0 million, a decrease in property and other taxes of $0.7 million, change in TRA liability of $1.9 million, partially offset by favorable changes in fair value of warrant liability of $0.2 million.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7437" w:type="dxa"/>
        <w:jc w:val="left"/>
        <w:tblInd w:w="0" w:type="dxa"/>
        <w:tblLayout w:type="fixed"/>
        <w:tblCellMar>
          <w:top w:w="28" w:type="dxa"/>
          <w:left w:w="28" w:type="dxa"/>
          <w:bottom w:w="28" w:type="dxa"/>
          <w:right w:w="28" w:type="dxa"/>
        </w:tblCellMar>
      </w:tblPr>
      <w:tblGrid>
        <w:gridCol w:w="825"/>
        <w:gridCol w:w="726"/>
        <w:gridCol w:w="729"/>
        <w:gridCol w:w="374"/>
        <w:gridCol w:w="641"/>
        <w:gridCol w:w="193"/>
        <w:gridCol w:w="193"/>
        <w:gridCol w:w="193"/>
        <w:gridCol w:w="193"/>
        <w:gridCol w:w="374"/>
        <w:gridCol w:w="641"/>
        <w:gridCol w:w="193"/>
        <w:gridCol w:w="109"/>
        <w:gridCol w:w="109"/>
        <w:gridCol w:w="109"/>
        <w:gridCol w:w="211"/>
        <w:gridCol w:w="436"/>
        <w:gridCol w:w="109"/>
        <w:gridCol w:w="109"/>
        <w:gridCol w:w="109"/>
        <w:gridCol w:w="109"/>
        <w:gridCol w:w="218"/>
        <w:gridCol w:w="218"/>
        <w:gridCol w:w="316"/>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and 2024, we recorded less than $0.1 million in income tax provisions due to the impact of the full valuation allowance on its net deferred assets. See Note 2, “Summary of Significant Accounting Policies—Income Taxes,” to the condensed consolidated financial statements included in this Quarterly Report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0" w:after="120"/>
        <w:jc w:val="both"/>
        <w:rPr/>
      </w:pPr>
      <w:r>
        <w:rPr>
          <w:rFonts w:ascii="Times New Roman;serif" w:hAnsi="Times New Roman;serif"/>
          <w:b w:val="false"/>
          <w:color w:val="000000"/>
          <w:sz w:val="20"/>
        </w:rPr>
        <w:t>The cannabis industry has certain industry holidays that in recent years have resulted in increased purchases by cannabis consumers. Such “holidays” include, but are not limited to April 20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(420), and the day before Thanksgiving (Green Wednesday).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which in turn can impact the revenue generated from them. Our business may become more seasonal in the future and historical patterns in our business may not be a reliable indicator of future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show our cash, accounts receivable and working capital as of the dates indicated:</w:t>
      </w:r>
    </w:p>
    <w:tbl>
      <w:tblPr>
        <w:tblW w:w="5980" w:type="dxa"/>
        <w:jc w:val="left"/>
        <w:tblInd w:w="0" w:type="dxa"/>
        <w:tblLayout w:type="fixed"/>
        <w:tblCellMar>
          <w:top w:w="28" w:type="dxa"/>
          <w:left w:w="28" w:type="dxa"/>
          <w:bottom w:w="28" w:type="dxa"/>
          <w:right w:w="28" w:type="dxa"/>
        </w:tblCellMar>
      </w:tblPr>
      <w:tblGrid>
        <w:gridCol w:w="763"/>
        <w:gridCol w:w="670"/>
        <w:gridCol w:w="681"/>
        <w:gridCol w:w="358"/>
        <w:gridCol w:w="1226"/>
        <w:gridCol w:w="185"/>
        <w:gridCol w:w="109"/>
        <w:gridCol w:w="109"/>
        <w:gridCol w:w="109"/>
        <w:gridCol w:w="344"/>
        <w:gridCol w:w="1175"/>
        <w:gridCol w:w="251"/>
      </w:tblGrid>
      <w:tr>
        <w:trPr/>
        <w:tc>
          <w:tcPr>
            <w:tcW w:w="7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we had cash of $62.6 million and $52.0 million, respectively. Our funds are being used for funding our current operations and potential strategic acquisitions in the future. We also intend to increase our capital expenditures to support the organic growth in our business and operations. We expect to fund our short-term and long-term liquidity requirements from cash and working capital on hand at September 30, 2025,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primarily finance our operations and capital expenditures through cash flows generated by operations. 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Cash Flows</w:t>
      </w:r>
    </w:p>
    <w:tbl>
      <w:tblPr>
        <w:tblW w:w="6506" w:type="dxa"/>
        <w:jc w:val="left"/>
        <w:tblInd w:w="0" w:type="dxa"/>
        <w:tblLayout w:type="fixed"/>
        <w:tblCellMar>
          <w:top w:w="28" w:type="dxa"/>
          <w:left w:w="28" w:type="dxa"/>
          <w:bottom w:w="28" w:type="dxa"/>
          <w:right w:w="28" w:type="dxa"/>
        </w:tblCellMar>
      </w:tblPr>
      <w:tblGrid>
        <w:gridCol w:w="1254"/>
        <w:gridCol w:w="1104"/>
        <w:gridCol w:w="1107"/>
        <w:gridCol w:w="261"/>
        <w:gridCol w:w="894"/>
        <w:gridCol w:w="135"/>
        <w:gridCol w:w="135"/>
        <w:gridCol w:w="135"/>
        <w:gridCol w:w="135"/>
        <w:gridCol w:w="261"/>
        <w:gridCol w:w="894"/>
        <w:gridCol w:w="191"/>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Net Cash Provided by Operating Activities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Cash from operating activities consists primarily of net income adjusted for certain non-cash items, including depreciation and amortization, change in fair value of warrant liability, change in TRA liability, amortization of right-of-use lease assets, stock-based compensation, provision (recovery) for credit losses and the effect of changes in working capital.</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is affected by changes in operating assets, such as accounts receivable which, is impacted by the timing of customer billings and related collections from our customers. In 2024, operating cash flow increased due to a focused effort on collecting significant outstanding accounts receivable. At the end of 2023, we had significant past due accounts, and we were successful with collecting the majority of them in 2024. This resulted in a higher-than-normal cash influx that is not expected to recur in 2025. Net cash provided by operating activities is also impacted by effects of changes in operating liabilities such as accounts payable and accrued expenses due to timing of payments; accrued personnel costs which are impacted by employee performance targets and the timing of payments related to employee bonus incentives.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for the nine months ended September 30, 2025 was $23.1 million, which resulted from a net income of $8.3 million, together with net cash outflows of $7.7 million from changes in operating assets and liabilities, and non-cash items of $22.6 million, consisting of depreciation and amortization of $9.8 million, amortization of right-of-use lease assets of $1.9 million, stock-based compensation of $6.4 million, loss contingency of $2.3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provision for credit losses, net of recoveries of $2.6 million, partially offset by change in TRA liability of $0.5 million. Net cash outflows from changes in operating assets and liabilities was primarily due to an increase in accounts receivable of $3.3 million, an increase in prepaid expenses and other current assets of $0.8 million, a decrease in accounts payable and accrued expenses of $1.2 million, a decrease in deferred revenue of $0.3 million and a decrease in operating lease liabilities of $2.7 million, partially offset by a decrease in other assets of $0.5 million. The changes in operating assets and liabilities are mostly due to fluctuations in timing of cash receipts and payments.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nine months ended September 30, 2024 was $27.3 million, which resulted from net income of $8.5 million, together with net cash outflows of $2.2 million from changes in operating assets and liabilities, and non-cash items of $21.1 million, consisting of depreciation and amortization of $9.6 million, change in TRA liability of $1.5 million, amortization of right-of-use lease assets of $3.3 million, stock-based compensation of $7.2 million, partially offset by change in fair value of warrant liability of $0.2 million, gain on lease termination of $0.1 million, provision for credit losses, net of recoveries of $0.3 million. Net cash outflows from changes in operating assets and liabilities were primarily due to an increase in prepaid expenses and other current assets of $0.4 million, a decrease in accounts payables and accrued expenses of $1.2 million, a decrease in deferred revenue of $0.2 million and a decrease in operating lease liabilities of $5.0 million, partially offset by a decrease in accounts receivables of $3.5 million and a decrease in other assets of $1.0 million. The changes in operating assets and liabilities are mostly due to fluctuations in timing of cash receipts and payments.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Net Cash Used in Investing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nine months ended September 30, 2025 was $9.4 million, which resulted from $9.4 million cash paid for capital expenditures which includes purchases of property and equipment, including certain capitalized software development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nine months ended September 30, 2024 was $9.5 million, which resulted from $9.5 million cash paid for capital expenditures which includes purchases of property and equipment, including certain capitalized software development costs.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Net Cash Used in Financing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cash outflows from financing activities for the nine months ended September 30, 2025 was $3.2 million, which primarily consists of $1.9 million in distributions payments to members of WMH LLC and $1.4 million in TRA payments, partially offset by $0.2 million in proceeds from collection of related party note receivable.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outflows from financing activities for nine months ended September 30, 2024 was $7.1 million, which primarily consists $7.3 million in distributions payments to members of WMH LLC and $0.1 million in TRA payments, partially offset by $0.3 million in proceeds from collection of related party note receivable.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no significant changes to our critical accounting policies and estimates from those disclosed in “Part I. Item 7. Management’s Discussion and Analysis of Financial Condition and Results of Operations” in our Annual Report on Form 10-K for the year ended December 31, 2024 that was filed with the SEC on March 13,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reviewed all recently issued standards and have determined that, other than as disclosed in Note 2, “Summary of Significant Accounting Policies,” such standards will not have a material impact on our condensed consolidated financial statements or do not otherwise apply to our current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smaller reporting company, we are not required to provide the information required by Item 305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our chief executive officer and chief financial officer, as appropriate to allow timely decisions regarding required disclosure. 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pStyle w:val="TextBody"/>
        <w:bidi w:val="0"/>
        <w:spacing w:lineRule="auto" w:line="288" w:before="0" w:after="120"/>
        <w:jc w:val="both"/>
        <w:rPr/>
      </w:pPr>
      <w:r>
        <w:rPr>
          <w:rFonts w:ascii="Times New Roman;serif" w:hAnsi="Times New Roman;serif"/>
          <w:b w:val="false"/>
          <w:color w:val="000000"/>
          <w:sz w:val="20"/>
        </w:rPr>
        <w:t xml:space="preserve">With the foregoing in mind, our chief executive officer and chief financial officer (“Certifying Officers”) evaluated the effectiveness of our disclosure controls and procedures as of September 30, 2025, pursuant to Rule 13a-15(b) under the Exchange Act. Based on the evaluation, our chief executive officer and chief financial officer have concluded that as of </w:t>
      </w:r>
      <w:r>
        <w:rPr>
          <w:rFonts w:ascii="Times New Roman;serif" w:hAnsi="Times New Roman;serif"/>
          <w:b w:val="false"/>
          <w:color w:val="000000"/>
          <w:sz w:val="20"/>
          <w:shd w:fill="FFFFFF" w:val="clear"/>
        </w:rPr>
        <w:t xml:space="preserve">September 30, 2025, </w:t>
      </w:r>
      <w:r>
        <w:rPr>
          <w:rFonts w:ascii="Times New Roman;serif" w:hAnsi="Times New Roman;serif"/>
          <w:b w:val="false"/>
          <w:color w:val="000000"/>
          <w:sz w:val="20"/>
        </w:rPr>
        <w:t>our disclosure controls and procedures were not effective due to the ongoing material weaknesses in internal control over financial reporting described below.</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While we continue to implement design enhancements to our internal control procedures, we believe that, other than the changes described below regarding the ongoing remediation efforts,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U.S. GAAP and includes those policies and procedures that: (1) pertain to the maintenance of records that in reasonable detail accurately and fairly reflect our transactions and the dispositions of our assets; (2) provide reasonable assurance that our transactions are recorded as necessary to permit preparation of financial statements in accordance with generally accepted accounting principles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Under the supervision of and with the participation of our management, we assessed the effectiveness of our internal control over financial reporting as of September 30, 2025, using the criteria set forth by the Committee of Sponsoring Organizations of the Treadway Commission (COSO) in Internal Control — Integrated Framework (2013). Based on the evaluation, our chief executive officer and chief financial officer have concluded that as of September 30, 2025, our internal control over financial reporting was not effective due to the ongoing material weaknesses in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have an ongoing entity-level material weakness that was identified in the years ended December 31, 2024, 2023 and 2022, and for which remediation efforts continue through September 30, 2025 as further described below.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entity-level material weakness contributed to material weaknesses within our system of internal control over financial reporting as follows: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Unremediated material weaknesses identified in the years ended December 31, 2024, 2023 and 2022</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1.We did not design and maintain effective information technology (IT) general controls for certain information systems supporting our key financial reporting processes, including for our enterprise resource planning (ERP) system and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certain in-scope on-premise and vendor-supported applications. Specifically, we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our financial statement account balances and disclosures.</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2.We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 As of December 31, 2024, we also concluded that this material weakness applied to the payroll cycle and income taxes. This material weakness could result in a misstatement of any account balances or disclosures that would result in a material misstatement to the annual or interim consolidated financial statements that would not be prevented or detected.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Remediation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With the oversight of management and the audit committee of our board of directors, we continue to actively take the appropriate steps toward the remediation of the underlying causes of the material weaknesses described above. We are committed to maintaining a strong internal control environment and implementing measures designed to ensure that the material weaknesses are remediated as soon as possible. We believe progress has been made toward remediation and we continue to implement our remediation plan. Until the remediation plan is fully implemented, tested, and deemed effective we cannot assure that our actions will adequately remediate the material weaknesses or that additional material weaknesses in our internal controls will not be identified in the future. If we are unable to remediate the material weaknesses, our ability to record, process and report financial information accurately, and to prepare financial statements within the time periods specified by the rules and forms of the SEC, could be adversely affected and could reduce the market’s confidence in our financial statements and harm our stock price.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Remediation Efforts to Address Ongoing Material Weaknesses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remediation efforts for material weaknesses identified in both the current and prior years are still ongoing. To date, we have taken the following actions to remediate certain aspects of the material weaknesses described above that, as of December 31, 2024, had not yet been fully implemented or had not been in place for a sufficient period of time to demonstrate that they were having their desired effect: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Improving the design and operation of controls related to revenue recognition including the identification of performance obligations and establishment of policies over the order-to-cash cycle, including policies over our treatment of cash basis customers.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Segregating access in our ERP system and certain on-premise applications.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Filling certain key positions in our finance and technology organizations with individuals possessing public company knowledge and experience.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Commencing configuration of our new ERP system, which will replace our legacy ERP system in the fiscal year 2026.</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Removing developers’ administrative access from production systems.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Removing the ability for certain users, including developers, to access other users’ accounts.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Implementing audit trails to log and monitor system configuration and data changes made by users to detect erroneous or unauthorized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Note 5, "Commitments and Contingencies—Litigation" to the condensed consolidated financial statements included herein is incorporated by reference into this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Investment in our securities involves risk. An investor or potential investor should consider the risks summarized under the caption “Risk Factors” in Part I, Item 1A of our Annual Report on Form 10-K for the year ended December 31, 2024 (our “2024 Form 10-K”) when making investment decisions regarding our securities. The risk factors that were disclosed in our 2024 Form 10-K have not materially changed since the date of our 2024 Form 10-K was filed.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Rule 10b5-1 Trading Plan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shows the contracts, instructions or written plans adopted or terminated during the quarter ended September 30, 2025 providing for the purchase and/or sale of our securities by our directors and officers (as defined in Rule 16a-1(f) under the Exchange Act). All trading plans were intended to satisfy the affirmative defense conditions of Rule 10b5-1(c) under the Exchange Act.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23"/>
        <w:gridCol w:w="398"/>
        <w:gridCol w:w="387"/>
        <w:gridCol w:w="109"/>
        <w:gridCol w:w="109"/>
        <w:gridCol w:w="109"/>
        <w:gridCol w:w="369"/>
        <w:gridCol w:w="369"/>
        <w:gridCol w:w="373"/>
        <w:gridCol w:w="109"/>
        <w:gridCol w:w="109"/>
        <w:gridCol w:w="109"/>
        <w:gridCol w:w="447"/>
        <w:gridCol w:w="447"/>
        <w:gridCol w:w="449"/>
        <w:gridCol w:w="109"/>
        <w:gridCol w:w="109"/>
        <w:gridCol w:w="109"/>
        <w:gridCol w:w="227"/>
        <w:gridCol w:w="227"/>
        <w:gridCol w:w="229"/>
        <w:gridCol w:w="109"/>
        <w:gridCol w:w="109"/>
        <w:gridCol w:w="109"/>
        <w:gridCol w:w="418"/>
        <w:gridCol w:w="418"/>
        <w:gridCol w:w="419"/>
        <w:gridCol w:w="109"/>
        <w:gridCol w:w="109"/>
        <w:gridCol w:w="109"/>
        <w:gridCol w:w="807"/>
        <w:gridCol w:w="807"/>
        <w:gridCol w:w="1156"/>
      </w:tblGrid>
      <w:tr>
        <w:trPr/>
        <w:tc>
          <w:tcPr>
            <w:tcW w:w="62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Start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Expiration Date</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Maximum Total Class A Common Stock to be Sold Under the Plan</w:t>
            </w:r>
          </w:p>
        </w:tc>
      </w:tr>
      <w:tr>
        <w:trPr/>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Olga Gonzalez, Director</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Termination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9/2/2025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6/21/2025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125,000</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8"/>
        </w:rPr>
        <w:t>(1)</w:t>
      </w:r>
      <w:r>
        <w:rPr>
          <w:rFonts w:ascii="Times New Roman;serif" w:hAnsi="Times New Roman;serif"/>
          <w:b w:val="false"/>
          <w:color w:val="000000"/>
          <w:sz w:val="20"/>
        </w:rPr>
        <w:t>Represents the termination of a Rule 10b5-1 trading plan upon Ms. Gonzalez’ resignation as a member of our board of directors.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(2)Each plan terminates on the earlier of: (i) the expiration date listed in the table above; (ii) the first date on which all trades set forth in the plan have been executed; or (iii) such date the plan is otherwise terminated according to its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exhibits are filed as part of, or incorporated by reference into, this Quarterly Report on Form 10-Q.</w:t>
      </w:r>
    </w:p>
    <w:tbl>
      <w:tblPr>
        <w:tblW w:w="10205"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1710"/>
        <w:gridCol w:w="1583"/>
        <w:gridCol w:w="1598"/>
        <w:gridCol w:w="109"/>
        <w:gridCol w:w="109"/>
        <w:gridCol w:w="109"/>
        <w:gridCol w:w="195"/>
        <w:gridCol w:w="195"/>
        <w:gridCol w:w="196"/>
        <w:gridCol w:w="109"/>
        <w:gridCol w:w="109"/>
        <w:gridCol w:w="109"/>
        <w:gridCol w:w="264"/>
        <w:gridCol w:w="262"/>
        <w:gridCol w:w="189"/>
        <w:gridCol w:w="109"/>
        <w:gridCol w:w="109"/>
        <w:gridCol w:w="109"/>
        <w:gridCol w:w="245"/>
        <w:gridCol w:w="245"/>
        <w:gridCol w:w="246"/>
        <w:gridCol w:w="109"/>
        <w:gridCol w:w="109"/>
        <w:gridCol w:w="109"/>
        <w:gridCol w:w="235"/>
        <w:gridCol w:w="235"/>
        <w:gridCol w:w="346"/>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Incorporated by Reference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Times New Roman;serif" w:hAnsi="Times New Roman;serif"/>
                  <w:b w:val="false"/>
                  <w:color w:val="0000FF"/>
                  <w:sz w:val="20"/>
                  <w:u w:val="single"/>
                </w:rPr>
                <w:t>Certificate of Incorporation of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Times New Roman;serif" w:hAnsi="Times New Roman;serif"/>
                  <w:b w:val="false"/>
                  <w:color w:val="0000FF"/>
                  <w:sz w:val="20"/>
                  <w:u w:val="single"/>
                </w:rPr>
                <w:t>Amended and Restated Bylaws of the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311q325.htm">
              <w:r>
                <w:rPr>
                  <w:rStyle w:val="InternetLink"/>
                  <w:rFonts w:ascii="Times New Roman;serif" w:hAnsi="Times New Roman;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w:anchor="exhibit311q325.htm">
              <w:r>
                <w:rPr>
                  <w:rStyle w:val="InternetLink"/>
                  <w:rFonts w:ascii="Times New Roman;serif" w:hAnsi="Times New Roman;serif"/>
                  <w:b w:val="false"/>
                  <w:color w:val="0000FF"/>
                  <w:sz w:val="20"/>
                  <w:u w:val="single"/>
                </w:rPr>
                <w:t>Certification of the Principal Executive Officer pursuant to Rules 13a-14(a) and 15d-14(a) under the Securities Exchange Act of 1934,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312q325.htm">
              <w:r>
                <w:rPr>
                  <w:rStyle w:val="InternetLink"/>
                  <w:rFonts w:ascii="Times New Roman;serif" w:hAnsi="Times New Roman;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exhibit312q325.htm">
              <w:r>
                <w:rPr>
                  <w:rStyle w:val="InternetLink"/>
                  <w:rFonts w:ascii="Times New Roman;serif" w:hAnsi="Times New Roman;serif"/>
                  <w:b w:val="false"/>
                  <w:color w:val="0000FF"/>
                  <w:sz w:val="20"/>
                  <w:u w:val="single"/>
                </w:rPr>
                <w:t>Certification of the Principal Financial Officer pursuant to Rules 13a-14(a) and 15d-14(a) under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321q325.htm">
              <w:r>
                <w:rPr>
                  <w:rStyle w:val="InternetLink"/>
                  <w:rFonts w:ascii="Times New Roman;serif" w:hAnsi="Times New Roman;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w:anchor="exhibit321q325.htm">
              <w:r>
                <w:rPr>
                  <w:rStyle w:val="InternetLink"/>
                  <w:rFonts w:ascii="Times New Roman;serif" w:hAnsi="Times New Roman;serif"/>
                  <w:b w:val="false"/>
                  <w:color w:val="0000FF"/>
                  <w:sz w:val="20"/>
                  <w:u w:val="single"/>
                </w:rPr>
                <w:t>Certifications of the Principal Executive Officer and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 With Embedded Linkbase Documents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certifications attached as Exhibit 32.1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aacb25c747744f98b4b1e06cf501ce5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Securities Exchange Act of 1934, the registrant has duly caused this report to be signed on its behalf by the undersigned, thereunto duly authorized.</w:t>
      </w:r>
    </w:p>
    <w:tbl>
      <w:tblPr>
        <w:tblW w:w="9419"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267"/>
        <w:gridCol w:w="267"/>
        <w:gridCol w:w="267"/>
        <w:gridCol w:w="274"/>
        <w:gridCol w:w="274"/>
        <w:gridCol w:w="274"/>
        <w:gridCol w:w="1742"/>
        <w:gridCol w:w="1742"/>
        <w:gridCol w:w="1781"/>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WM TECHNOLOGY,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0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Douglas Francis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Douglas Francis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0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Susan Echard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Susan Echard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 AS AMENDED</w: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 Douglas Francis, certify that:</w:t>
      </w:r>
    </w:p>
    <w:p>
      <w:pPr>
        <w:pStyle w:val="TextBody"/>
        <w:bidi w:val="0"/>
        <w:spacing w:lineRule="auto" w:line="288" w:before="0" w:after="18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I have reviewed this Quarterly Report on Form 10-Q of WM Technology, Inc.;</w:t>
      </w:r>
    </w:p>
    <w:p>
      <w:pPr>
        <w:pStyle w:val="TextBody"/>
        <w:bidi w:val="0"/>
        <w:spacing w:lineRule="auto" w:line="288" w:before="0" w:after="18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0"/>
          <w:shd w:fill="FFFFFF" w:val="clea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pPr>
      <w:r>
        <w:rPr>
          <w:rFonts w:ascii="Times New Roman;serif" w:hAnsi="Times New Roman;serif"/>
          <w:b w:val="false"/>
          <w:color w:val="000000"/>
          <w:sz w:val="20"/>
        </w:rPr>
        <w:t>4.</w:t>
      </w:r>
      <w:r>
        <w:rPr>
          <w:rFonts w:ascii="Times New Roman;serif" w:hAnsi="Times New Roman;serif"/>
          <w:b w:val="false"/>
          <w:color w:val="000000"/>
          <w:sz w:val="20"/>
          <w:shd w:fill="FFFFFF" w:val="clear"/>
        </w:rPr>
        <w:t>The registrant's other certifying officer(s) and I are responsible for establishing and maintaining disclosure controls and procedures (as defined in Exchange Act Rules 13a-15(e) and 15d-15(e)) and internal control over financial reporting (as defined in Exchange Rules 13a-15(f) and 15d-15(f)) for the registrant and have:</w:t>
      </w:r>
    </w:p>
    <w:p>
      <w:pPr>
        <w:pStyle w:val="TextBody"/>
        <w:bidi w:val="0"/>
        <w:spacing w:lineRule="auto" w:line="288" w:before="0" w:after="18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shd w:fill="FFFFFF" w:val="clea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0"/>
          <w:shd w:fill="FFFFFF" w:val="clea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pPr>
      <w:r>
        <w:rPr>
          <w:rFonts w:ascii="Times New Roman;serif" w:hAnsi="Times New Roman;serif"/>
          <w:b w:val="false"/>
          <w:color w:val="000000"/>
          <w:sz w:val="20"/>
        </w:rPr>
        <w:t>(c)</w:t>
      </w:r>
      <w:r>
        <w:rPr>
          <w:rFonts w:ascii="Times New Roman;serif" w:hAnsi="Times New Roman;serif"/>
          <w:b w:val="false"/>
          <w:color w:val="000000"/>
          <w:sz w:val="20"/>
          <w:shd w:fill="FFFFFF" w:val="clea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pPr>
      <w:r>
        <w:rPr>
          <w:rFonts w:ascii="Times New Roman;serif" w:hAnsi="Times New Roman;serif"/>
          <w:b w:val="false"/>
          <w:color w:val="000000"/>
          <w:sz w:val="20"/>
        </w:rPr>
        <w:t>(d)</w:t>
      </w:r>
      <w:r>
        <w:rPr>
          <w:rFonts w:ascii="Times New Roman;serif" w:hAnsi="Times New Roman;serif"/>
          <w:b w:val="false"/>
          <w:color w:val="000000"/>
          <w:sz w:val="20"/>
          <w:shd w:fill="FFFFFF" w:val="clea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pPr>
      <w:r>
        <w:rPr>
          <w:rFonts w:ascii="Times New Roman;serif" w:hAnsi="Times New Roman;serif"/>
          <w:b w:val="false"/>
          <w:color w:val="000000"/>
          <w:sz w:val="20"/>
        </w:rPr>
        <w:t>5.</w:t>
      </w:r>
      <w:r>
        <w:rPr>
          <w:rFonts w:ascii="Times New Roman;serif" w:hAnsi="Times New Roman;serif"/>
          <w:b w:val="false"/>
          <w:color w:val="000000"/>
          <w:sz w:val="20"/>
          <w:shd w:fill="FFFFFF" w:val="clea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Any fraud, whether or not material, that involves management or other employees who have a significant role in the registrant's internal control over financial reporting.</w:t>
      </w:r>
    </w:p>
    <w:tbl>
      <w:tblPr>
        <w:tblW w:w="60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77"/>
        <w:gridCol w:w="177"/>
        <w:gridCol w:w="177"/>
        <w:gridCol w:w="177"/>
        <w:gridCol w:w="177"/>
        <w:gridCol w:w="177"/>
        <w:gridCol w:w="177"/>
        <w:gridCol w:w="177"/>
        <w:gridCol w:w="187"/>
        <w:gridCol w:w="109"/>
        <w:gridCol w:w="109"/>
        <w:gridCol w:w="109"/>
        <w:gridCol w:w="109"/>
        <w:gridCol w:w="109"/>
        <w:gridCol w:w="109"/>
        <w:gridCol w:w="109"/>
        <w:gridCol w:w="109"/>
        <w:gridCol w:w="109"/>
        <w:gridCol w:w="266"/>
        <w:gridCol w:w="266"/>
        <w:gridCol w:w="266"/>
        <w:gridCol w:w="266"/>
        <w:gridCol w:w="266"/>
        <w:gridCol w:w="266"/>
        <w:gridCol w:w="266"/>
        <w:gridCol w:w="266"/>
        <w:gridCol w:w="3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3"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November 6, 2025</w:t>
            </w:r>
          </w:p>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tc>
        <w:tc>
          <w:tcPr>
            <w:tcW w:w="981"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/s/ Douglas Francis</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9"/>
            <w:tcBorders/>
            <w:tcMar>
              <w:top w:w="0" w:type="dxa"/>
              <w:left w:w="0" w:type="dxa"/>
              <w:bottom w:w="0" w:type="dxa"/>
              <w:right w:w="0" w:type="dxa"/>
            </w:tcMar>
            <w:vAlign w:val="center"/>
          </w:tcPr>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Douglas Francis</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9"/>
            <w:tcBorders/>
            <w:tcMar>
              <w:top w:w="0" w:type="dxa"/>
              <w:left w:w="0" w:type="dxa"/>
              <w:bottom w:w="0" w:type="dxa"/>
              <w:right w:w="0" w:type="dxa"/>
            </w:tcMar>
            <w:vAlign w:val="center"/>
          </w:tcPr>
          <w:p>
            <w:pPr>
              <w:pStyle w:val="TableContents"/>
              <w:bidi w:val="0"/>
              <w:spacing w:before="0" w:after="160"/>
              <w:jc w:val="left"/>
              <w:rPr/>
            </w:pPr>
            <w:r>
              <w:rPr/>
            </w:r>
          </w:p>
          <w:p>
            <w:pPr>
              <w:pStyle w:val="TableContents"/>
              <w:bidi w:val="0"/>
              <w:spacing w:before="0" w:after="160"/>
              <w:jc w:val="left"/>
              <w:rPr/>
            </w:pPr>
            <w:r>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 AS AMENDED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 Susan Echard, certify that:</w:t>
      </w:r>
    </w:p>
    <w:p>
      <w:pPr>
        <w:pStyle w:val="TextBody"/>
        <w:bidi w:val="0"/>
        <w:spacing w:lineRule="auto" w:line="288" w:before="180" w:after="18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I have reviewed this Quarterly Report on Form 10-Q of WM Technology, Inc.;</w:t>
      </w:r>
    </w:p>
    <w:p>
      <w:pPr>
        <w:pStyle w:val="TextBody"/>
        <w:bidi w:val="0"/>
        <w:spacing w:lineRule="auto" w:line="288" w:before="180" w:after="18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180"/>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0"/>
          <w:shd w:fill="FFFFFF" w:val="clea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180"/>
        <w:ind w:left="0" w:right="0" w:hanging="360"/>
        <w:jc w:val="both"/>
        <w:rPr/>
      </w:pPr>
      <w:r>
        <w:rPr>
          <w:rFonts w:ascii="Times New Roman;serif" w:hAnsi="Times New Roman;serif"/>
          <w:b w:val="false"/>
          <w:color w:val="000000"/>
          <w:sz w:val="20"/>
        </w:rPr>
        <w:t>4.</w:t>
      </w:r>
      <w:r>
        <w:rPr>
          <w:rFonts w:ascii="Times New Roman;serif" w:hAnsi="Times New Roman;serif"/>
          <w:b w:val="false"/>
          <w:color w:val="000000"/>
          <w:sz w:val="20"/>
          <w:shd w:fill="FFFFFF" w:val="clear"/>
        </w:rPr>
        <w:t>The registrant's other certifying officer(s) and I are responsible for establishing and maintaining disclosure controls and procedures (as defined in Exchange Act Rules 13a-15(e) and 15d-15(e)) and internal control over financial reporting (as defined in Exchange Rules 13a-15(f) and 15d-15(f)) for the registrant and have:</w:t>
      </w:r>
    </w:p>
    <w:p>
      <w:pPr>
        <w:pStyle w:val="TextBody"/>
        <w:bidi w:val="0"/>
        <w:spacing w:lineRule="auto" w:line="288" w:before="180" w:after="18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shd w:fill="FFFFFF" w:val="clea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180"/>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0"/>
          <w:shd w:fill="FFFFFF" w:val="clea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180"/>
        <w:ind w:left="0" w:right="0" w:hanging="360"/>
        <w:jc w:val="both"/>
        <w:rPr/>
      </w:pPr>
      <w:r>
        <w:rPr>
          <w:rFonts w:ascii="Times New Roman;serif" w:hAnsi="Times New Roman;serif"/>
          <w:b w:val="false"/>
          <w:color w:val="000000"/>
          <w:sz w:val="20"/>
        </w:rPr>
        <w:t>(c)</w:t>
      </w:r>
      <w:r>
        <w:rPr>
          <w:rFonts w:ascii="Times New Roman;serif" w:hAnsi="Times New Roman;serif"/>
          <w:b w:val="false"/>
          <w:color w:val="000000"/>
          <w:sz w:val="20"/>
          <w:shd w:fill="FFFFFF" w:val="clea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180"/>
        <w:ind w:left="0" w:right="0" w:hanging="360"/>
        <w:jc w:val="both"/>
        <w:rPr/>
      </w:pPr>
      <w:r>
        <w:rPr>
          <w:rFonts w:ascii="Times New Roman;serif" w:hAnsi="Times New Roman;serif"/>
          <w:b w:val="false"/>
          <w:color w:val="000000"/>
          <w:sz w:val="20"/>
        </w:rPr>
        <w:t>(d)</w:t>
      </w:r>
      <w:r>
        <w:rPr>
          <w:rFonts w:ascii="Times New Roman;serif" w:hAnsi="Times New Roman;serif"/>
          <w:b w:val="false"/>
          <w:color w:val="000000"/>
          <w:sz w:val="20"/>
          <w:shd w:fill="FFFFFF" w:val="clea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180"/>
        <w:ind w:left="0" w:right="0" w:hanging="360"/>
        <w:jc w:val="both"/>
        <w:rPr/>
      </w:pPr>
      <w:r>
        <w:rPr>
          <w:rFonts w:ascii="Times New Roman;serif" w:hAnsi="Times New Roman;serif"/>
          <w:b w:val="false"/>
          <w:color w:val="000000"/>
          <w:sz w:val="20"/>
        </w:rPr>
        <w:t>5.</w:t>
      </w:r>
      <w:r>
        <w:rPr>
          <w:rFonts w:ascii="Times New Roman;serif" w:hAnsi="Times New Roman;serif"/>
          <w:b w:val="false"/>
          <w:color w:val="000000"/>
          <w:sz w:val="20"/>
          <w:shd w:fill="FFFFFF" w:val="clea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18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18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Any fraud, whether or not material, that involves management or other employees who have a significant role in the registrant's internal control over financial reporting.</w:t>
      </w:r>
    </w:p>
    <w:tbl>
      <w:tblPr>
        <w:tblW w:w="88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77"/>
        <w:gridCol w:w="177"/>
        <w:gridCol w:w="177"/>
        <w:gridCol w:w="177"/>
        <w:gridCol w:w="177"/>
        <w:gridCol w:w="177"/>
        <w:gridCol w:w="177"/>
        <w:gridCol w:w="177"/>
        <w:gridCol w:w="187"/>
        <w:gridCol w:w="109"/>
        <w:gridCol w:w="109"/>
        <w:gridCol w:w="109"/>
        <w:gridCol w:w="109"/>
        <w:gridCol w:w="109"/>
        <w:gridCol w:w="109"/>
        <w:gridCol w:w="109"/>
        <w:gridCol w:w="109"/>
        <w:gridCol w:w="109"/>
        <w:gridCol w:w="563"/>
        <w:gridCol w:w="563"/>
        <w:gridCol w:w="563"/>
        <w:gridCol w:w="563"/>
        <w:gridCol w:w="563"/>
        <w:gridCol w:w="563"/>
        <w:gridCol w:w="563"/>
        <w:gridCol w:w="563"/>
        <w:gridCol w:w="8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3"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November 6, 2025</w:t>
            </w:r>
          </w:p>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tc>
        <w:tc>
          <w:tcPr>
            <w:tcW w:w="981"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/s/ Susan Echard</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9"/>
            <w:tcBorders/>
            <w:tcMar>
              <w:top w:w="0" w:type="dxa"/>
              <w:left w:w="0" w:type="dxa"/>
              <w:bottom w:w="0" w:type="dxa"/>
              <w:right w:w="0" w:type="dxa"/>
            </w:tcMar>
            <w:vAlign w:val="center"/>
          </w:tcPr>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Susan Echard</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9"/>
            <w:tcBorders/>
            <w:tcMar>
              <w:top w:w="0" w:type="dxa"/>
              <w:left w:w="0" w:type="dxa"/>
              <w:bottom w:w="0" w:type="dxa"/>
              <w:right w:w="0" w:type="dxa"/>
            </w:tcMar>
            <w:vAlign w:val="center"/>
          </w:tcPr>
          <w:p>
            <w:pPr>
              <w:pStyle w:val="TableContents"/>
              <w:bidi w:val="0"/>
              <w:spacing w:before="0" w:after="160"/>
              <w:jc w:val="left"/>
              <w:rPr/>
            </w:pPr>
            <w:r>
              <w:rPr/>
            </w:r>
          </w:p>
          <w:p>
            <w:pPr>
              <w:pStyle w:val="TableContents"/>
              <w:bidi w:val="0"/>
              <w:spacing w:before="0" w:after="160"/>
              <w:jc w:val="left"/>
              <w:rPr/>
            </w:pPr>
            <w:r>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OF EXECUTIVE CHAIR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Douglas Francis, the Chief Executive Officer of WM Technology, Inc., certify, pursuant to 18 U.S.C. Section 1350, as adopted pursuant to Section 906 of the Sarbanes-Oxley Act of 2002, that the Quarterly Report on Form 10-Q of WM Technology, Inc. for the quarterly period ended September 30, 2025, fully complies with the requirements of Section 13(a) or 15(d) of the Securities Exchange Act of 1934 and that the information contained in such Quarterly Report on Form 10-Q fairly presents, in all material respects, the financial condition and results of operations of WM Technology, Inc.</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60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77"/>
        <w:gridCol w:w="177"/>
        <w:gridCol w:w="177"/>
        <w:gridCol w:w="177"/>
        <w:gridCol w:w="177"/>
        <w:gridCol w:w="177"/>
        <w:gridCol w:w="177"/>
        <w:gridCol w:w="177"/>
        <w:gridCol w:w="187"/>
        <w:gridCol w:w="109"/>
        <w:gridCol w:w="109"/>
        <w:gridCol w:w="109"/>
        <w:gridCol w:w="109"/>
        <w:gridCol w:w="109"/>
        <w:gridCol w:w="109"/>
        <w:gridCol w:w="109"/>
        <w:gridCol w:w="109"/>
        <w:gridCol w:w="109"/>
        <w:gridCol w:w="266"/>
        <w:gridCol w:w="266"/>
        <w:gridCol w:w="266"/>
        <w:gridCol w:w="266"/>
        <w:gridCol w:w="266"/>
        <w:gridCol w:w="266"/>
        <w:gridCol w:w="266"/>
        <w:gridCol w:w="266"/>
        <w:gridCol w:w="3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/s/ Douglas Francis</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Douglas Francis</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Susan Echard, the Chief Financial Officer of WM Technology, Inc., certify, pursuant to 18 U.S.C. Section 1350, as adopted pursuant to Section 906 of the Sarbanes-Oxley Act of 2002, that the Quarterly Report on Form 10-Q of WM Technology, Inc. for the quarterly period ended September 30, 2025, fully complies with the requirements of Section 13(a) or 15(d) of the Securities Exchange Act of 1934, and that the information contained in such Quarterly Report on Form 10-Q fairly presents, in all material respects, the financial condition and results of operations of WM Technology, Inc.</w:t>
      </w:r>
    </w:p>
    <w:p>
      <w:pPr>
        <w:pStyle w:val="TextBody"/>
        <w:bidi w:val="0"/>
        <w:spacing w:before="0" w:after="0"/>
        <w:jc w:val="both"/>
        <w:rPr/>
      </w:pPr>
      <w:r>
        <w:rPr/>
      </w:r>
    </w:p>
    <w:tbl>
      <w:tblPr>
        <w:tblW w:w="88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77"/>
        <w:gridCol w:w="177"/>
        <w:gridCol w:w="177"/>
        <w:gridCol w:w="177"/>
        <w:gridCol w:w="177"/>
        <w:gridCol w:w="177"/>
        <w:gridCol w:w="177"/>
        <w:gridCol w:w="177"/>
        <w:gridCol w:w="187"/>
        <w:gridCol w:w="109"/>
        <w:gridCol w:w="109"/>
        <w:gridCol w:w="109"/>
        <w:gridCol w:w="109"/>
        <w:gridCol w:w="109"/>
        <w:gridCol w:w="109"/>
        <w:gridCol w:w="109"/>
        <w:gridCol w:w="109"/>
        <w:gridCol w:w="109"/>
        <w:gridCol w:w="563"/>
        <w:gridCol w:w="563"/>
        <w:gridCol w:w="563"/>
        <w:gridCol w:w="563"/>
        <w:gridCol w:w="563"/>
        <w:gridCol w:w="563"/>
        <w:gridCol w:w="563"/>
        <w:gridCol w:w="563"/>
        <w:gridCol w:w="8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/s/ Susan Echard</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Susan Echard</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79474/000114036121021785/brhc10025756_ex3-1.htm" TargetMode="External"/><Relationship Id="rId3" Type="http://schemas.openxmlformats.org/officeDocument/2006/relationships/hyperlink" Target="https://www.sec.gov/Archives/edgar/data/1779474/000114036121021785/brhc10025756_ex3-1.htm" TargetMode="External"/><Relationship Id="rId4" Type="http://schemas.openxmlformats.org/officeDocument/2006/relationships/hyperlink" Target="https://www.sec.gov/Archives/edgar/data/1779474/000114036121021785/brhc10025756_ex3-2.htm" TargetMode="External"/><Relationship Id="rId5" Type="http://schemas.openxmlformats.org/officeDocument/2006/relationships/hyperlink" Target="https://www.sec.gov/Archives/edgar/data/1779474/000114036121021785/brhc10025756_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30294</Words>
  <Characters>169379</Characters>
  <CharactersWithSpaces>198033</CharactersWithSpaces>
  <Paragraphs>2949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