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9410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9410700"/>
                    </a:xfrm>
                    <a:prstGeom prst="rect">
                      <a:avLst/>
                    </a:prstGeom>
                    <a:noFill/>
                  </pic:spPr>
                </pic:pic>
              </a:graphicData>
            </a:graphic>
          </wp:anchor>
        </w:drawing>
      </w:r>
    </w:p>
    <w:p>
      <w:pPr>
        <w:spacing w:after="0" w:line="90" w:lineRule="exact"/>
        <w:rPr>
          <w:sz w:val="24"/>
          <w:szCs w:val="24"/>
          <w:color w:val="auto"/>
        </w:rPr>
      </w:pPr>
    </w:p>
    <w:p>
      <w:pPr>
        <w:sectPr>
          <w:pgSz w:w="11900" w:h="16963" w:orient="portrait"/>
          <w:cols w:equalWidth="0" w:num="2">
            <w:col w:w="2240" w:space="340"/>
            <w:col w:w="8500"/>
          </w:cols>
          <w:pgMar w:left="460" w:top="221"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Luxor Capital Group, LP</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1100"/>
        <w:spacing w:after="0" w:line="334" w:lineRule="auto"/>
        <w:rPr>
          <w:sz w:val="20"/>
          <w:szCs w:val="20"/>
          <w:color w:val="auto"/>
        </w:rPr>
      </w:pPr>
      <w:r>
        <w:rPr>
          <w:rFonts w:ascii="Arial" w:cs="Arial" w:eastAsia="Arial" w:hAnsi="Arial"/>
          <w:sz w:val="17"/>
          <w:szCs w:val="17"/>
          <w:color w:val="0000FF"/>
        </w:rPr>
        <w:t>1114 AVENUE OF THE AMERICAS 28TH FLOOR</w:t>
      </w:r>
    </w:p>
    <w:p>
      <w:pPr>
        <w:spacing w:after="0" w:line="19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WM TECHNOLOGY,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MAPS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20" w:type="dxa"/>
            <w:vAlign w:val="bottom"/>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180" w:type="dxa"/>
            <w:vAlign w:val="bottom"/>
            <w:gridSpan w:val="2"/>
          </w:tcPr>
          <w:p>
            <w:pPr>
              <w:ind w:left="60"/>
              <w:spacing w:after="0" w:line="146"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2"/>
                <w:szCs w:val="12"/>
                <w:color w:val="auto"/>
              </w:rPr>
            </w:pPr>
          </w:p>
        </w:tc>
        <w:tc>
          <w:tcPr>
            <w:tcW w:w="148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620" w:type="dxa"/>
            <w:vAlign w:val="bottom"/>
          </w:tcPr>
          <w:p>
            <w:pPr>
              <w:ind w:left="48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2360" w:type="dxa"/>
            <w:vAlign w:val="bottom"/>
            <w:gridSpan w:val="3"/>
          </w:tcPr>
          <w:p>
            <w:pPr>
              <w:ind w:left="60"/>
              <w:spacing w:after="0"/>
              <w:rPr>
                <w:sz w:val="20"/>
                <w:szCs w:val="20"/>
                <w:color w:val="auto"/>
              </w:rPr>
            </w:pPr>
            <w:r>
              <w:rPr>
                <w:rFonts w:ascii="Arial" w:cs="Arial" w:eastAsia="Arial" w:hAnsi="Arial"/>
                <w:sz w:val="17"/>
                <w:szCs w:val="17"/>
                <w:color w:val="0000FF"/>
              </w:rPr>
              <w:t>01/18/2022</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4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30" w:lineRule="exact"/>
        <w:rPr>
          <w:sz w:val="24"/>
          <w:szCs w:val="24"/>
          <w:color w:val="auto"/>
        </w:rPr>
      </w:pPr>
    </w:p>
    <w:tbl>
      <w:tblPr>
        <w:tblLayout w:type="fixed"/>
        <w:tblInd w:w="4100"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23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20" w:type="dxa"/>
            <w:vAlign w:val="bottom"/>
          </w:tcPr>
          <w:p>
            <w:pPr>
              <w:ind w:left="100"/>
              <w:spacing w:after="0"/>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23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81" w:lineRule="exact"/>
        <w:rPr>
          <w:sz w:val="24"/>
          <w:szCs w:val="24"/>
          <w:color w:val="auto"/>
        </w:rPr>
      </w:pPr>
    </w:p>
    <w:p>
      <w:pPr>
        <w:sectPr>
          <w:pgSz w:w="11900" w:h="16963"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1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3100" w:type="dxa"/>
            <w:vAlign w:val="bottom"/>
          </w:tcPr>
          <w:p>
            <w:pPr>
              <w:spacing w:after="0"/>
              <w:rPr>
                <w:sz w:val="10"/>
                <w:szCs w:val="10"/>
                <w:color w:val="auto"/>
              </w:rPr>
            </w:pPr>
          </w:p>
        </w:tc>
        <w:tc>
          <w:tcPr>
            <w:tcW w:w="1160" w:type="dxa"/>
            <w:vAlign w:val="bottom"/>
          </w:tcPr>
          <w:p>
            <w:pPr>
              <w:ind w:left="16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160" w:type="dxa"/>
            <w:vAlign w:val="bottom"/>
          </w:tcPr>
          <w:p>
            <w:pPr>
              <w:ind w:left="1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3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3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3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3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Arial" w:cs="Arial" w:eastAsia="Arial" w:hAnsi="Arial"/>
                <w:sz w:val="17"/>
                <w:szCs w:val="17"/>
                <w:color w:val="0000FF"/>
              </w:rPr>
              <w:t>Lugard</w:t>
            </w:r>
          </w:p>
        </w:tc>
        <w:tc>
          <w:tcPr>
            <w:tcW w:w="0" w:type="dxa"/>
            <w:vAlign w:val="bottom"/>
          </w:tcPr>
          <w:p>
            <w:pPr>
              <w:spacing w:after="0"/>
              <w:rPr>
                <w:sz w:val="1"/>
                <w:szCs w:val="1"/>
                <w:color w:val="auto"/>
              </w:rPr>
            </w:pPr>
          </w:p>
        </w:tc>
      </w:tr>
      <w:tr>
        <w:trPr>
          <w:trHeight w:val="205"/>
        </w:trPr>
        <w:tc>
          <w:tcPr>
            <w:tcW w:w="3100" w:type="dxa"/>
            <w:vAlign w:val="bottom"/>
          </w:tcPr>
          <w:p>
            <w:pPr>
              <w:ind w:left="60"/>
              <w:spacing w:after="0"/>
              <w:rPr>
                <w:sz w:val="20"/>
                <w:szCs w:val="20"/>
                <w:color w:val="auto"/>
              </w:rPr>
            </w:pPr>
            <w:r>
              <w:rPr>
                <w:rFonts w:ascii="Arial" w:cs="Arial" w:eastAsia="Arial" w:hAnsi="Arial"/>
                <w:sz w:val="17"/>
                <w:szCs w:val="17"/>
                <w:color w:val="0000FF"/>
                <w:w w:val="92"/>
              </w:rPr>
              <w:t>Class A Common Stock, par value $0.0001</w:t>
            </w:r>
          </w:p>
        </w:tc>
        <w:tc>
          <w:tcPr>
            <w:tcW w:w="1160" w:type="dxa"/>
            <w:vAlign w:val="bottom"/>
            <w:vMerge w:val="restart"/>
          </w:tcPr>
          <w:p>
            <w:pPr>
              <w:jc w:val="right"/>
              <w:ind w:right="96"/>
              <w:spacing w:after="0"/>
              <w:rPr>
                <w:sz w:val="20"/>
                <w:szCs w:val="20"/>
                <w:color w:val="auto"/>
              </w:rPr>
            </w:pPr>
            <w:r>
              <w:rPr>
                <w:rFonts w:ascii="Arial" w:cs="Arial" w:eastAsia="Arial" w:hAnsi="Arial"/>
                <w:sz w:val="17"/>
                <w:szCs w:val="17"/>
                <w:color w:val="0000FF"/>
              </w:rPr>
              <w:t>01/18/2022</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20" w:type="dxa"/>
            <w:vAlign w:val="bottom"/>
            <w:vMerge w:val="restart"/>
          </w:tcPr>
          <w:p>
            <w:pPr>
              <w:ind w:left="200"/>
              <w:spacing w:after="0"/>
              <w:rPr>
                <w:sz w:val="20"/>
                <w:szCs w:val="20"/>
                <w:color w:val="auto"/>
              </w:rPr>
            </w:pPr>
            <w:r>
              <w:rPr>
                <w:rFonts w:ascii="Arial" w:cs="Arial" w:eastAsia="Arial" w:hAnsi="Arial"/>
                <w:sz w:val="17"/>
                <w:szCs w:val="17"/>
                <w:color w:val="0000FF"/>
              </w:rPr>
              <w:t>1,900</w:t>
            </w:r>
          </w:p>
        </w:tc>
        <w:tc>
          <w:tcPr>
            <w:tcW w:w="54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ind w:right="9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w:t>
            </w:r>
          </w:p>
        </w:tc>
        <w:tc>
          <w:tcPr>
            <w:tcW w:w="1120" w:type="dxa"/>
            <w:vAlign w:val="bottom"/>
            <w:vMerge w:val="restart"/>
          </w:tcPr>
          <w:p>
            <w:pPr>
              <w:jc w:val="right"/>
              <w:ind w:right="157"/>
              <w:spacing w:after="0"/>
              <w:rPr>
                <w:sz w:val="20"/>
                <w:szCs w:val="20"/>
                <w:color w:val="auto"/>
              </w:rPr>
            </w:pPr>
            <w:r>
              <w:rPr>
                <w:rFonts w:ascii="Arial" w:cs="Arial" w:eastAsia="Arial" w:hAnsi="Arial"/>
                <w:sz w:val="17"/>
                <w:szCs w:val="17"/>
                <w:color w:val="0000FF"/>
              </w:rPr>
              <w:t>6,649,343</w:t>
            </w:r>
          </w:p>
        </w:tc>
        <w:tc>
          <w:tcPr>
            <w:tcW w:w="920" w:type="dxa"/>
            <w:vAlign w:val="bottom"/>
            <w:vMerge w:val="restart"/>
          </w:tcPr>
          <w:p>
            <w:pPr>
              <w:ind w:left="400"/>
              <w:spacing w:after="0" w:line="367" w:lineRule="exact"/>
              <w:rPr>
                <w:sz w:val="20"/>
                <w:szCs w:val="20"/>
                <w:color w:val="auto"/>
              </w:rPr>
            </w:pPr>
            <w:r>
              <w:rPr>
                <w:rFonts w:ascii="Arial" w:cs="Arial" w:eastAsia="Arial" w:hAnsi="Arial"/>
                <w:sz w:val="33"/>
                <w:szCs w:val="33"/>
                <w:color w:val="0000FF"/>
                <w:vertAlign w:val="subscript"/>
              </w:rPr>
              <w:t>I</w:t>
            </w:r>
            <w:r>
              <w:rPr>
                <w:rFonts w:ascii="Arial" w:cs="Arial" w:eastAsia="Arial" w:hAnsi="Arial"/>
                <w:sz w:val="11"/>
                <w:szCs w:val="11"/>
                <w:color w:val="008000"/>
              </w:rPr>
              <w:t>(6)</w:t>
            </w:r>
          </w:p>
        </w:tc>
        <w:tc>
          <w:tcPr>
            <w:tcW w:w="900" w:type="dxa"/>
            <w:vAlign w:val="bottom"/>
          </w:tcPr>
          <w:p>
            <w:pPr>
              <w:ind w:left="100"/>
              <w:spacing w:after="0"/>
              <w:rPr>
                <w:sz w:val="20"/>
                <w:szCs w:val="20"/>
                <w:color w:val="auto"/>
              </w:rPr>
            </w:pPr>
            <w:r>
              <w:rPr>
                <w:rFonts w:ascii="Arial" w:cs="Arial" w:eastAsia="Arial" w:hAnsi="Arial"/>
                <w:sz w:val="17"/>
                <w:szCs w:val="17"/>
                <w:color w:val="0000FF"/>
              </w:rPr>
              <w:t>Road</w:t>
            </w:r>
          </w:p>
        </w:tc>
        <w:tc>
          <w:tcPr>
            <w:tcW w:w="0" w:type="dxa"/>
            <w:vAlign w:val="bottom"/>
          </w:tcPr>
          <w:p>
            <w:pPr>
              <w:spacing w:after="0"/>
              <w:rPr>
                <w:sz w:val="1"/>
                <w:szCs w:val="1"/>
                <w:color w:val="auto"/>
              </w:rPr>
            </w:pPr>
          </w:p>
        </w:tc>
      </w:tr>
      <w:tr>
        <w:trPr>
          <w:trHeight w:val="162"/>
        </w:trPr>
        <w:tc>
          <w:tcPr>
            <w:tcW w:w="3100" w:type="dxa"/>
            <w:vAlign w:val="bottom"/>
            <w:vMerge w:val="restart"/>
          </w:tcPr>
          <w:p>
            <w:pPr>
              <w:ind w:left="60"/>
              <w:spacing w:after="0" w:line="205" w:lineRule="exact"/>
              <w:rPr>
                <w:sz w:val="20"/>
                <w:szCs w:val="20"/>
                <w:color w:val="auto"/>
              </w:rPr>
            </w:pPr>
            <w:r>
              <w:rPr>
                <w:rFonts w:ascii="Arial" w:cs="Arial" w:eastAsia="Arial" w:hAnsi="Arial"/>
                <w:sz w:val="17"/>
                <w:szCs w:val="17"/>
                <w:color w:val="0000FF"/>
              </w:rPr>
              <w:t>per share</w:t>
            </w:r>
            <w:r>
              <w:rPr>
                <w:rFonts w:ascii="Arial" w:cs="Arial" w:eastAsia="Arial" w:hAnsi="Arial"/>
                <w:sz w:val="21"/>
                <w:szCs w:val="21"/>
                <w:color w:val="008000"/>
                <w:vertAlign w:val="superscript"/>
              </w:rPr>
              <w:t>(1)(2)</w:t>
            </w:r>
          </w:p>
        </w:tc>
        <w:tc>
          <w:tcPr>
            <w:tcW w:w="11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3"/>
        </w:trPr>
        <w:tc>
          <w:tcPr>
            <w:tcW w:w="310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Arial" w:cs="Arial" w:eastAsia="Arial" w:hAnsi="Arial"/>
                <w:sz w:val="17"/>
                <w:szCs w:val="17"/>
                <w:color w:val="0000FF"/>
              </w:rPr>
              <w:t>Master</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7"/>
                <w:szCs w:val="17"/>
                <w:color w:val="0000FF"/>
              </w:rPr>
              <w:t>Fund, LP</w:t>
            </w:r>
          </w:p>
        </w:tc>
        <w:tc>
          <w:tcPr>
            <w:tcW w:w="0" w:type="dxa"/>
            <w:vAlign w:val="bottom"/>
          </w:tcPr>
          <w:p>
            <w:pPr>
              <w:spacing w:after="0"/>
              <w:rPr>
                <w:sz w:val="1"/>
                <w:szCs w:val="1"/>
                <w:color w:val="auto"/>
              </w:rPr>
            </w:pPr>
          </w:p>
        </w:tc>
      </w:tr>
      <w:tr>
        <w:trPr>
          <w:trHeight w:val="58"/>
        </w:trPr>
        <w:tc>
          <w:tcPr>
            <w:tcW w:w="3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7"/>
                <w:szCs w:val="17"/>
                <w:color w:val="0000FF"/>
              </w:rPr>
              <w:t>By: Luxor</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5"/>
        </w:trPr>
        <w:tc>
          <w:tcPr>
            <w:tcW w:w="3100" w:type="dxa"/>
            <w:vAlign w:val="bottom"/>
          </w:tcPr>
          <w:p>
            <w:pPr>
              <w:ind w:left="60"/>
              <w:spacing w:after="0"/>
              <w:rPr>
                <w:sz w:val="20"/>
                <w:szCs w:val="20"/>
                <w:color w:val="auto"/>
              </w:rPr>
            </w:pPr>
            <w:r>
              <w:rPr>
                <w:rFonts w:ascii="Arial" w:cs="Arial" w:eastAsia="Arial" w:hAnsi="Arial"/>
                <w:sz w:val="17"/>
                <w:szCs w:val="17"/>
                <w:color w:val="0000FF"/>
                <w:w w:val="92"/>
              </w:rPr>
              <w:t>Class A Common Stock, par value $0.0001</w:t>
            </w: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vMerge w:val="restart"/>
          </w:tcPr>
          <w:p>
            <w:pPr>
              <w:jc w:val="right"/>
              <w:ind w:right="257"/>
              <w:spacing w:after="0"/>
              <w:rPr>
                <w:sz w:val="20"/>
                <w:szCs w:val="20"/>
                <w:color w:val="auto"/>
              </w:rPr>
            </w:pPr>
            <w:r>
              <w:rPr>
                <w:rFonts w:ascii="Arial" w:cs="Arial" w:eastAsia="Arial" w:hAnsi="Arial"/>
                <w:sz w:val="17"/>
                <w:szCs w:val="17"/>
                <w:color w:val="0000FF"/>
              </w:rPr>
              <w:t>33,289</w:t>
            </w:r>
          </w:p>
        </w:tc>
        <w:tc>
          <w:tcPr>
            <w:tcW w:w="920" w:type="dxa"/>
            <w:vAlign w:val="bottom"/>
            <w:vMerge w:val="restart"/>
          </w:tcPr>
          <w:p>
            <w:pPr>
              <w:ind w:left="400"/>
              <w:spacing w:after="0" w:line="367" w:lineRule="exact"/>
              <w:rPr>
                <w:sz w:val="20"/>
                <w:szCs w:val="20"/>
                <w:color w:val="auto"/>
              </w:rPr>
            </w:pPr>
            <w:r>
              <w:rPr>
                <w:rFonts w:ascii="Arial" w:cs="Arial" w:eastAsia="Arial" w:hAnsi="Arial"/>
                <w:sz w:val="33"/>
                <w:szCs w:val="33"/>
                <w:color w:val="0000FF"/>
                <w:vertAlign w:val="subscript"/>
              </w:rPr>
              <w:t>I</w:t>
            </w:r>
            <w:r>
              <w:rPr>
                <w:rFonts w:ascii="Arial" w:cs="Arial" w:eastAsia="Arial" w:hAnsi="Arial"/>
                <w:sz w:val="11"/>
                <w:szCs w:val="11"/>
                <w:color w:val="008000"/>
              </w:rPr>
              <w:t>(5)</w:t>
            </w:r>
          </w:p>
        </w:tc>
        <w:tc>
          <w:tcPr>
            <w:tcW w:w="900" w:type="dxa"/>
            <w:vAlign w:val="bottom"/>
          </w:tcPr>
          <w:p>
            <w:pPr>
              <w:ind w:left="10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162"/>
        </w:trPr>
        <w:tc>
          <w:tcPr>
            <w:tcW w:w="3100" w:type="dxa"/>
            <w:vAlign w:val="bottom"/>
            <w:vMerge w:val="restart"/>
          </w:tcPr>
          <w:p>
            <w:pPr>
              <w:ind w:left="60"/>
              <w:spacing w:after="0" w:line="219" w:lineRule="exact"/>
              <w:rPr>
                <w:sz w:val="20"/>
                <w:szCs w:val="20"/>
                <w:color w:val="auto"/>
              </w:rPr>
            </w:pPr>
            <w:r>
              <w:rPr>
                <w:rFonts w:ascii="Arial" w:cs="Arial" w:eastAsia="Arial" w:hAnsi="Arial"/>
                <w:sz w:val="17"/>
                <w:szCs w:val="17"/>
                <w:color w:val="0000FF"/>
              </w:rPr>
              <w:t>per share</w:t>
            </w:r>
            <w:r>
              <w:rPr>
                <w:rFonts w:ascii="Arial" w:cs="Arial" w:eastAsia="Arial" w:hAnsi="Arial"/>
                <w:sz w:val="21"/>
                <w:szCs w:val="21"/>
                <w:color w:val="008000"/>
                <w:vertAlign w:val="superscript"/>
              </w:rPr>
              <w:t>(1)(2)</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Offshore</w:t>
            </w:r>
          </w:p>
        </w:tc>
        <w:tc>
          <w:tcPr>
            <w:tcW w:w="0" w:type="dxa"/>
            <w:vAlign w:val="bottom"/>
          </w:tcPr>
          <w:p>
            <w:pPr>
              <w:spacing w:after="0"/>
              <w:rPr>
                <w:sz w:val="1"/>
                <w:szCs w:val="1"/>
                <w:color w:val="auto"/>
              </w:rPr>
            </w:pPr>
          </w:p>
        </w:tc>
      </w:tr>
      <w:tr>
        <w:trPr>
          <w:trHeight w:val="57"/>
        </w:trPr>
        <w:tc>
          <w:tcPr>
            <w:tcW w:w="310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Arial" w:cs="Arial" w:eastAsia="Arial" w:hAnsi="Arial"/>
          <w:sz w:val="17"/>
          <w:szCs w:val="17"/>
          <w:color w:val="0000FF"/>
        </w:rPr>
        <w:t>Master</w:t>
      </w:r>
    </w:p>
    <w:p>
      <w:pPr>
        <w:spacing w:after="0" w:line="3" w:lineRule="exact"/>
        <w:rPr>
          <w:sz w:val="24"/>
          <w:szCs w:val="24"/>
          <w:color w:val="auto"/>
        </w:rPr>
      </w:pPr>
    </w:p>
    <w:p>
      <w:pPr>
        <w:ind w:left="10160"/>
        <w:spacing w:after="0"/>
        <w:rPr>
          <w:sz w:val="20"/>
          <w:szCs w:val="20"/>
          <w:color w:val="auto"/>
        </w:rPr>
      </w:pPr>
      <w:r>
        <w:rPr>
          <w:rFonts w:ascii="Arial" w:cs="Arial" w:eastAsia="Arial" w:hAnsi="Arial"/>
          <w:sz w:val="17"/>
          <w:szCs w:val="17"/>
          <w:color w:val="0000FF"/>
        </w:rPr>
        <w:t>Fund, LP</w:t>
      </w:r>
    </w:p>
    <w:p>
      <w:pPr>
        <w:sectPr>
          <w:pgSz w:w="11900" w:h="16963" w:orient="portrait"/>
          <w:cols w:equalWidth="0" w:num="1">
            <w:col w:w="11080"/>
          </w:cols>
          <w:pgMar w:left="460" w:top="221" w:right="359" w:bottom="0" w:gutter="0" w:footer="0" w:header="0"/>
          <w:type w:val="continuous"/>
        </w:sectPr>
      </w:pPr>
    </w:p>
    <w:p>
      <w:pPr>
        <w:spacing w:after="0" w:line="232"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Class A Common Stock, par value $0.0001</w:t>
      </w:r>
    </w:p>
    <w:p>
      <w:pPr>
        <w:spacing w:after="0" w:line="40"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per share</w:t>
      </w:r>
      <w:r>
        <w:rPr>
          <w:rFonts w:ascii="Arial" w:cs="Arial" w:eastAsia="Arial" w:hAnsi="Arial"/>
          <w:sz w:val="21"/>
          <w:szCs w:val="21"/>
          <w:color w:val="008000"/>
          <w:vertAlign w:val="superscript"/>
        </w:rPr>
        <w:t>(1)(2)</w:t>
      </w:r>
    </w:p>
    <w:p>
      <w:pPr>
        <w:spacing w:after="0" w:line="39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Class A Common Stock, par value $0.0001</w:t>
      </w:r>
    </w:p>
    <w:p>
      <w:pPr>
        <w:spacing w:after="0" w:line="40"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per share</w:t>
      </w:r>
      <w:r>
        <w:rPr>
          <w:rFonts w:ascii="Arial" w:cs="Arial" w:eastAsia="Arial" w:hAnsi="Arial"/>
          <w:sz w:val="21"/>
          <w:szCs w:val="21"/>
          <w:color w:val="008000"/>
          <w:vertAlign w:val="superscript"/>
        </w:rPr>
        <w:t>(1)(2)</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ind w:left="1800"/>
        <w:spacing w:after="0"/>
        <w:rPr>
          <w:sz w:val="20"/>
          <w:szCs w:val="20"/>
          <w:color w:val="auto"/>
        </w:rPr>
      </w:pPr>
      <w:r>
        <w:rPr>
          <w:rFonts w:ascii="Arial" w:cs="Arial" w:eastAsia="Arial" w:hAnsi="Arial"/>
          <w:sz w:val="17"/>
          <w:szCs w:val="17"/>
          <w:color w:val="0000FF"/>
        </w:rPr>
        <w:t>By: Luxor</w:t>
      </w:r>
    </w:p>
    <w:p>
      <w:pPr>
        <w:spacing w:after="0"/>
        <w:tabs>
          <w:tab w:leader="none" w:pos="1160" w:val="left"/>
          <w:tab w:leader="none" w:pos="1780" w:val="left"/>
        </w:tabs>
        <w:rPr>
          <w:sz w:val="20"/>
          <w:szCs w:val="20"/>
          <w:color w:val="auto"/>
        </w:rPr>
      </w:pPr>
      <w:r>
        <w:rPr>
          <w:rFonts w:ascii="Arial" w:cs="Arial" w:eastAsia="Arial" w:hAnsi="Arial"/>
          <w:sz w:val="17"/>
          <w:szCs w:val="17"/>
          <w:color w:val="0000FF"/>
        </w:rPr>
        <w:t>13,440</w:t>
      </w:r>
      <w:r>
        <w:rPr>
          <w:sz w:val="20"/>
          <w:szCs w:val="20"/>
          <w:color w:val="auto"/>
        </w:rPr>
        <w:tab/>
      </w:r>
      <w:r>
        <w:rPr>
          <w:rFonts w:ascii="Arial" w:cs="Arial" w:eastAsia="Arial" w:hAnsi="Arial"/>
          <w:sz w:val="17"/>
          <w:szCs w:val="17"/>
          <w:color w:val="0000FF"/>
        </w:rPr>
        <w:t>I</w:t>
      </w:r>
      <w:r>
        <w:rPr>
          <w:rFonts w:ascii="Arial" w:cs="Arial" w:eastAsia="Arial" w:hAnsi="Arial"/>
          <w:sz w:val="21"/>
          <w:szCs w:val="21"/>
          <w:color w:val="008000"/>
          <w:vertAlign w:val="superscript"/>
        </w:rPr>
        <w:t>(4)</w:t>
      </w:r>
      <w:r>
        <w:rPr>
          <w:sz w:val="20"/>
          <w:szCs w:val="20"/>
          <w:color w:val="auto"/>
        </w:rPr>
        <w:tab/>
      </w:r>
      <w:r>
        <w:rPr>
          <w:rFonts w:ascii="Arial" w:cs="Arial" w:eastAsia="Arial" w:hAnsi="Arial"/>
          <w:sz w:val="15"/>
          <w:szCs w:val="15"/>
          <w:color w:val="0000FF"/>
        </w:rPr>
        <w:t>Wavefront,</w:t>
      </w:r>
    </w:p>
    <w:p>
      <w:pPr>
        <w:ind w:left="1800"/>
        <w:spacing w:after="0"/>
        <w:rPr>
          <w:sz w:val="20"/>
          <w:szCs w:val="20"/>
          <w:color w:val="auto"/>
        </w:rPr>
      </w:pPr>
      <w:r>
        <w:rPr>
          <w:rFonts w:ascii="Arial" w:cs="Arial" w:eastAsia="Arial" w:hAnsi="Arial"/>
          <w:sz w:val="17"/>
          <w:szCs w:val="17"/>
          <w:color w:val="0000FF"/>
        </w:rPr>
        <w:t>LP</w:t>
      </w:r>
    </w:p>
    <w:p>
      <w:pPr>
        <w:spacing w:after="0" w:line="123" w:lineRule="exact"/>
        <w:rPr>
          <w:sz w:val="24"/>
          <w:szCs w:val="24"/>
          <w:color w:val="auto"/>
        </w:rPr>
      </w:pPr>
    </w:p>
    <w:p>
      <w:pPr>
        <w:ind w:left="1800"/>
        <w:spacing w:after="0"/>
        <w:rPr>
          <w:sz w:val="20"/>
          <w:szCs w:val="20"/>
          <w:color w:val="auto"/>
        </w:rPr>
      </w:pPr>
      <w:r>
        <w:rPr>
          <w:rFonts w:ascii="Arial" w:cs="Arial" w:eastAsia="Arial" w:hAnsi="Arial"/>
          <w:sz w:val="17"/>
          <w:szCs w:val="17"/>
          <w:color w:val="0000FF"/>
        </w:rPr>
        <w:t>By: Luxor</w:t>
      </w:r>
    </w:p>
    <w:p>
      <w:pPr>
        <w:spacing w:after="0" w:line="206" w:lineRule="auto"/>
        <w:tabs>
          <w:tab w:leader="none" w:pos="1160" w:val="left"/>
          <w:tab w:leader="none" w:pos="1780" w:val="left"/>
        </w:tabs>
        <w:rPr>
          <w:sz w:val="20"/>
          <w:szCs w:val="20"/>
          <w:color w:val="auto"/>
        </w:rPr>
      </w:pPr>
      <w:r>
        <w:rPr>
          <w:rFonts w:ascii="Arial" w:cs="Arial" w:eastAsia="Arial" w:hAnsi="Arial"/>
          <w:sz w:val="26"/>
          <w:szCs w:val="26"/>
          <w:color w:val="0000FF"/>
          <w:vertAlign w:val="subscript"/>
        </w:rPr>
        <w:t>53,645</w:t>
      </w:r>
      <w:r>
        <w:rPr>
          <w:sz w:val="20"/>
          <w:szCs w:val="20"/>
          <w:color w:val="auto"/>
        </w:rPr>
        <w:tab/>
      </w:r>
      <w:r>
        <w:rPr>
          <w:rFonts w:ascii="Arial" w:cs="Arial" w:eastAsia="Arial" w:hAnsi="Arial"/>
          <w:sz w:val="26"/>
          <w:szCs w:val="26"/>
          <w:color w:val="0000FF"/>
          <w:vertAlign w:val="subscript"/>
        </w:rPr>
        <w:t>I</w:t>
      </w:r>
      <w:r>
        <w:rPr>
          <w:rFonts w:ascii="Arial" w:cs="Arial" w:eastAsia="Arial" w:hAnsi="Arial"/>
          <w:sz w:val="9"/>
          <w:szCs w:val="9"/>
          <w:color w:val="008000"/>
        </w:rPr>
        <w:t>(3)</w:t>
      </w:r>
      <w:r>
        <w:rPr>
          <w:sz w:val="20"/>
          <w:szCs w:val="20"/>
          <w:color w:val="auto"/>
        </w:rPr>
        <w:tab/>
      </w:r>
      <w:r>
        <w:rPr>
          <w:rFonts w:ascii="Arial" w:cs="Arial" w:eastAsia="Arial" w:hAnsi="Arial"/>
          <w:sz w:val="23"/>
          <w:szCs w:val="23"/>
          <w:color w:val="0000FF"/>
          <w:vertAlign w:val="superscript"/>
        </w:rPr>
        <w:t>Capital</w:t>
      </w:r>
    </w:p>
    <w:p>
      <w:pPr>
        <w:spacing w:after="0" w:line="1" w:lineRule="exact"/>
        <w:rPr>
          <w:sz w:val="24"/>
          <w:szCs w:val="24"/>
          <w:color w:val="auto"/>
        </w:rPr>
      </w:pPr>
    </w:p>
    <w:p>
      <w:pPr>
        <w:ind w:left="1800"/>
        <w:spacing w:after="0"/>
        <w:rPr>
          <w:sz w:val="20"/>
          <w:szCs w:val="20"/>
          <w:color w:val="auto"/>
        </w:rPr>
      </w:pPr>
      <w:r>
        <w:rPr>
          <w:rFonts w:ascii="Arial" w:cs="Arial" w:eastAsia="Arial" w:hAnsi="Arial"/>
          <w:sz w:val="17"/>
          <w:szCs w:val="17"/>
          <w:color w:val="0000FF"/>
        </w:rPr>
        <w:t>Partners,</w:t>
      </w:r>
    </w:p>
    <w:p>
      <w:pPr>
        <w:spacing w:after="0" w:line="3" w:lineRule="exact"/>
        <w:rPr>
          <w:sz w:val="24"/>
          <w:szCs w:val="24"/>
          <w:color w:val="auto"/>
        </w:rPr>
      </w:pPr>
    </w:p>
    <w:p>
      <w:pPr>
        <w:ind w:left="1800"/>
        <w:spacing w:after="0"/>
        <w:rPr>
          <w:sz w:val="20"/>
          <w:szCs w:val="20"/>
          <w:color w:val="auto"/>
        </w:rPr>
      </w:pPr>
      <w:r>
        <w:rPr>
          <w:rFonts w:ascii="Arial" w:cs="Arial" w:eastAsia="Arial" w:hAnsi="Arial"/>
          <w:sz w:val="17"/>
          <w:szCs w:val="17"/>
          <w:color w:val="0000FF"/>
        </w:rPr>
        <w:t>LP</w:t>
      </w:r>
    </w:p>
    <w:p>
      <w:pPr>
        <w:spacing w:after="0" w:line="147" w:lineRule="exact"/>
        <w:rPr>
          <w:sz w:val="24"/>
          <w:szCs w:val="24"/>
          <w:color w:val="auto"/>
        </w:rPr>
      </w:pPr>
    </w:p>
    <w:p>
      <w:pPr>
        <w:sectPr>
          <w:pgSz w:w="11900" w:h="16963" w:orient="portrait"/>
          <w:cols w:equalWidth="0" w:num="2">
            <w:col w:w="7640" w:space="720"/>
            <w:col w:w="2720"/>
          </w:cols>
          <w:pgMar w:left="460" w:top="221"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Conversion</w:t>
            </w: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By: Lugard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Put Option</w:t>
            </w: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Road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restart"/>
          </w:tcPr>
          <w:p>
            <w:pPr>
              <w:ind w:left="440"/>
              <w:spacing w:after="0" w:line="188" w:lineRule="exact"/>
              <w:rPr>
                <w:sz w:val="20"/>
                <w:szCs w:val="20"/>
                <w:color w:val="auto"/>
              </w:rPr>
            </w:pPr>
            <w:r>
              <w:rPr>
                <w:rFonts w:ascii="Arial" w:cs="Arial" w:eastAsia="Arial" w:hAnsi="Arial"/>
                <w:sz w:val="13"/>
                <w:szCs w:val="13"/>
                <w:color w:val="0000FF"/>
                <w:w w:val="92"/>
              </w:rPr>
              <w:t>1,900</w:t>
            </w:r>
            <w:r>
              <w:rPr>
                <w:rFonts w:ascii="Arial" w:cs="Arial" w:eastAsia="Arial" w:hAnsi="Arial"/>
                <w:sz w:val="21"/>
                <w:szCs w:val="21"/>
                <w:color w:val="008000"/>
                <w:w w:val="92"/>
                <w:vertAlign w:val="superscript"/>
              </w:rPr>
              <w:t>(7)</w:t>
            </w: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ind w:left="40"/>
              <w:spacing w:after="0" w:line="188" w:lineRule="exact"/>
              <w:rPr>
                <w:sz w:val="20"/>
                <w:szCs w:val="20"/>
                <w:color w:val="auto"/>
              </w:rPr>
            </w:pPr>
            <w:r>
              <w:rPr>
                <w:rFonts w:ascii="Arial" w:cs="Arial" w:eastAsia="Arial" w:hAnsi="Arial"/>
                <w:sz w:val="17"/>
                <w:szCs w:val="17"/>
                <w:color w:val="0000FF"/>
              </w:rPr>
              <w:t>1,900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vMerge w:val="restart"/>
          </w:tcPr>
          <w:p>
            <w:pPr>
              <w:ind w:left="300"/>
              <w:spacing w:after="0" w:line="188"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(6)</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(Obligation</w:t>
            </w:r>
          </w:p>
        </w:tc>
        <w:tc>
          <w:tcPr>
            <w:tcW w:w="740" w:type="dxa"/>
            <w:vAlign w:val="bottom"/>
          </w:tcPr>
          <w:p>
            <w:pPr>
              <w:ind w:left="300"/>
              <w:spacing w:after="0" w:line="124"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w:t>
            </w:r>
          </w:p>
        </w:tc>
        <w:tc>
          <w:tcPr>
            <w:tcW w:w="1120" w:type="dxa"/>
            <w:vAlign w:val="bottom"/>
            <w:gridSpan w:val="2"/>
          </w:tcPr>
          <w:p>
            <w:pPr>
              <w:ind w:left="280"/>
              <w:spacing w:after="0" w:line="124" w:lineRule="exact"/>
              <w:rPr>
                <w:sz w:val="20"/>
                <w:szCs w:val="20"/>
                <w:color w:val="auto"/>
              </w:rPr>
            </w:pPr>
            <w:r>
              <w:rPr>
                <w:rFonts w:ascii="Arial" w:cs="Arial" w:eastAsia="Arial" w:hAnsi="Arial"/>
                <w:sz w:val="13"/>
                <w:szCs w:val="13"/>
                <w:color w:val="0000FF"/>
              </w:rPr>
              <w:t>01/18/2022</w:t>
            </w:r>
          </w:p>
        </w:tc>
        <w:tc>
          <w:tcPr>
            <w:tcW w:w="1060" w:type="dxa"/>
            <w:vAlign w:val="bottom"/>
          </w:tcPr>
          <w:p>
            <w:pPr>
              <w:spacing w:after="0"/>
              <w:rPr>
                <w:sz w:val="10"/>
                <w:szCs w:val="10"/>
                <w:color w:val="auto"/>
              </w:rPr>
            </w:pPr>
          </w:p>
        </w:tc>
        <w:tc>
          <w:tcPr>
            <w:tcW w:w="720" w:type="dxa"/>
            <w:vAlign w:val="bottom"/>
            <w:gridSpan w:val="2"/>
          </w:tcPr>
          <w:p>
            <w:pPr>
              <w:ind w:left="160"/>
              <w:spacing w:after="0" w:line="124" w:lineRule="exact"/>
              <w:rPr>
                <w:sz w:val="20"/>
                <w:szCs w:val="20"/>
                <w:color w:val="auto"/>
              </w:rPr>
            </w:pPr>
            <w:r>
              <w:rPr>
                <w:rFonts w:ascii="Arial" w:cs="Arial" w:eastAsia="Arial" w:hAnsi="Arial"/>
                <w:sz w:val="13"/>
                <w:szCs w:val="13"/>
                <w:color w:val="0000FF"/>
              </w:rPr>
              <w:t>X</w:t>
            </w:r>
          </w:p>
        </w:tc>
        <w:tc>
          <w:tcPr>
            <w:tcW w:w="920" w:type="dxa"/>
            <w:vAlign w:val="bottom"/>
            <w:vMerge w:val="continue"/>
          </w:tcPr>
          <w:p>
            <w:pPr>
              <w:spacing w:after="0"/>
              <w:rPr>
                <w:sz w:val="10"/>
                <w:szCs w:val="10"/>
                <w:color w:val="auto"/>
              </w:rPr>
            </w:pPr>
          </w:p>
        </w:tc>
        <w:tc>
          <w:tcPr>
            <w:tcW w:w="780" w:type="dxa"/>
            <w:vAlign w:val="bottom"/>
          </w:tcPr>
          <w:p>
            <w:pPr>
              <w:ind w:left="100"/>
              <w:spacing w:after="0" w:line="124" w:lineRule="exact"/>
              <w:rPr>
                <w:sz w:val="20"/>
                <w:szCs w:val="20"/>
                <w:color w:val="auto"/>
              </w:rPr>
            </w:pPr>
            <w:r>
              <w:rPr>
                <w:rFonts w:ascii="Arial" w:cs="Arial" w:eastAsia="Arial" w:hAnsi="Arial"/>
                <w:sz w:val="13"/>
                <w:szCs w:val="13"/>
                <w:color w:val="0000FF"/>
              </w:rPr>
              <w:t>07/19/2021</w:t>
            </w:r>
          </w:p>
        </w:tc>
        <w:tc>
          <w:tcPr>
            <w:tcW w:w="720" w:type="dxa"/>
            <w:vAlign w:val="bottom"/>
          </w:tcPr>
          <w:p>
            <w:pPr>
              <w:ind w:left="80"/>
              <w:spacing w:after="0" w:line="124" w:lineRule="exact"/>
              <w:rPr>
                <w:sz w:val="20"/>
                <w:szCs w:val="20"/>
                <w:color w:val="auto"/>
              </w:rPr>
            </w:pPr>
            <w:r>
              <w:rPr>
                <w:rFonts w:ascii="Arial" w:cs="Arial" w:eastAsia="Arial" w:hAnsi="Arial"/>
                <w:sz w:val="13"/>
                <w:szCs w:val="13"/>
                <w:color w:val="0000FF"/>
                <w:w w:val="95"/>
              </w:rPr>
              <w:t>01/21/2022</w:t>
            </w: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tcPr>
          <w:p>
            <w:pPr>
              <w:ind w:left="280"/>
              <w:spacing w:after="0" w:line="124"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320"/>
              <w:spacing w:after="0" w:line="124" w:lineRule="exact"/>
              <w:rPr>
                <w:sz w:val="20"/>
                <w:szCs w:val="20"/>
                <w:color w:val="auto"/>
              </w:rPr>
            </w:pPr>
            <w:r>
              <w:rPr>
                <w:rFonts w:ascii="Arial" w:cs="Arial" w:eastAsia="Arial" w:hAnsi="Arial"/>
                <w:sz w:val="13"/>
                <w:szCs w:val="13"/>
                <w:color w:val="0000FF"/>
              </w:rPr>
              <w:t>6,664</w:t>
            </w:r>
          </w:p>
        </w:tc>
        <w:tc>
          <w:tcPr>
            <w:tcW w:w="740" w:type="dxa"/>
            <w:vAlign w:val="bottom"/>
            <w:vMerge w:val="continue"/>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Buy)</w:t>
            </w: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80"/>
              <w:spacing w:after="0" w:line="94" w:lineRule="exact"/>
              <w:rPr>
                <w:sz w:val="20"/>
                <w:szCs w:val="20"/>
                <w:color w:val="auto"/>
              </w:rPr>
            </w:pPr>
            <w:r>
              <w:rPr>
                <w:rFonts w:ascii="Arial" w:cs="Arial" w:eastAsia="Arial" w:hAnsi="Arial"/>
                <w:sz w:val="10"/>
                <w:szCs w:val="10"/>
                <w:color w:val="0000FF"/>
              </w:rPr>
              <w:t>par value</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Master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ind w:right="1"/>
              <w:spacing w:after="0" w:line="141" w:lineRule="exact"/>
              <w:rPr>
                <w:sz w:val="20"/>
                <w:szCs w:val="20"/>
                <w:color w:val="auto"/>
              </w:rPr>
            </w:pPr>
            <w:r>
              <w:rPr>
                <w:rFonts w:ascii="Arial" w:cs="Arial" w:eastAsia="Arial" w:hAnsi="Arial"/>
                <w:sz w:val="13"/>
                <w:szCs w:val="13"/>
                <w:color w:val="0000FF"/>
                <w:w w:val="89"/>
              </w:rPr>
              <w:t>$0.0001</w:t>
            </w: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3"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5"/>
          </w:tcPr>
          <w:p>
            <w:pPr>
              <w:ind w:left="20"/>
              <w:spacing w:after="0" w:line="213" w:lineRule="exact"/>
              <w:rPr>
                <w:rFonts w:ascii="Arial" w:cs="Arial" w:eastAsia="Arial" w:hAnsi="Arial"/>
                <w:sz w:val="20"/>
                <w:szCs w:val="20"/>
                <w:color w:val="0000EE"/>
              </w:rPr>
            </w:pPr>
            <w:hyperlink r:id="rId12">
              <w:r>
                <w:rPr>
                  <w:rFonts w:ascii="Arial" w:cs="Arial" w:eastAsia="Arial" w:hAnsi="Arial"/>
                  <w:sz w:val="20"/>
                  <w:szCs w:val="20"/>
                  <w:color w:val="0000EE"/>
                </w:rPr>
                <w:t>Luxor Capital Group, LP</w:t>
              </w:r>
            </w:hyperlink>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6"/>
          </w:tcPr>
          <w:p>
            <w:pPr>
              <w:ind w:left="20"/>
              <w:spacing w:after="0"/>
              <w:rPr>
                <w:sz w:val="20"/>
                <w:szCs w:val="20"/>
                <w:color w:val="auto"/>
              </w:rPr>
            </w:pPr>
            <w:r>
              <w:rPr>
                <w:rFonts w:ascii="Arial" w:cs="Arial" w:eastAsia="Arial" w:hAnsi="Arial"/>
                <w:sz w:val="17"/>
                <w:szCs w:val="17"/>
                <w:color w:val="0000FF"/>
              </w:rPr>
              <w:t>1114 AVENUE OF THE AMERICAS</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color w:val="0000FF"/>
              </w:rPr>
              <w:t>28TH FLOOR</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060" w:type="dxa"/>
            <w:vAlign w:val="bottom"/>
          </w:tcPr>
          <w:p>
            <w:pPr>
              <w:ind w:left="320"/>
              <w:spacing w:after="0"/>
              <w:rPr>
                <w:sz w:val="20"/>
                <w:szCs w:val="20"/>
                <w:color w:val="auto"/>
              </w:rPr>
            </w:pPr>
            <w:r>
              <w:rPr>
                <w:rFonts w:ascii="Arial" w:cs="Arial" w:eastAsia="Arial" w:hAnsi="Arial"/>
                <w:sz w:val="17"/>
                <w:szCs w:val="17"/>
                <w:color w:val="0000FF"/>
              </w:rPr>
              <w:t>10036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4"/>
          <w:szCs w:val="24"/>
          <w:color w:val="auto"/>
        </w:rPr>
      </w:pPr>
    </w:p>
    <w:p>
      <w:pPr>
        <w:spacing w:after="0"/>
        <w:rPr>
          <w:sz w:val="20"/>
          <w:szCs w:val="20"/>
          <w:color w:val="auto"/>
        </w:rPr>
      </w:pPr>
      <w:r>
        <w:rPr>
          <w:sz w:val="1"/>
          <w:szCs w:val="1"/>
          <w:color w:val="auto"/>
        </w:rPr>
        <w:drawing>
          <wp:inline distT="0" distB="0" distL="0" distR="0">
            <wp:extent cx="33655" cy="1993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655" cy="19939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1"/>
          <w:szCs w:val="21"/>
          <w:color w:val="auto"/>
          <w:vertAlign w:val="superscript"/>
        </w:rPr>
        <w:t>*</w:t>
      </w:r>
    </w:p>
    <w:p>
      <w:pPr>
        <w:sectPr>
          <w:pgSz w:w="11900" w:h="16963" w:orient="portrait"/>
          <w:cols w:equalWidth="0" w:num="1">
            <w:col w:w="11080"/>
          </w:cols>
          <w:pgMar w:left="460" w:top="221" w:right="359" w:bottom="0" w:gutter="0" w:footer="0" w:header="0"/>
          <w:type w:val="continuous"/>
        </w:sectPr>
      </w:pPr>
    </w:p>
    <w:bookmarkStart w:id="1" w:name="page2"/>
    <w:bookmarkEnd w:id="1"/>
    <w:p>
      <w:pPr>
        <w:ind w:left="100"/>
        <w:spacing w:after="0"/>
        <w:rPr>
          <w:rFonts w:ascii="Arial" w:cs="Arial" w:eastAsia="Arial" w:hAnsi="Arial"/>
          <w:sz w:val="20"/>
          <w:szCs w:val="20"/>
          <w:u w:val="single" w:color="auto"/>
          <w:color w:val="0000EE"/>
        </w:rPr>
      </w:pPr>
      <w:hyperlink r:id="rId15">
        <w:r>
          <w:rPr>
            <w:rFonts w:ascii="Arial" w:cs="Arial" w:eastAsia="Arial" w:hAnsi="Arial"/>
            <w:sz w:val="20"/>
            <w:szCs w:val="20"/>
            <w:u w:val="single" w:color="auto"/>
            <w:color w:val="0000EE"/>
          </w:rPr>
          <w:t>Lugard Road Capital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-132715</wp:posOffset>
            </wp:positionV>
            <wp:extent cx="2811780" cy="8557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11780" cy="855789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8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80" w:type="dxa"/>
            <w:vAlign w:val="bottom"/>
            <w:gridSpan w:val="6"/>
          </w:tcPr>
          <w:p>
            <w:pPr>
              <w:ind w:left="20"/>
              <w:spacing w:after="0"/>
              <w:rPr>
                <w:sz w:val="20"/>
                <w:szCs w:val="20"/>
                <w:color w:val="auto"/>
              </w:rPr>
            </w:pPr>
            <w:r>
              <w:rPr>
                <w:rFonts w:ascii="Arial" w:cs="Arial" w:eastAsia="Arial" w:hAnsi="Arial"/>
                <w:sz w:val="17"/>
                <w:szCs w:val="17"/>
                <w:color w:val="0000FF"/>
                <w:w w:val="96"/>
              </w:rPr>
              <w:t>1114 AVENUE OF THE AMERICAS</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28TH FLOOR</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480" w:type="dxa"/>
            <w:vAlign w:val="bottom"/>
            <w:gridSpan w:val="4"/>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8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3"/>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7"/>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3"/>
        </w:trPr>
        <w:tc>
          <w:tcPr>
            <w:tcW w:w="80" w:type="dxa"/>
            <w:vAlign w:val="bottom"/>
          </w:tcPr>
          <w:p>
            <w:pPr>
              <w:spacing w:after="0"/>
              <w:rPr>
                <w:sz w:val="18"/>
                <w:szCs w:val="18"/>
                <w:color w:val="auto"/>
              </w:rPr>
            </w:pPr>
          </w:p>
        </w:tc>
        <w:tc>
          <w:tcPr>
            <w:tcW w:w="2680" w:type="dxa"/>
            <w:vAlign w:val="bottom"/>
            <w:gridSpan w:val="6"/>
          </w:tcPr>
          <w:p>
            <w:pPr>
              <w:ind w:left="20"/>
              <w:spacing w:after="0" w:line="213" w:lineRule="exact"/>
              <w:rPr>
                <w:rFonts w:ascii="Arial" w:cs="Arial" w:eastAsia="Arial" w:hAnsi="Arial"/>
                <w:sz w:val="20"/>
                <w:szCs w:val="20"/>
                <w:color w:val="0000EE"/>
              </w:rPr>
            </w:pPr>
            <w:hyperlink r:id="rId17">
              <w:r>
                <w:rPr>
                  <w:rFonts w:ascii="Arial" w:cs="Arial" w:eastAsia="Arial" w:hAnsi="Arial"/>
                  <w:sz w:val="20"/>
                  <w:szCs w:val="20"/>
                  <w:color w:val="0000EE"/>
                </w:rPr>
                <w:t>LCG HOLDINGS LLC</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8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80" w:type="dxa"/>
            <w:vAlign w:val="bottom"/>
            <w:gridSpan w:val="6"/>
          </w:tcPr>
          <w:p>
            <w:pPr>
              <w:ind w:left="20"/>
              <w:spacing w:after="0"/>
              <w:rPr>
                <w:sz w:val="20"/>
                <w:szCs w:val="20"/>
                <w:color w:val="auto"/>
              </w:rPr>
            </w:pPr>
            <w:r>
              <w:rPr>
                <w:rFonts w:ascii="Arial" w:cs="Arial" w:eastAsia="Arial" w:hAnsi="Arial"/>
                <w:sz w:val="17"/>
                <w:szCs w:val="17"/>
                <w:color w:val="0000FF"/>
                <w:w w:val="96"/>
              </w:rPr>
              <w:t>1114 AVENUE OF THE AMERICAS</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28TH FLOOR</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480" w:type="dxa"/>
            <w:vAlign w:val="bottom"/>
            <w:gridSpan w:val="4"/>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8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3"/>
        </w:trPr>
        <w:tc>
          <w:tcPr>
            <w:tcW w:w="10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7"/>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3"/>
        </w:trPr>
        <w:tc>
          <w:tcPr>
            <w:tcW w:w="80" w:type="dxa"/>
            <w:vAlign w:val="bottom"/>
          </w:tcPr>
          <w:p>
            <w:pPr>
              <w:spacing w:after="0"/>
              <w:rPr>
                <w:sz w:val="18"/>
                <w:szCs w:val="18"/>
                <w:color w:val="auto"/>
              </w:rPr>
            </w:pPr>
          </w:p>
        </w:tc>
        <w:tc>
          <w:tcPr>
            <w:tcW w:w="2680" w:type="dxa"/>
            <w:vAlign w:val="bottom"/>
            <w:gridSpan w:val="6"/>
          </w:tcPr>
          <w:p>
            <w:pPr>
              <w:ind w:left="20"/>
              <w:spacing w:after="0" w:line="213" w:lineRule="exact"/>
              <w:rPr>
                <w:rFonts w:ascii="Arial" w:cs="Arial" w:eastAsia="Arial" w:hAnsi="Arial"/>
                <w:sz w:val="20"/>
                <w:szCs w:val="20"/>
                <w:color w:val="0000EE"/>
              </w:rPr>
            </w:pPr>
            <w:hyperlink r:id="rId18">
              <w:r>
                <w:rPr>
                  <w:rFonts w:ascii="Arial" w:cs="Arial" w:eastAsia="Arial" w:hAnsi="Arial"/>
                  <w:sz w:val="20"/>
                  <w:szCs w:val="20"/>
                  <w:color w:val="0000EE"/>
                </w:rPr>
                <w:t>Luxor Wavefront, LP</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8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80" w:type="dxa"/>
            <w:vAlign w:val="bottom"/>
            <w:gridSpan w:val="6"/>
          </w:tcPr>
          <w:p>
            <w:pPr>
              <w:ind w:left="20"/>
              <w:spacing w:after="0"/>
              <w:rPr>
                <w:sz w:val="20"/>
                <w:szCs w:val="20"/>
                <w:color w:val="auto"/>
              </w:rPr>
            </w:pPr>
            <w:r>
              <w:rPr>
                <w:rFonts w:ascii="Arial" w:cs="Arial" w:eastAsia="Arial" w:hAnsi="Arial"/>
                <w:sz w:val="17"/>
                <w:szCs w:val="17"/>
                <w:color w:val="0000FF"/>
                <w:w w:val="96"/>
              </w:rPr>
              <w:t>1114 AVENUE OF THE AMERICAS</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28TH FLOOR</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480" w:type="dxa"/>
            <w:vAlign w:val="bottom"/>
            <w:gridSpan w:val="4"/>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8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3"/>
        </w:trPr>
        <w:tc>
          <w:tcPr>
            <w:tcW w:w="10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7"/>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3"/>
        </w:trPr>
        <w:tc>
          <w:tcPr>
            <w:tcW w:w="80" w:type="dxa"/>
            <w:vAlign w:val="bottom"/>
          </w:tcPr>
          <w:p>
            <w:pPr>
              <w:spacing w:after="0"/>
              <w:rPr>
                <w:sz w:val="18"/>
                <w:szCs w:val="18"/>
                <w:color w:val="auto"/>
              </w:rPr>
            </w:pPr>
          </w:p>
        </w:tc>
        <w:tc>
          <w:tcPr>
            <w:tcW w:w="2680" w:type="dxa"/>
            <w:vAlign w:val="bottom"/>
            <w:gridSpan w:val="6"/>
          </w:tcPr>
          <w:p>
            <w:pPr>
              <w:ind w:left="20"/>
              <w:spacing w:after="0" w:line="213" w:lineRule="exact"/>
              <w:rPr>
                <w:rFonts w:ascii="Arial" w:cs="Arial" w:eastAsia="Arial" w:hAnsi="Arial"/>
                <w:sz w:val="20"/>
                <w:szCs w:val="20"/>
                <w:color w:val="0000EE"/>
              </w:rPr>
            </w:pPr>
            <w:hyperlink r:id="rId19">
              <w:r>
                <w:rPr>
                  <w:rFonts w:ascii="Arial" w:cs="Arial" w:eastAsia="Arial" w:hAnsi="Arial"/>
                  <w:sz w:val="20"/>
                  <w:szCs w:val="20"/>
                  <w:color w:val="0000EE"/>
                </w:rPr>
                <w:t>Luxor Capital Partners, LP</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8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80" w:type="dxa"/>
            <w:vAlign w:val="bottom"/>
            <w:gridSpan w:val="6"/>
          </w:tcPr>
          <w:p>
            <w:pPr>
              <w:ind w:left="20"/>
              <w:spacing w:after="0"/>
              <w:rPr>
                <w:sz w:val="20"/>
                <w:szCs w:val="20"/>
                <w:color w:val="auto"/>
              </w:rPr>
            </w:pPr>
            <w:r>
              <w:rPr>
                <w:rFonts w:ascii="Arial" w:cs="Arial" w:eastAsia="Arial" w:hAnsi="Arial"/>
                <w:sz w:val="17"/>
                <w:szCs w:val="17"/>
                <w:color w:val="0000FF"/>
                <w:w w:val="96"/>
              </w:rPr>
              <w:t>1114 AVENUE OF THE AMERICAS</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28TH FLOOR</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480" w:type="dxa"/>
            <w:vAlign w:val="bottom"/>
            <w:gridSpan w:val="4"/>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8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LUXOR CAPITAL PARTNERS OFFSHORE</w:t>
        </w:r>
      </w:hyperlink>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LTD</w:t>
        </w:r>
      </w:hyperlink>
    </w:p>
    <w:p>
      <w:pPr>
        <w:spacing w:after="0" w:line="310"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MAPLES CORPORATE SERVICES LTD.</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PO BOX 309, UGLAND HOUSE</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Arial" w:cs="Arial" w:eastAsia="Arial" w:hAnsi="Arial"/>
                <w:sz w:val="17"/>
                <w:szCs w:val="17"/>
                <w:color w:val="0000FF"/>
                <w:w w:val="97"/>
              </w:rPr>
              <w:t>GEORGE TOWN</w:t>
            </w:r>
          </w:p>
        </w:tc>
        <w:tc>
          <w:tcPr>
            <w:tcW w:w="980" w:type="dxa"/>
            <w:vAlign w:val="bottom"/>
          </w:tcPr>
          <w:p>
            <w:pPr>
              <w:ind w:left="100"/>
              <w:spacing w:after="0"/>
              <w:rPr>
                <w:sz w:val="20"/>
                <w:szCs w:val="20"/>
                <w:color w:val="auto"/>
              </w:rPr>
            </w:pPr>
            <w:r>
              <w:rPr>
                <w:rFonts w:ascii="Arial" w:cs="Arial" w:eastAsia="Arial" w:hAnsi="Arial"/>
                <w:sz w:val="17"/>
                <w:szCs w:val="17"/>
                <w:color w:val="0000FF"/>
              </w:rPr>
              <w:t>E9</w:t>
            </w:r>
          </w:p>
        </w:tc>
        <w:tc>
          <w:tcPr>
            <w:tcW w:w="1880" w:type="dxa"/>
            <w:vAlign w:val="bottom"/>
          </w:tcPr>
          <w:p>
            <w:pPr>
              <w:ind w:left="520"/>
              <w:spacing w:after="0"/>
              <w:rPr>
                <w:sz w:val="20"/>
                <w:szCs w:val="20"/>
                <w:color w:val="auto"/>
              </w:rPr>
            </w:pPr>
            <w:r>
              <w:rPr>
                <w:rFonts w:ascii="Arial" w:cs="Arial" w:eastAsia="Arial" w:hAnsi="Arial"/>
                <w:sz w:val="17"/>
                <w:szCs w:val="17"/>
                <w:color w:val="0000FF"/>
              </w:rPr>
              <w:t>KY1-1104</w:t>
            </w:r>
          </w:p>
        </w:tc>
      </w:tr>
      <w:tr>
        <w:trPr>
          <w:trHeight w:val="147"/>
        </w:trPr>
        <w:tc>
          <w:tcPr>
            <w:tcW w:w="2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0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40" w:firstLine="1"/>
        <w:spacing w:after="0" w:line="237"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jointly by Luxor Capital Group, LP ("Luxor Capital Group"), Luxor Capital Partners, LP ("Onshore Fund"), Luxor Capital Partners Offshore, Ltd. ("Offshore Feeder Fund"), Luxor Wavefront, LP ("Wavefront Fund"), LCG Holdings, LLC ("LCG Holdings"), Luxor Management, LLC ("Luxor Management"), Lugard Road Capital GP, LLC ("Lugard GP"), Jonathan Green and Christian Leone (collectively, the "Reporting Persons").</w:t>
      </w:r>
    </w:p>
    <w:p>
      <w:pPr>
        <w:spacing w:after="0" w:line="30" w:lineRule="exact"/>
        <w:rPr>
          <w:rFonts w:ascii="Arial" w:cs="Arial" w:eastAsia="Arial" w:hAnsi="Arial"/>
          <w:sz w:val="13"/>
          <w:szCs w:val="13"/>
          <w:color w:val="008000"/>
        </w:rPr>
      </w:pPr>
    </w:p>
    <w:p>
      <w:pPr>
        <w:ind w:left="20" w:right="280" w:firstLine="1"/>
        <w:spacing w:after="0" w:line="234"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may be deemed to be a member of a Section 13(d) group that may be deemed to collectively beneficially own more than 10% of the Issuer's outstanding shares of Class A Common Stock. Each of the Reporting Persons disclaims beneficial ownership of the securities reported herein except to the extent of his or its pecuniary interest therein. The filing of this Form 4 shall not be deemed an admission that the Reporting Persons are, for purposes of Section 13(d) of the Securities Exchange Act of 1934, as amended, the beneficial owners of any securities of the Issuer he or it does not directly own.</w:t>
      </w:r>
    </w:p>
    <w:p>
      <w:pPr>
        <w:spacing w:after="0" w:line="30" w:lineRule="exact"/>
        <w:rPr>
          <w:rFonts w:ascii="Arial" w:cs="Arial" w:eastAsia="Arial" w:hAnsi="Arial"/>
          <w:sz w:val="13"/>
          <w:szCs w:val="13"/>
          <w:color w:val="008000"/>
        </w:rPr>
      </w:pPr>
    </w:p>
    <w:p>
      <w:pPr>
        <w:ind w:left="20" w:right="60" w:firstLine="1"/>
        <w:spacing w:after="0" w:line="237"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Onshore Fund. Each of LCG Holdings and Luxor Capital Group, as the general partner and investment manager, respectively, of Onshore Fund, may be deemed to beneficially own the securities owned directly by Onshore Fund. Luxor Management, as the general partner of Luxor Capital Group, and Christian Leone, as the managing member of each of LCG Holdings and Luxor Management, may be deemed to beneficially own the securities owned directly by Onshore Fund.</w:t>
      </w:r>
    </w:p>
    <w:p>
      <w:pPr>
        <w:spacing w:after="0" w:line="30" w:lineRule="exact"/>
        <w:rPr>
          <w:rFonts w:ascii="Arial" w:cs="Arial" w:eastAsia="Arial" w:hAnsi="Arial"/>
          <w:sz w:val="13"/>
          <w:szCs w:val="13"/>
          <w:color w:val="008000"/>
        </w:rPr>
      </w:pPr>
    </w:p>
    <w:p>
      <w:pPr>
        <w:ind w:left="20" w:right="100" w:firstLine="1"/>
        <w:spacing w:after="0" w:line="237"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Wavefront Fund. Each of LCG Holdings and Luxor Capital Group, as the general partner and investment manager, respectively, of Wavefront Fund, may be deemed to beneficially own the securities owned directly by Wavefront Fund. Luxor Management, as the general partner of Luxor Capital Group, and Christian Leone, as the managing member of each of LCG Holdings and Luxor Management, may be deemed to beneficially own the securities owned directly by Wavefront Fund.</w:t>
      </w:r>
    </w:p>
    <w:p>
      <w:pPr>
        <w:spacing w:after="0" w:line="30" w:lineRule="exact"/>
        <w:rPr>
          <w:rFonts w:ascii="Arial" w:cs="Arial" w:eastAsia="Arial" w:hAnsi="Arial"/>
          <w:sz w:val="13"/>
          <w:szCs w:val="13"/>
          <w:color w:val="008000"/>
        </w:rPr>
      </w:pPr>
    </w:p>
    <w:p>
      <w:pPr>
        <w:ind w:left="20" w:right="40" w:firstLine="1"/>
        <w:spacing w:after="0" w:line="258" w:lineRule="auto"/>
        <w:tabs>
          <w:tab w:leader="none" w:pos="14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Securities owned directly by Luxor Capital Partners Offshore Master Fund, LP ("Offshore Master Fund"). Offshore Feeder Fund, as the owner of a controlling interest in Offshore Master Fund, may be deemed to beneficially own the securities owned directly by Offshore Master Fund. Each of LCG Holdings and Luxor Capital Group, as the general partner and investment manager, respectively, of Offshore Master Fund, may be deemed to beneficially own the securities owned directly by Offshore Master Fund. Luxor Management, as the general partner of Luxor Capital Group, and Christian Leone, as the managing member of each of LCG Holdings and Luxor Management, may be deemed to beneficially own the securities owned directly by Offshore Master Fund.</w:t>
      </w:r>
    </w:p>
    <w:p>
      <w:pPr>
        <w:spacing w:after="0" w:line="20" w:lineRule="exact"/>
        <w:rPr>
          <w:rFonts w:ascii="Arial" w:cs="Arial" w:eastAsia="Arial" w:hAnsi="Arial"/>
          <w:sz w:val="12"/>
          <w:szCs w:val="12"/>
          <w:color w:val="008000"/>
        </w:rPr>
      </w:pPr>
    </w:p>
    <w:p>
      <w:pPr>
        <w:ind w:left="140" w:hanging="119"/>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Securities owned directly by Lugard Road Capital Master Fund, LP ("Lugard Master Fund"). Each of Lugard GP and Luxor Capital Group, as the general partner and investment manager, respectively of Lugard</w:t>
      </w:r>
    </w:p>
    <w:p>
      <w:pPr>
        <w:sectPr>
          <w:pgSz w:w="11900" w:h="16838" w:orient="portrait"/>
          <w:cols w:equalWidth="0" w:num="1">
            <w:col w:w="10920"/>
          </w:cols>
          <w:pgMar w:left="480" w:top="120" w:right="499" w:bottom="0" w:gutter="0" w:footer="0" w:header="0"/>
        </w:sectPr>
      </w:pPr>
    </w:p>
    <w:bookmarkStart w:id="2" w:name="page3"/>
    <w:bookmarkEnd w:id="2"/>
    <w:p>
      <w:pPr>
        <w:spacing w:after="0" w:line="265" w:lineRule="auto"/>
        <w:rPr>
          <w:sz w:val="20"/>
          <w:szCs w:val="20"/>
          <w:color w:val="auto"/>
        </w:rPr>
      </w:pPr>
      <w:r>
        <w:rPr>
          <w:rFonts w:ascii="Arial" w:cs="Arial" w:eastAsia="Arial" w:hAnsi="Arial"/>
          <w:sz w:val="12"/>
          <w:szCs w:val="12"/>
          <w:color w:val="008000"/>
        </w:rPr>
        <w:t>Master Fund, may be deemed to beneficially own the securities owned directly by Lugard Master Fund. Luxor Management, as the general partner of Luxor Capital Group, and Christian Leone, as the managing member of Luxor Management, and as a managing member and controlling person of Lugard GP, may be deemed to beneficially own the securities owned directly by Lugard Master Fund. Jonathan Green as a managing member and controlling person of Lugard GP may be deemed to beneficially own the securities owned by Lugard Master Fund.</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008000"/>
        </w:rPr>
        <w:t>7. For consistency the "Number of Derivative Securities Disposed of" as reported in column 5 of Table II are reported based on underlying holdings for each transaction and should be divided by 100.</w:t>
      </w:r>
    </w:p>
    <w:p>
      <w:pPr>
        <w:sectPr>
          <w:pgSz w:w="11900" w:h="16838" w:orient="portrait"/>
          <w:cols w:equalWidth="0" w:num="1">
            <w:col w:w="10760"/>
          </w:cols>
          <w:pgMar w:left="500" w:top="131" w:right="639" w:bottom="1440" w:gutter="0" w:footer="0" w:header="0"/>
        </w:sectPr>
      </w:pPr>
    </w:p>
    <w:p>
      <w:pPr>
        <w:spacing w:after="0" w:line="80"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827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8274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PARTNERS, LP By: LCG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16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Holdings,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-2540</wp:posOffset>
            </wp:positionV>
            <wp:extent cx="1330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2084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Norris 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205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3460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46075" cy="8255"/>
                    </a:xfrm>
                    <a:prstGeom prst="rect">
                      <a:avLst/>
                    </a:prstGeom>
                    <a:noFill/>
                  </pic:spPr>
                </pic:pic>
              </a:graphicData>
            </a:graphic>
          </wp:anchor>
        </w:drawing>
      </w:r>
    </w:p>
    <w:p>
      <w:pPr>
        <w:spacing w:after="0" w:line="3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LUXOR WAVEFRONT,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11957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By: LCG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0560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General Partner By: /s/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2668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Nissim Name: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228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9582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spacing w:after="0" w:line="3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8274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8274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PARTNERS OFFSHORE,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-2540</wp:posOffset>
            </wp:positionV>
            <wp:extent cx="13646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Luxor Capital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2407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760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Norris 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99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Nissim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282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LUXOR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1226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LP By: Luxor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90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963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Norris 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99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Nissim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282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LCG 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-5080</wp:posOffset>
            </wp:positionV>
            <wp:extent cx="13347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Norris 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995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Nissim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282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LUXOR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1170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264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52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706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spacing w:after="0" w:line="3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LUGARD ROAD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12293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GP, LLC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3023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52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706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spacing w:after="0" w:line="3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12084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Norris Nissim as Agent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43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Christian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6775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3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12084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Norris Nissim as Agent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143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659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8700" w:space="60"/>
            <w:col w:w="2000"/>
          </w:cols>
          <w:pgMar w:left="500" w:top="131" w:right="6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380" w:firstLine="1"/>
        <w:spacing w:after="0" w:line="330"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12" Type="http://schemas.openxmlformats.org/officeDocument/2006/relationships/hyperlink" Target="http://www.sec.gov/cgi-bin/browse-edgar?action=getcompany&amp;CIK=0001316580" TargetMode="External"/><Relationship Id="rId13" Type="http://schemas.openxmlformats.org/officeDocument/2006/relationships/hyperlink" Target="http://www.sec.gov/cgi-bin/browse-edgar?action=getcompany&amp;CIK=0001779474" TargetMode="External"/><Relationship Id="rId15" Type="http://schemas.openxmlformats.org/officeDocument/2006/relationships/hyperlink" Target="http://www.sec.gov/cgi-bin/browse-edgar?action=getcompany&amp;CIK=0001731730" TargetMode="External"/><Relationship Id="rId17" Type="http://schemas.openxmlformats.org/officeDocument/2006/relationships/hyperlink" Target="http://www.sec.gov/cgi-bin/browse-edgar?action=getcompany&amp;CIK=0001270742" TargetMode="External"/><Relationship Id="rId18" Type="http://schemas.openxmlformats.org/officeDocument/2006/relationships/hyperlink" Target="http://www.sec.gov/cgi-bin/browse-edgar?action=getcompany&amp;CIK=0001479129" TargetMode="External"/><Relationship Id="rId19" Type="http://schemas.openxmlformats.org/officeDocument/2006/relationships/hyperlink" Target="http://www.sec.gov/cgi-bin/browse-edgar?action=getcompany&amp;CIK=0001393021" TargetMode="External"/><Relationship Id="rId20" Type="http://schemas.openxmlformats.org/officeDocument/2006/relationships/hyperlink" Target="http://www.sec.gov/cgi-bin/browse-edgar?action=getcompany&amp;CIK=00013569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2022-01-20T16:48:55Z</dcterms:created>
  <dcterms:modified xsi:type="dcterms:W3CDTF">2022-01-20T16:48:55Z</dcterms:modified>
</cp:coreProperties>
</file>