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ind w:left="1967"/>
        <w:spacing w:after="0"/>
        <w:rPr>
          <w:sz w:val="20"/>
          <w:szCs w:val="20"/>
          <w:color w:val="auto"/>
        </w:rPr>
      </w:pPr>
      <w:r>
        <w:rPr>
          <w:rFonts w:ascii="Arial" w:cs="Arial" w:eastAsia="Arial" w:hAnsi="Arial"/>
          <w:sz w:val="18"/>
          <w:szCs w:val="18"/>
          <w:b w:val="1"/>
          <w:bCs w:val="1"/>
          <w:color w:val="auto"/>
        </w:rPr>
        <w:t>As filed with the Securities and Exchange Commission on August 7,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UNITED STATES</w:t>
      </w:r>
    </w:p>
    <w:p>
      <w:pPr>
        <w:jc w:val="center"/>
        <w:ind w:right="-6"/>
        <w:spacing w:after="0" w:line="211" w:lineRule="auto"/>
        <w:rPr>
          <w:sz w:val="20"/>
          <w:szCs w:val="20"/>
          <w:color w:val="auto"/>
        </w:rPr>
      </w:pPr>
      <w:r>
        <w:rPr>
          <w:rFonts w:ascii="Arial" w:cs="Arial" w:eastAsia="Arial" w:hAnsi="Arial"/>
          <w:sz w:val="16"/>
          <w:szCs w:val="16"/>
          <w:b w:val="1"/>
          <w:bCs w:val="1"/>
          <w:color w:val="auto"/>
        </w:rPr>
        <w:t>SECURITIES AND EXCHANGE COMMISSION</w:t>
      </w:r>
    </w:p>
    <w:p>
      <w:pPr>
        <w:jc w:val="center"/>
        <w:ind w:right="-6"/>
        <w:spacing w:after="0" w:line="229" w:lineRule="auto"/>
        <w:rPr>
          <w:sz w:val="20"/>
          <w:szCs w:val="20"/>
          <w:color w:val="auto"/>
        </w:rPr>
      </w:pPr>
      <w:r>
        <w:rPr>
          <w:rFonts w:ascii="Arial" w:cs="Arial" w:eastAsia="Arial" w:hAnsi="Arial"/>
          <w:sz w:val="16"/>
          <w:szCs w:val="16"/>
          <w:b w:val="1"/>
          <w:bCs w:val="1"/>
          <w:color w:val="auto"/>
        </w:rPr>
        <w:t>Washington, D.C. 20549</w:t>
      </w:r>
    </w:p>
    <w:p>
      <w:pPr>
        <w:jc w:val="center"/>
        <w:ind w:right="-6"/>
        <w:spacing w:after="0" w:line="211" w:lineRule="auto"/>
        <w:rPr>
          <w:sz w:val="20"/>
          <w:szCs w:val="20"/>
          <w:color w:val="auto"/>
        </w:rPr>
      </w:pPr>
      <w:r>
        <w:rPr>
          <w:rFonts w:ascii="Arial" w:cs="Arial" w:eastAsia="Arial" w:hAnsi="Arial"/>
          <w:sz w:val="16"/>
          <w:szCs w:val="16"/>
          <w:b w:val="1"/>
          <w:bCs w:val="1"/>
          <w:color w:val="auto"/>
        </w:rPr>
        <w:t>Amendment No. 2</w:t>
      </w:r>
    </w:p>
    <w:p>
      <w:pPr>
        <w:jc w:val="center"/>
        <w:ind w:right="-6"/>
        <w:spacing w:after="0" w:line="212" w:lineRule="auto"/>
        <w:rPr>
          <w:sz w:val="20"/>
          <w:szCs w:val="20"/>
          <w:color w:val="auto"/>
        </w:rPr>
      </w:pPr>
      <w:r>
        <w:rPr>
          <w:rFonts w:ascii="Arial" w:cs="Arial" w:eastAsia="Arial" w:hAnsi="Arial"/>
          <w:sz w:val="16"/>
          <w:szCs w:val="16"/>
          <w:b w:val="1"/>
          <w:bCs w:val="1"/>
          <w:color w:val="auto"/>
        </w:rPr>
        <w:t>to</w:t>
      </w:r>
    </w:p>
    <w:p>
      <w:pPr>
        <w:jc w:val="center"/>
        <w:ind w:right="-6"/>
        <w:spacing w:after="0" w:line="211" w:lineRule="auto"/>
        <w:rPr>
          <w:sz w:val="20"/>
          <w:szCs w:val="20"/>
          <w:color w:val="auto"/>
        </w:rPr>
      </w:pPr>
      <w:r>
        <w:rPr>
          <w:rFonts w:ascii="Arial" w:cs="Arial" w:eastAsia="Arial" w:hAnsi="Arial"/>
          <w:sz w:val="16"/>
          <w:szCs w:val="16"/>
          <w:b w:val="1"/>
          <w:bCs w:val="1"/>
          <w:color w:val="auto"/>
        </w:rPr>
        <w:t>FORM S-1</w:t>
      </w:r>
    </w:p>
    <w:p>
      <w:pPr>
        <w:jc w:val="center"/>
        <w:ind w:right="-6"/>
        <w:spacing w:after="0" w:line="212" w:lineRule="auto"/>
        <w:rPr>
          <w:sz w:val="20"/>
          <w:szCs w:val="20"/>
          <w:color w:val="auto"/>
        </w:rPr>
      </w:pPr>
      <w:r>
        <w:rPr>
          <w:rFonts w:ascii="Arial" w:cs="Arial" w:eastAsia="Arial" w:hAnsi="Arial"/>
          <w:sz w:val="16"/>
          <w:szCs w:val="16"/>
          <w:b w:val="1"/>
          <w:bCs w:val="1"/>
          <w:color w:val="auto"/>
        </w:rPr>
        <w:t>REGISTRATION STATEMENT</w:t>
      </w:r>
    </w:p>
    <w:p>
      <w:pPr>
        <w:jc w:val="center"/>
        <w:ind w:right="-6"/>
        <w:spacing w:after="0" w:line="211" w:lineRule="auto"/>
        <w:rPr>
          <w:sz w:val="20"/>
          <w:szCs w:val="20"/>
          <w:color w:val="auto"/>
        </w:rPr>
      </w:pPr>
      <w:r>
        <w:rPr>
          <w:rFonts w:ascii="Arial" w:cs="Arial" w:eastAsia="Arial" w:hAnsi="Arial"/>
          <w:sz w:val="16"/>
          <w:szCs w:val="16"/>
          <w:b w:val="1"/>
          <w:bCs w:val="1"/>
          <w:color w:val="auto"/>
        </w:rPr>
        <w:t>UNDER</w:t>
      </w:r>
    </w:p>
    <w:p>
      <w:pPr>
        <w:jc w:val="center"/>
        <w:ind w:right="-6"/>
        <w:spacing w:after="0"/>
        <w:rPr>
          <w:sz w:val="20"/>
          <w:szCs w:val="20"/>
          <w:color w:val="auto"/>
        </w:rPr>
      </w:pPr>
      <w:r>
        <w:rPr>
          <w:rFonts w:ascii="Arial" w:cs="Arial" w:eastAsia="Arial" w:hAnsi="Arial"/>
          <w:sz w:val="16"/>
          <w:szCs w:val="16"/>
          <w:b w:val="1"/>
          <w:bCs w:val="1"/>
          <w:color w:val="auto"/>
        </w:rPr>
        <w:t>THE SECURITIES ACT OF 1933</w:t>
      </w:r>
    </w:p>
    <w:p>
      <w:pPr>
        <w:spacing w:after="0" w:line="64"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Silver Spike Acquisition Corp.</w:t>
      </w:r>
    </w:p>
    <w:p>
      <w:pPr>
        <w:jc w:val="center"/>
        <w:ind w:right="-6"/>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567"/>
          </w:cols>
          <w:pgMar w:left="1173" w:top="238" w:right="1159" w:bottom="1440" w:gutter="0" w:footer="0" w:header="0"/>
        </w:sectPr>
      </w:pPr>
    </w:p>
    <w:p>
      <w:pPr>
        <w:spacing w:after="0" w:line="46" w:lineRule="exact"/>
        <w:rPr>
          <w:sz w:val="24"/>
          <w:szCs w:val="24"/>
          <w:color w:val="auto"/>
        </w:rPr>
      </w:pPr>
    </w:p>
    <w:p>
      <w:pPr>
        <w:ind w:left="987"/>
        <w:spacing w:after="0"/>
        <w:rPr>
          <w:sz w:val="20"/>
          <w:szCs w:val="20"/>
          <w:color w:val="auto"/>
        </w:rPr>
      </w:pPr>
      <w:r>
        <w:rPr>
          <w:rFonts w:ascii="Arial" w:cs="Arial" w:eastAsia="Arial" w:hAnsi="Arial"/>
          <w:sz w:val="13"/>
          <w:szCs w:val="13"/>
          <w:b w:val="1"/>
          <w:bCs w:val="1"/>
          <w:color w:val="auto"/>
        </w:rPr>
        <w:t>Cayman Islands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6770</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w:t>
      </w:r>
    </w:p>
    <w:p>
      <w:pPr>
        <w:spacing w:after="0" w:line="25" w:lineRule="exact"/>
        <w:rPr>
          <w:sz w:val="24"/>
          <w:szCs w:val="24"/>
          <w:color w:val="auto"/>
        </w:rPr>
      </w:pPr>
    </w:p>
    <w:p>
      <w:pPr>
        <w:sectPr>
          <w:pgSz w:w="11900" w:h="16838" w:orient="portrait"/>
          <w:cols w:equalWidth="0" w:num="3">
            <w:col w:w="3827" w:space="720"/>
            <w:col w:w="2600" w:space="720"/>
            <w:col w:w="1700"/>
          </w:cols>
          <w:pgMar w:left="1173" w:top="238" w:right="1159" w:bottom="1440" w:gutter="0" w:footer="0" w:header="0"/>
          <w:type w:val="continuous"/>
        </w:sectPr>
      </w:pPr>
    </w:p>
    <w:p>
      <w:pPr>
        <w:ind w:left="227"/>
        <w:spacing w:after="0"/>
        <w:rPr>
          <w:sz w:val="20"/>
          <w:szCs w:val="20"/>
          <w:color w:val="auto"/>
        </w:rPr>
      </w:pPr>
      <w:r>
        <w:rPr>
          <w:rFonts w:ascii="Arial" w:cs="Arial" w:eastAsia="Arial" w:hAnsi="Arial"/>
          <w:sz w:val="13"/>
          <w:szCs w:val="13"/>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(Primary Standard Industrial Classification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1" w:lineRule="exact"/>
        <w:rPr>
          <w:sz w:val="24"/>
          <w:szCs w:val="24"/>
          <w:color w:val="auto"/>
        </w:rPr>
      </w:pPr>
    </w:p>
    <w:p>
      <w:pPr>
        <w:sectPr>
          <w:pgSz w:w="11900" w:h="16838" w:orient="portrait"/>
          <w:cols w:equalWidth="0" w:num="3">
            <w:col w:w="2867" w:space="420"/>
            <w:col w:w="3500" w:space="720"/>
            <w:col w:w="2060"/>
          </w:cols>
          <w:pgMar w:left="1173" w:top="238" w:right="1159" w:bottom="1440" w:gutter="0" w:footer="0" w:header="0"/>
          <w:type w:val="continuous"/>
        </w:sectPr>
      </w:pPr>
    </w:p>
    <w:p>
      <w:pPr>
        <w:ind w:left="1167"/>
        <w:spacing w:after="0" w:line="180" w:lineRule="auto"/>
        <w:tabs>
          <w:tab w:leader="none" w:pos="4406" w:val="left"/>
          <w:tab w:leader="none" w:pos="7306" w:val="left"/>
        </w:tabs>
        <w:rPr>
          <w:sz w:val="20"/>
          <w:szCs w:val="20"/>
          <w:color w:val="auto"/>
        </w:rPr>
      </w:pPr>
      <w:r>
        <w:rPr>
          <w:rFonts w:ascii="Arial" w:cs="Arial" w:eastAsia="Arial" w:hAnsi="Arial"/>
          <w:sz w:val="13"/>
          <w:szCs w:val="13"/>
          <w:color w:val="auto"/>
        </w:rPr>
        <w:t>organization)</w:t>
      </w:r>
      <w:r>
        <w:rPr>
          <w:sz w:val="20"/>
          <w:szCs w:val="20"/>
          <w:color w:val="auto"/>
        </w:rPr>
        <w:tab/>
      </w:r>
      <w:r>
        <w:rPr>
          <w:rFonts w:ascii="Arial" w:cs="Arial" w:eastAsia="Arial" w:hAnsi="Arial"/>
          <w:sz w:val="13"/>
          <w:szCs w:val="13"/>
          <w:color w:val="auto"/>
        </w:rPr>
        <w:t>Number)</w:t>
      </w:r>
      <w:r>
        <w:rPr>
          <w:sz w:val="20"/>
          <w:szCs w:val="20"/>
          <w:color w:val="auto"/>
        </w:rPr>
        <w:tab/>
      </w:r>
      <w:r>
        <w:rPr>
          <w:rFonts w:ascii="Arial" w:cs="Arial" w:eastAsia="Arial" w:hAnsi="Arial"/>
          <w:sz w:val="13"/>
          <w:szCs w:val="13"/>
          <w:color w:val="auto"/>
        </w:rPr>
        <w:t>Identification Number)</w:t>
      </w:r>
    </w:p>
    <w:p>
      <w:pPr>
        <w:ind w:left="4047"/>
        <w:spacing w:after="0" w:line="201" w:lineRule="auto"/>
        <w:rPr>
          <w:sz w:val="20"/>
          <w:szCs w:val="20"/>
          <w:color w:val="auto"/>
        </w:rPr>
      </w:pPr>
      <w:r>
        <w:rPr>
          <w:rFonts w:ascii="Arial" w:cs="Arial" w:eastAsia="Arial" w:hAnsi="Arial"/>
          <w:sz w:val="14"/>
          <w:szCs w:val="14"/>
          <w:b w:val="1"/>
          <w:bCs w:val="1"/>
          <w:color w:val="auto"/>
        </w:rPr>
        <w:t>1114 6th Ave, 41st Floor</w:t>
      </w:r>
    </w:p>
    <w:p>
      <w:pPr>
        <w:ind w:left="3927"/>
        <w:spacing w:after="0" w:line="201" w:lineRule="auto"/>
        <w:rPr>
          <w:sz w:val="20"/>
          <w:szCs w:val="20"/>
          <w:color w:val="auto"/>
        </w:rPr>
      </w:pPr>
      <w:r>
        <w:rPr>
          <w:rFonts w:ascii="Arial" w:cs="Arial" w:eastAsia="Arial" w:hAnsi="Arial"/>
          <w:sz w:val="14"/>
          <w:szCs w:val="14"/>
          <w:b w:val="1"/>
          <w:bCs w:val="1"/>
          <w:color w:val="auto"/>
        </w:rPr>
        <w:t>New York, New York, 10036</w:t>
      </w:r>
    </w:p>
    <w:p>
      <w:pPr>
        <w:ind w:left="4007"/>
        <w:spacing w:after="0" w:line="202" w:lineRule="auto"/>
        <w:rPr>
          <w:sz w:val="20"/>
          <w:szCs w:val="20"/>
          <w:color w:val="auto"/>
        </w:rPr>
      </w:pPr>
      <w:r>
        <w:rPr>
          <w:rFonts w:ascii="Arial" w:cs="Arial" w:eastAsia="Arial" w:hAnsi="Arial"/>
          <w:sz w:val="14"/>
          <w:szCs w:val="14"/>
          <w:b w:val="1"/>
          <w:bCs w:val="1"/>
          <w:color w:val="auto"/>
        </w:rPr>
        <w:t>United States of America</w:t>
      </w:r>
    </w:p>
    <w:p>
      <w:pPr>
        <w:ind w:left="3967"/>
        <w:spacing w:after="0" w:line="201" w:lineRule="auto"/>
        <w:rPr>
          <w:sz w:val="20"/>
          <w:szCs w:val="20"/>
          <w:color w:val="auto"/>
        </w:rPr>
      </w:pPr>
      <w:r>
        <w:rPr>
          <w:rFonts w:ascii="Arial" w:cs="Arial" w:eastAsia="Arial" w:hAnsi="Arial"/>
          <w:sz w:val="14"/>
          <w:szCs w:val="14"/>
          <w:b w:val="1"/>
          <w:bCs w:val="1"/>
          <w:color w:val="auto"/>
        </w:rPr>
        <w:t>Telephone: (212) 905-4923</w:t>
      </w:r>
    </w:p>
    <w:p>
      <w:pPr>
        <w:ind w:left="2967"/>
        <w:spacing w:after="0" w:line="201" w:lineRule="auto"/>
        <w:rPr>
          <w:sz w:val="20"/>
          <w:szCs w:val="20"/>
          <w:color w:val="auto"/>
        </w:rPr>
      </w:pPr>
      <w:r>
        <w:rPr>
          <w:rFonts w:ascii="Arial" w:cs="Arial" w:eastAsia="Arial" w:hAnsi="Arial"/>
          <w:sz w:val="14"/>
          <w:szCs w:val="14"/>
          <w:color w:val="auto"/>
        </w:rPr>
        <w:t>(Address, including zip code, and telephone number, including</w:t>
      </w:r>
    </w:p>
    <w:p>
      <w:pPr>
        <w:ind w:left="3267"/>
        <w:spacing w:after="0" w:line="202" w:lineRule="auto"/>
        <w:rPr>
          <w:sz w:val="20"/>
          <w:szCs w:val="20"/>
          <w:color w:val="auto"/>
        </w:rPr>
      </w:pPr>
      <w:r>
        <w:rPr>
          <w:rFonts w:ascii="Arial" w:cs="Arial" w:eastAsia="Arial" w:hAnsi="Arial"/>
          <w:sz w:val="14"/>
          <w:szCs w:val="14"/>
          <w:color w:val="auto"/>
        </w:rPr>
        <w:t>area code, of registrant’s principal executive offices)</w:t>
      </w:r>
    </w:p>
    <w:p>
      <w:pPr>
        <w:ind w:left="3607"/>
        <w:spacing w:after="0" w:line="201" w:lineRule="auto"/>
        <w:rPr>
          <w:sz w:val="20"/>
          <w:szCs w:val="20"/>
          <w:color w:val="auto"/>
        </w:rPr>
      </w:pPr>
      <w:r>
        <w:rPr>
          <w:rFonts w:ascii="Arial" w:cs="Arial" w:eastAsia="Arial" w:hAnsi="Arial"/>
          <w:sz w:val="14"/>
          <w:szCs w:val="14"/>
          <w:b w:val="1"/>
          <w:bCs w:val="1"/>
          <w:color w:val="auto"/>
        </w:rPr>
        <w:t>Scott Gordon, Chief Executive Officer</w:t>
      </w:r>
    </w:p>
    <w:p>
      <w:pPr>
        <w:ind w:left="3527"/>
        <w:spacing w:after="0" w:line="201" w:lineRule="auto"/>
        <w:rPr>
          <w:sz w:val="20"/>
          <w:szCs w:val="20"/>
          <w:color w:val="auto"/>
        </w:rPr>
      </w:pPr>
      <w:r>
        <w:rPr>
          <w:rFonts w:ascii="Arial" w:cs="Arial" w:eastAsia="Arial" w:hAnsi="Arial"/>
          <w:sz w:val="14"/>
          <w:szCs w:val="14"/>
          <w:b w:val="1"/>
          <w:bCs w:val="1"/>
          <w:color w:val="auto"/>
        </w:rPr>
        <w:t>Gregory Gentile, Chief Financial Officer</w:t>
      </w:r>
    </w:p>
    <w:p>
      <w:pPr>
        <w:ind w:left="3747"/>
        <w:spacing w:after="0" w:line="202" w:lineRule="auto"/>
        <w:rPr>
          <w:sz w:val="20"/>
          <w:szCs w:val="20"/>
          <w:color w:val="auto"/>
        </w:rPr>
      </w:pPr>
      <w:r>
        <w:rPr>
          <w:rFonts w:ascii="Arial" w:cs="Arial" w:eastAsia="Arial" w:hAnsi="Arial"/>
          <w:sz w:val="14"/>
          <w:szCs w:val="14"/>
          <w:b w:val="1"/>
          <w:bCs w:val="1"/>
          <w:color w:val="auto"/>
        </w:rPr>
        <w:t>c/o Silver Spike Acquisition Corp.</w:t>
      </w:r>
    </w:p>
    <w:p>
      <w:pPr>
        <w:ind w:left="4047"/>
        <w:spacing w:after="0" w:line="201" w:lineRule="auto"/>
        <w:rPr>
          <w:sz w:val="20"/>
          <w:szCs w:val="20"/>
          <w:color w:val="auto"/>
        </w:rPr>
      </w:pPr>
      <w:r>
        <w:rPr>
          <w:rFonts w:ascii="Arial" w:cs="Arial" w:eastAsia="Arial" w:hAnsi="Arial"/>
          <w:sz w:val="14"/>
          <w:szCs w:val="14"/>
          <w:b w:val="1"/>
          <w:bCs w:val="1"/>
          <w:color w:val="auto"/>
        </w:rPr>
        <w:t>1114 6th Ave, 41st Floor</w:t>
      </w:r>
    </w:p>
    <w:p>
      <w:pPr>
        <w:ind w:left="3927"/>
        <w:spacing w:after="0" w:line="201" w:lineRule="auto"/>
        <w:rPr>
          <w:sz w:val="20"/>
          <w:szCs w:val="20"/>
          <w:color w:val="auto"/>
        </w:rPr>
      </w:pPr>
      <w:r>
        <w:rPr>
          <w:rFonts w:ascii="Arial" w:cs="Arial" w:eastAsia="Arial" w:hAnsi="Arial"/>
          <w:sz w:val="14"/>
          <w:szCs w:val="14"/>
          <w:b w:val="1"/>
          <w:bCs w:val="1"/>
          <w:color w:val="auto"/>
        </w:rPr>
        <w:t>New York, New York, 10036</w:t>
      </w:r>
    </w:p>
    <w:p>
      <w:pPr>
        <w:ind w:left="4007"/>
        <w:spacing w:after="0" w:line="202" w:lineRule="auto"/>
        <w:rPr>
          <w:sz w:val="20"/>
          <w:szCs w:val="20"/>
          <w:color w:val="auto"/>
        </w:rPr>
      </w:pPr>
      <w:r>
        <w:rPr>
          <w:rFonts w:ascii="Arial" w:cs="Arial" w:eastAsia="Arial" w:hAnsi="Arial"/>
          <w:sz w:val="14"/>
          <w:szCs w:val="14"/>
          <w:b w:val="1"/>
          <w:bCs w:val="1"/>
          <w:color w:val="auto"/>
        </w:rPr>
        <w:t>United States of America</w:t>
      </w:r>
    </w:p>
    <w:p>
      <w:pPr>
        <w:ind w:left="3967"/>
        <w:spacing w:after="0" w:line="201" w:lineRule="auto"/>
        <w:rPr>
          <w:sz w:val="20"/>
          <w:szCs w:val="20"/>
          <w:color w:val="auto"/>
        </w:rPr>
      </w:pPr>
      <w:r>
        <w:rPr>
          <w:rFonts w:ascii="Arial" w:cs="Arial" w:eastAsia="Arial" w:hAnsi="Arial"/>
          <w:sz w:val="14"/>
          <w:szCs w:val="14"/>
          <w:b w:val="1"/>
          <w:bCs w:val="1"/>
          <w:color w:val="auto"/>
        </w:rPr>
        <w:t>Telephone: (212) 905-4923</w:t>
      </w:r>
    </w:p>
    <w:p>
      <w:pPr>
        <w:ind w:left="1867"/>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84" w:lineRule="exact"/>
        <w:rPr>
          <w:sz w:val="24"/>
          <w:szCs w:val="24"/>
          <w:color w:val="auto"/>
        </w:rPr>
      </w:pPr>
    </w:p>
    <w:p>
      <w:pPr>
        <w:jc w:val="center"/>
        <w:ind w:right="13"/>
        <w:spacing w:after="0"/>
        <w:rPr>
          <w:sz w:val="20"/>
          <w:szCs w:val="20"/>
          <w:color w:val="auto"/>
        </w:rPr>
      </w:pPr>
      <w:r>
        <w:rPr>
          <w:rFonts w:ascii="Arial" w:cs="Arial" w:eastAsia="Arial" w:hAnsi="Arial"/>
          <w:sz w:val="14"/>
          <w:szCs w:val="14"/>
          <w:color w:val="auto"/>
        </w:rPr>
        <w:t>Copies to:</w:t>
      </w:r>
    </w:p>
    <w:p>
      <w:pPr>
        <w:sectPr>
          <w:pgSz w:w="11900" w:h="16838" w:orient="portrait"/>
          <w:cols w:equalWidth="0" w:num="1">
            <w:col w:w="9567"/>
          </w:cols>
          <w:pgMar w:left="1173" w:top="238" w:right="1159" w:bottom="1440" w:gutter="0" w:footer="0" w:header="0"/>
          <w:type w:val="continuous"/>
        </w:sectPr>
      </w:pPr>
    </w:p>
    <w:p>
      <w:pPr>
        <w:spacing w:after="0" w:line="65" w:lineRule="exact"/>
        <w:rPr>
          <w:sz w:val="24"/>
          <w:szCs w:val="24"/>
          <w:color w:val="auto"/>
        </w:rPr>
      </w:pPr>
    </w:p>
    <w:tbl>
      <w:tblPr>
        <w:tblLayout w:type="fixed"/>
        <w:tblInd w:w="1407" w:type="dxa"/>
        <w:tblCellMar>
          <w:top w:w="0" w:type="dxa"/>
          <w:left w:w="0" w:type="dxa"/>
          <w:bottom w:w="0" w:type="dxa"/>
          <w:right w:w="0" w:type="dxa"/>
        </w:tblCellMar>
      </w:tblPr>
      <w:tr>
        <w:trPr>
          <w:trHeight w:val="162"/>
        </w:trPr>
        <w:tc>
          <w:tcPr>
            <w:tcW w:w="3080" w:type="dxa"/>
            <w:vAlign w:val="bottom"/>
          </w:tcPr>
          <w:p>
            <w:pPr>
              <w:jc w:val="center"/>
              <w:ind w:right="1228"/>
              <w:spacing w:after="0"/>
              <w:rPr>
                <w:sz w:val="20"/>
                <w:szCs w:val="20"/>
                <w:color w:val="auto"/>
              </w:rPr>
            </w:pPr>
            <w:r>
              <w:rPr>
                <w:rFonts w:ascii="Arial" w:cs="Arial" w:eastAsia="Arial" w:hAnsi="Arial"/>
                <w:sz w:val="14"/>
                <w:szCs w:val="14"/>
                <w:b w:val="1"/>
                <w:bCs w:val="1"/>
                <w:color w:val="auto"/>
                <w:w w:val="98"/>
              </w:rPr>
              <w:t>Deanna L. Kirkpatrick</w:t>
            </w:r>
          </w:p>
        </w:tc>
        <w:tc>
          <w:tcPr>
            <w:tcW w:w="4060" w:type="dxa"/>
            <w:vAlign w:val="bottom"/>
          </w:tcPr>
          <w:p>
            <w:pPr>
              <w:jc w:val="center"/>
              <w:ind w:left="1248"/>
              <w:spacing w:after="0"/>
              <w:rPr>
                <w:sz w:val="20"/>
                <w:szCs w:val="20"/>
                <w:color w:val="auto"/>
              </w:rPr>
            </w:pPr>
            <w:r>
              <w:rPr>
                <w:rFonts w:ascii="Arial" w:cs="Arial" w:eastAsia="Arial" w:hAnsi="Arial"/>
                <w:sz w:val="14"/>
                <w:szCs w:val="14"/>
                <w:b w:val="1"/>
                <w:bCs w:val="1"/>
                <w:color w:val="auto"/>
                <w:w w:val="92"/>
              </w:rPr>
              <w:t>Gregg A. Noel</w:t>
            </w:r>
          </w:p>
        </w:tc>
      </w:tr>
      <w:tr>
        <w:trPr>
          <w:trHeight w:val="162"/>
        </w:trPr>
        <w:tc>
          <w:tcPr>
            <w:tcW w:w="3080" w:type="dxa"/>
            <w:vAlign w:val="bottom"/>
          </w:tcPr>
          <w:p>
            <w:pPr>
              <w:jc w:val="center"/>
              <w:ind w:right="1228"/>
              <w:spacing w:after="0"/>
              <w:rPr>
                <w:sz w:val="20"/>
                <w:szCs w:val="20"/>
                <w:color w:val="auto"/>
              </w:rPr>
            </w:pPr>
            <w:r>
              <w:rPr>
                <w:rFonts w:ascii="Arial" w:cs="Arial" w:eastAsia="Arial" w:hAnsi="Arial"/>
                <w:sz w:val="14"/>
                <w:szCs w:val="14"/>
                <w:b w:val="1"/>
                <w:bCs w:val="1"/>
                <w:color w:val="auto"/>
                <w:w w:val="92"/>
              </w:rPr>
              <w:t>Derek J. Dostal</w:t>
            </w:r>
          </w:p>
        </w:tc>
        <w:tc>
          <w:tcPr>
            <w:tcW w:w="4060" w:type="dxa"/>
            <w:vAlign w:val="bottom"/>
          </w:tcPr>
          <w:p>
            <w:pPr>
              <w:jc w:val="center"/>
              <w:ind w:left="1248"/>
              <w:spacing w:after="0"/>
              <w:rPr>
                <w:sz w:val="20"/>
                <w:szCs w:val="20"/>
                <w:color w:val="auto"/>
              </w:rPr>
            </w:pPr>
            <w:r>
              <w:rPr>
                <w:rFonts w:ascii="Arial" w:cs="Arial" w:eastAsia="Arial" w:hAnsi="Arial"/>
                <w:sz w:val="14"/>
                <w:szCs w:val="14"/>
                <w:b w:val="1"/>
                <w:bCs w:val="1"/>
                <w:color w:val="auto"/>
                <w:w w:val="91"/>
              </w:rPr>
              <w:t>Jonathan Ko</w:t>
            </w:r>
          </w:p>
        </w:tc>
      </w:tr>
      <w:tr>
        <w:trPr>
          <w:trHeight w:val="162"/>
        </w:trPr>
        <w:tc>
          <w:tcPr>
            <w:tcW w:w="3080" w:type="dxa"/>
            <w:vAlign w:val="bottom"/>
          </w:tcPr>
          <w:p>
            <w:pPr>
              <w:jc w:val="center"/>
              <w:ind w:right="1248"/>
              <w:spacing w:after="0"/>
              <w:rPr>
                <w:sz w:val="20"/>
                <w:szCs w:val="20"/>
                <w:color w:val="auto"/>
              </w:rPr>
            </w:pPr>
            <w:r>
              <w:rPr>
                <w:rFonts w:ascii="Arial" w:cs="Arial" w:eastAsia="Arial" w:hAnsi="Arial"/>
                <w:sz w:val="14"/>
                <w:szCs w:val="14"/>
                <w:b w:val="1"/>
                <w:bCs w:val="1"/>
                <w:color w:val="auto"/>
                <w:w w:val="97"/>
              </w:rPr>
              <w:t>Davis Polk &amp; Wardwell LLP</w:t>
            </w:r>
          </w:p>
        </w:tc>
        <w:tc>
          <w:tcPr>
            <w:tcW w:w="4060" w:type="dxa"/>
            <w:vAlign w:val="bottom"/>
          </w:tcPr>
          <w:p>
            <w:pPr>
              <w:jc w:val="center"/>
              <w:ind w:left="1248"/>
              <w:spacing w:after="0"/>
              <w:rPr>
                <w:sz w:val="20"/>
                <w:szCs w:val="20"/>
                <w:color w:val="auto"/>
              </w:rPr>
            </w:pPr>
            <w:r>
              <w:rPr>
                <w:rFonts w:ascii="Arial" w:cs="Arial" w:eastAsia="Arial" w:hAnsi="Arial"/>
                <w:sz w:val="14"/>
                <w:szCs w:val="14"/>
                <w:b w:val="1"/>
                <w:bCs w:val="1"/>
                <w:color w:val="auto"/>
                <w:w w:val="95"/>
              </w:rPr>
              <w:t>Skadden, Arps, Slate, Meagher &amp; Flom LLP</w:t>
            </w:r>
          </w:p>
        </w:tc>
      </w:tr>
      <w:tr>
        <w:trPr>
          <w:trHeight w:val="162"/>
        </w:trPr>
        <w:tc>
          <w:tcPr>
            <w:tcW w:w="3080" w:type="dxa"/>
            <w:vAlign w:val="bottom"/>
          </w:tcPr>
          <w:p>
            <w:pPr>
              <w:jc w:val="center"/>
              <w:ind w:right="1248"/>
              <w:spacing w:after="0"/>
              <w:rPr>
                <w:sz w:val="20"/>
                <w:szCs w:val="20"/>
                <w:color w:val="auto"/>
              </w:rPr>
            </w:pPr>
            <w:r>
              <w:rPr>
                <w:rFonts w:ascii="Arial" w:cs="Arial" w:eastAsia="Arial" w:hAnsi="Arial"/>
                <w:sz w:val="14"/>
                <w:szCs w:val="14"/>
                <w:b w:val="1"/>
                <w:bCs w:val="1"/>
                <w:color w:val="auto"/>
                <w:w w:val="91"/>
              </w:rPr>
              <w:t>450 Lexington Avenue</w:t>
            </w:r>
          </w:p>
        </w:tc>
        <w:tc>
          <w:tcPr>
            <w:tcW w:w="4060" w:type="dxa"/>
            <w:vAlign w:val="bottom"/>
          </w:tcPr>
          <w:p>
            <w:pPr>
              <w:jc w:val="center"/>
              <w:ind w:left="1248"/>
              <w:spacing w:after="0"/>
              <w:rPr>
                <w:sz w:val="20"/>
                <w:szCs w:val="20"/>
                <w:color w:val="auto"/>
              </w:rPr>
            </w:pPr>
            <w:r>
              <w:rPr>
                <w:rFonts w:ascii="Arial" w:cs="Arial" w:eastAsia="Arial" w:hAnsi="Arial"/>
                <w:sz w:val="14"/>
                <w:szCs w:val="14"/>
                <w:b w:val="1"/>
                <w:bCs w:val="1"/>
                <w:color w:val="auto"/>
                <w:w w:val="92"/>
              </w:rPr>
              <w:t>300 South Grand Avenue, Suite 3400</w:t>
            </w:r>
          </w:p>
        </w:tc>
      </w:tr>
      <w:tr>
        <w:trPr>
          <w:trHeight w:val="162"/>
        </w:trPr>
        <w:tc>
          <w:tcPr>
            <w:tcW w:w="3080" w:type="dxa"/>
            <w:vAlign w:val="bottom"/>
          </w:tcPr>
          <w:p>
            <w:pPr>
              <w:jc w:val="center"/>
              <w:ind w:right="1248"/>
              <w:spacing w:after="0"/>
              <w:rPr>
                <w:sz w:val="20"/>
                <w:szCs w:val="20"/>
                <w:color w:val="auto"/>
              </w:rPr>
            </w:pPr>
            <w:r>
              <w:rPr>
                <w:rFonts w:ascii="Arial" w:cs="Arial" w:eastAsia="Arial" w:hAnsi="Arial"/>
                <w:sz w:val="14"/>
                <w:szCs w:val="14"/>
                <w:b w:val="1"/>
                <w:bCs w:val="1"/>
                <w:color w:val="auto"/>
                <w:w w:val="95"/>
              </w:rPr>
              <w:t>New York, NY 10017</w:t>
            </w:r>
          </w:p>
        </w:tc>
        <w:tc>
          <w:tcPr>
            <w:tcW w:w="4060" w:type="dxa"/>
            <w:vAlign w:val="bottom"/>
          </w:tcPr>
          <w:p>
            <w:pPr>
              <w:jc w:val="center"/>
              <w:ind w:left="1248"/>
              <w:spacing w:after="0"/>
              <w:rPr>
                <w:sz w:val="20"/>
                <w:szCs w:val="20"/>
                <w:color w:val="auto"/>
              </w:rPr>
            </w:pPr>
            <w:r>
              <w:rPr>
                <w:rFonts w:ascii="Arial" w:cs="Arial" w:eastAsia="Arial" w:hAnsi="Arial"/>
                <w:sz w:val="14"/>
                <w:szCs w:val="14"/>
                <w:b w:val="1"/>
                <w:bCs w:val="1"/>
                <w:color w:val="auto"/>
                <w:w w:val="92"/>
              </w:rPr>
              <w:t>Los Angeles, CA 90071</w:t>
            </w:r>
          </w:p>
        </w:tc>
      </w:tr>
      <w:tr>
        <w:trPr>
          <w:trHeight w:val="178"/>
        </w:trPr>
        <w:tc>
          <w:tcPr>
            <w:tcW w:w="3080" w:type="dxa"/>
            <w:vAlign w:val="bottom"/>
          </w:tcPr>
          <w:p>
            <w:pPr>
              <w:jc w:val="center"/>
              <w:ind w:right="1248"/>
              <w:spacing w:after="0"/>
              <w:rPr>
                <w:sz w:val="20"/>
                <w:szCs w:val="20"/>
                <w:color w:val="auto"/>
              </w:rPr>
            </w:pPr>
            <w:r>
              <w:rPr>
                <w:rFonts w:ascii="Arial" w:cs="Arial" w:eastAsia="Arial" w:hAnsi="Arial"/>
                <w:sz w:val="14"/>
                <w:szCs w:val="14"/>
                <w:b w:val="1"/>
                <w:bCs w:val="1"/>
                <w:color w:val="auto"/>
                <w:w w:val="91"/>
              </w:rPr>
              <w:t>Telephone: (212) 450-4000</w:t>
            </w:r>
          </w:p>
        </w:tc>
        <w:tc>
          <w:tcPr>
            <w:tcW w:w="4060" w:type="dxa"/>
            <w:vAlign w:val="bottom"/>
          </w:tcPr>
          <w:p>
            <w:pPr>
              <w:jc w:val="center"/>
              <w:ind w:left="1248"/>
              <w:spacing w:after="0"/>
              <w:rPr>
                <w:sz w:val="20"/>
                <w:szCs w:val="20"/>
                <w:color w:val="auto"/>
              </w:rPr>
            </w:pPr>
            <w:r>
              <w:rPr>
                <w:rFonts w:ascii="Arial" w:cs="Arial" w:eastAsia="Arial" w:hAnsi="Arial"/>
                <w:sz w:val="14"/>
                <w:szCs w:val="14"/>
                <w:b w:val="1"/>
                <w:bCs w:val="1"/>
                <w:color w:val="auto"/>
                <w:w w:val="92"/>
              </w:rPr>
              <w:t>Telephone: (213) 687-5000</w:t>
            </w:r>
          </w:p>
        </w:tc>
      </w:tr>
    </w:tbl>
    <w:p>
      <w:pPr>
        <w:jc w:val="center"/>
        <w:ind w:right="13"/>
        <w:spacing w:after="0" w:line="201" w:lineRule="auto"/>
        <w:rPr>
          <w:sz w:val="20"/>
          <w:szCs w:val="20"/>
          <w:color w:val="auto"/>
        </w:rPr>
      </w:pPr>
      <w:r>
        <w:rPr>
          <w:rFonts w:ascii="Arial" w:cs="Arial" w:eastAsia="Arial" w:hAnsi="Arial"/>
          <w:sz w:val="14"/>
          <w:szCs w:val="14"/>
          <w:b w:val="1"/>
          <w:bCs w:val="1"/>
          <w:color w:val="auto"/>
        </w:rPr>
        <w:t>Approximate date of commencement of proposed sale to the public:</w:t>
      </w:r>
    </w:p>
    <w:p>
      <w:pPr>
        <w:jc w:val="center"/>
        <w:ind w:right="13"/>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 w:lineRule="exact"/>
        <w:rPr>
          <w:sz w:val="24"/>
          <w:szCs w:val="24"/>
          <w:color w:val="auto"/>
        </w:rPr>
      </w:pPr>
    </w:p>
    <w:p>
      <w:pPr>
        <w:ind w:left="7" w:right="100"/>
        <w:spacing w:after="0" w:line="14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7" w:right="400"/>
        <w:spacing w:after="0" w:line="14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7" w:right="32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7" w:right="320"/>
        <w:spacing w:after="0" w:line="14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7" w:right="10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567"/>
          </w:cols>
          <w:pgMar w:left="1173" w:top="238" w:right="1159" w:bottom="1440" w:gutter="0" w:footer="0" w:header="0"/>
          <w:type w:val="continuous"/>
        </w:sectPr>
      </w:pPr>
    </w:p>
    <w:p>
      <w:pPr>
        <w:spacing w:after="0" w:line="8" w:lineRule="exact"/>
        <w:rPr>
          <w:sz w:val="24"/>
          <w:szCs w:val="24"/>
          <w:color w:val="auto"/>
        </w:rPr>
      </w:pPr>
    </w:p>
    <w:p>
      <w:pPr>
        <w:ind w:left="7"/>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both"/>
        <w:ind w:right="540"/>
        <w:spacing w:after="0" w:line="202"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86" w:lineRule="exact"/>
        <w:rPr>
          <w:sz w:val="24"/>
          <w:szCs w:val="24"/>
          <w:color w:val="auto"/>
        </w:rPr>
      </w:pPr>
    </w:p>
    <w:p>
      <w:pPr>
        <w:sectPr>
          <w:pgSz w:w="11900" w:h="16838" w:orient="portrait"/>
          <w:cols w:equalWidth="0" w:num="4">
            <w:col w:w="1587" w:space="720"/>
            <w:col w:w="1760" w:space="720"/>
            <w:col w:w="1780" w:space="720"/>
            <w:col w:w="2280"/>
          </w:cols>
          <w:pgMar w:left="1173" w:top="238" w:right="1159" w:bottom="1440" w:gutter="0" w:footer="0" w:header="0"/>
          <w:type w:val="continuous"/>
        </w:sectPr>
      </w:pPr>
    </w:p>
    <w:p>
      <w:pPr>
        <w:ind w:left="7" w:right="10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55"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3600" w:type="dxa"/>
            <w:vAlign w:val="bottom"/>
            <w:tcBorders>
              <w:top w:val="single" w:sz="8" w:color="auto"/>
              <w:bottom w:val="single" w:sz="8" w:color="auto"/>
              <w:right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right w:val="single" w:sz="8" w:color="auto"/>
            </w:tcBorders>
          </w:tcPr>
          <w:p>
            <w:pPr>
              <w:spacing w:after="0"/>
              <w:rPr>
                <w:sz w:val="3"/>
                <w:szCs w:val="3"/>
                <w:color w:val="auto"/>
              </w:rPr>
            </w:pPr>
          </w:p>
        </w:tc>
        <w:tc>
          <w:tcPr>
            <w:tcW w:w="1520" w:type="dxa"/>
            <w:vAlign w:val="bottom"/>
            <w:tcBorders>
              <w:top w:val="single" w:sz="8" w:color="auto"/>
              <w:bottom w:val="single" w:sz="8" w:color="auto"/>
              <w:right w:val="single" w:sz="8" w:color="auto"/>
            </w:tcBorders>
            <w:gridSpan w:val="2"/>
          </w:tcPr>
          <w:p>
            <w:pPr>
              <w:spacing w:after="0"/>
              <w:rPr>
                <w:sz w:val="3"/>
                <w:szCs w:val="3"/>
                <w:color w:val="auto"/>
              </w:rPr>
            </w:pPr>
          </w:p>
        </w:tc>
        <w:tc>
          <w:tcPr>
            <w:tcW w:w="1520" w:type="dxa"/>
            <w:vAlign w:val="bottom"/>
            <w:tcBorders>
              <w:top w:val="single" w:sz="8" w:color="auto"/>
              <w:bottom w:val="single" w:sz="8" w:color="auto"/>
              <w:right w:val="single" w:sz="8" w:color="auto"/>
            </w:tcBorders>
            <w:gridSpan w:val="2"/>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r>
      <w:tr>
        <w:trPr>
          <w:trHeight w:val="119"/>
        </w:trPr>
        <w:tc>
          <w:tcPr>
            <w:tcW w:w="360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Proposed Maximum</w:t>
            </w:r>
          </w:p>
        </w:tc>
        <w:tc>
          <w:tcPr>
            <w:tcW w:w="1520" w:type="dxa"/>
            <w:vAlign w:val="bottom"/>
            <w:tcBorders>
              <w:right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5"/>
        </w:trPr>
        <w:tc>
          <w:tcPr>
            <w:tcW w:w="3600" w:type="dxa"/>
            <w:vAlign w:val="bottom"/>
            <w:tcBorders>
              <w:right w:val="single" w:sz="8" w:color="auto"/>
            </w:tcBorders>
          </w:tcPr>
          <w:p>
            <w:pPr>
              <w:ind w:left="820"/>
              <w:spacing w:after="0" w:line="145" w:lineRule="exact"/>
              <w:rPr>
                <w:sz w:val="20"/>
                <w:szCs w:val="20"/>
                <w:color w:val="auto"/>
              </w:rPr>
            </w:pPr>
            <w:r>
              <w:rPr>
                <w:rFonts w:ascii="Arial" w:cs="Arial" w:eastAsia="Arial" w:hAnsi="Arial"/>
                <w:sz w:val="14"/>
                <w:szCs w:val="14"/>
                <w:b w:val="1"/>
                <w:bCs w:val="1"/>
                <w:color w:val="auto"/>
              </w:rPr>
              <w:t>Title of Each Class of Security</w:t>
            </w:r>
          </w:p>
        </w:tc>
        <w:tc>
          <w:tcPr>
            <w:tcW w:w="1520" w:type="dxa"/>
            <w:vAlign w:val="bottom"/>
            <w:tcBorders>
              <w:right w:val="single" w:sz="8" w:color="auto"/>
            </w:tcBorders>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Amount Being</w:t>
            </w:r>
          </w:p>
        </w:tc>
        <w:tc>
          <w:tcPr>
            <w:tcW w:w="220" w:type="dxa"/>
            <w:vAlign w:val="bottom"/>
          </w:tcPr>
          <w:p>
            <w:pPr>
              <w:spacing w:after="0"/>
              <w:rPr>
                <w:sz w:val="12"/>
                <w:szCs w:val="12"/>
                <w:color w:val="auto"/>
              </w:rPr>
            </w:pPr>
          </w:p>
        </w:tc>
        <w:tc>
          <w:tcPr>
            <w:tcW w:w="1300" w:type="dxa"/>
            <w:vAlign w:val="bottom"/>
            <w:tcBorders>
              <w:right w:val="single" w:sz="8" w:color="auto"/>
            </w:tcBorders>
          </w:tcPr>
          <w:p>
            <w:pPr>
              <w:jc w:val="right"/>
              <w:ind w:right="268"/>
              <w:spacing w:after="0" w:line="145" w:lineRule="exact"/>
              <w:rPr>
                <w:sz w:val="20"/>
                <w:szCs w:val="20"/>
                <w:color w:val="auto"/>
              </w:rPr>
            </w:pPr>
            <w:r>
              <w:rPr>
                <w:rFonts w:ascii="Arial" w:cs="Arial" w:eastAsia="Arial" w:hAnsi="Arial"/>
                <w:sz w:val="14"/>
                <w:szCs w:val="14"/>
                <w:b w:val="1"/>
                <w:bCs w:val="1"/>
                <w:color w:val="auto"/>
              </w:rPr>
              <w:t>Offering Price</w:t>
            </w:r>
          </w:p>
        </w:tc>
        <w:tc>
          <w:tcPr>
            <w:tcW w:w="1520" w:type="dxa"/>
            <w:vAlign w:val="bottom"/>
            <w:tcBorders>
              <w:right w:val="single" w:sz="8" w:color="auto"/>
            </w:tcBorders>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280" w:type="dxa"/>
            <w:vAlign w:val="bottom"/>
          </w:tcPr>
          <w:p>
            <w:pPr>
              <w:spacing w:after="0"/>
              <w:rPr>
                <w:sz w:val="12"/>
                <w:szCs w:val="12"/>
                <w:color w:val="auto"/>
              </w:rPr>
            </w:pPr>
          </w:p>
        </w:tc>
        <w:tc>
          <w:tcPr>
            <w:tcW w:w="1120" w:type="dxa"/>
            <w:vAlign w:val="bottom"/>
          </w:tcPr>
          <w:p>
            <w:pPr>
              <w:jc w:val="center"/>
              <w:ind w:right="196"/>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36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Being Registered</w:t>
            </w:r>
          </w:p>
        </w:tc>
        <w:tc>
          <w:tcPr>
            <w:tcW w:w="1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jc w:val="right"/>
              <w:ind w:right="268"/>
              <w:spacing w:after="0" w:line="202" w:lineRule="exact"/>
              <w:rPr>
                <w:sz w:val="20"/>
                <w:szCs w:val="20"/>
                <w:color w:val="auto"/>
              </w:rPr>
            </w:pPr>
            <w:r>
              <w:rPr>
                <w:rFonts w:ascii="Arial" w:cs="Arial" w:eastAsia="Arial" w:hAnsi="Arial"/>
                <w:sz w:val="14"/>
                <w:szCs w:val="14"/>
                <w:b w:val="1"/>
                <w:bCs w:val="1"/>
                <w:color w:val="auto"/>
                <w:w w:val="94"/>
              </w:rPr>
              <w:t>per Security</w:t>
            </w:r>
            <w:r>
              <w:rPr>
                <w:rFonts w:ascii="Arial" w:cs="Arial" w:eastAsia="Arial" w:hAnsi="Arial"/>
                <w:sz w:val="23"/>
                <w:szCs w:val="23"/>
                <w:b w:val="1"/>
                <w:bCs w:val="1"/>
                <w:color w:val="auto"/>
                <w:w w:val="94"/>
                <w:vertAlign w:val="superscript"/>
              </w:rPr>
              <w:t>(1)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288"/>
              <w:spacing w:after="0" w:line="202" w:lineRule="exact"/>
              <w:rPr>
                <w:sz w:val="20"/>
                <w:szCs w:val="20"/>
                <w:color w:val="auto"/>
              </w:rPr>
            </w:pPr>
            <w:r>
              <w:rPr>
                <w:rFonts w:ascii="Arial" w:cs="Arial" w:eastAsia="Arial" w:hAnsi="Arial"/>
                <w:sz w:val="14"/>
                <w:szCs w:val="14"/>
                <w:b w:val="1"/>
                <w:bCs w:val="1"/>
                <w:color w:val="auto"/>
                <w:w w:val="86"/>
              </w:rPr>
              <w:t>Price</w:t>
            </w:r>
            <w:r>
              <w:rPr>
                <w:rFonts w:ascii="Arial" w:cs="Arial" w:eastAsia="Arial" w:hAnsi="Arial"/>
                <w:sz w:val="23"/>
                <w:szCs w:val="23"/>
                <w:b w:val="1"/>
                <w:bCs w:val="1"/>
                <w:color w:val="auto"/>
                <w:w w:val="86"/>
                <w:vertAlign w:val="superscript"/>
              </w:rPr>
              <w:t>(1)</w:t>
            </w:r>
          </w:p>
        </w:tc>
        <w:tc>
          <w:tcPr>
            <w:tcW w:w="140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23"/>
                <w:szCs w:val="23"/>
                <w:b w:val="1"/>
                <w:bCs w:val="1"/>
                <w:color w:val="auto"/>
                <w:w w:val="90"/>
                <w:vertAlign w:val="superscript"/>
              </w:rPr>
              <w:t>(2)</w:t>
            </w:r>
          </w:p>
        </w:tc>
      </w:tr>
      <w:tr>
        <w:trPr>
          <w:trHeight w:val="164"/>
        </w:trPr>
        <w:tc>
          <w:tcPr>
            <w:tcW w:w="3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Units, each consisting of one Class A ordinary share,</w:t>
            </w:r>
          </w:p>
        </w:tc>
        <w:tc>
          <w:tcPr>
            <w:tcW w:w="7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5"/>
        </w:trPr>
        <w:tc>
          <w:tcPr>
            <w:tcW w:w="3600" w:type="dxa"/>
            <w:vAlign w:val="bottom"/>
            <w:tcBorders>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$0.0001 par value, and one-half of one redeemable</w:t>
            </w:r>
          </w:p>
        </w:tc>
        <w:tc>
          <w:tcPr>
            <w:tcW w:w="7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3600" w:type="dxa"/>
            <w:vAlign w:val="bottom"/>
            <w:tcBorders>
              <w:right w:val="single" w:sz="8" w:color="auto"/>
            </w:tcBorders>
          </w:tcPr>
          <w:p>
            <w:pPr>
              <w:ind w:left="140"/>
              <w:spacing w:after="0" w:line="189" w:lineRule="exact"/>
              <w:rPr>
                <w:sz w:val="20"/>
                <w:szCs w:val="20"/>
                <w:color w:val="auto"/>
              </w:rPr>
            </w:pPr>
            <w:r>
              <w:rPr>
                <w:rFonts w:ascii="Arial" w:cs="Arial" w:eastAsia="Arial" w:hAnsi="Arial"/>
                <w:sz w:val="13"/>
                <w:szCs w:val="13"/>
                <w:color w:val="auto"/>
              </w:rPr>
              <w:t>warrant</w:t>
            </w:r>
            <w:r>
              <w:rPr>
                <w:rFonts w:ascii="Arial" w:cs="Arial" w:eastAsia="Arial" w:hAnsi="Arial"/>
                <w:sz w:val="21"/>
                <w:szCs w:val="21"/>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4"/>
                <w:szCs w:val="14"/>
                <w:color w:val="auto"/>
                <w:w w:val="94"/>
              </w:rPr>
              <w:t>28,750,000</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10.00</w:t>
            </w:r>
          </w:p>
        </w:tc>
        <w:tc>
          <w:tcPr>
            <w:tcW w:w="3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287,500,000</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
              <w:spacing w:after="0"/>
              <w:rPr>
                <w:sz w:val="20"/>
                <w:szCs w:val="20"/>
                <w:color w:val="auto"/>
              </w:rPr>
            </w:pPr>
            <w:r>
              <w:rPr>
                <w:rFonts w:ascii="Arial" w:cs="Arial" w:eastAsia="Arial" w:hAnsi="Arial"/>
                <w:sz w:val="14"/>
                <w:szCs w:val="14"/>
                <w:color w:val="auto"/>
              </w:rPr>
              <w:t>34,845</w:t>
            </w:r>
          </w:p>
        </w:tc>
      </w:tr>
      <w:tr>
        <w:trPr>
          <w:trHeight w:val="189"/>
        </w:trPr>
        <w:tc>
          <w:tcPr>
            <w:tcW w:w="3600" w:type="dxa"/>
            <w:vAlign w:val="bottom"/>
            <w:tcBorders>
              <w:right w:val="single" w:sz="8" w:color="auto"/>
            </w:tcBorders>
          </w:tcPr>
          <w:p>
            <w:pPr>
              <w:spacing w:after="0" w:line="189" w:lineRule="exact"/>
              <w:rPr>
                <w:sz w:val="20"/>
                <w:szCs w:val="20"/>
                <w:color w:val="auto"/>
              </w:rPr>
            </w:pPr>
            <w:r>
              <w:rPr>
                <w:rFonts w:ascii="Arial" w:cs="Arial" w:eastAsia="Arial" w:hAnsi="Arial"/>
                <w:sz w:val="13"/>
                <w:szCs w:val="13"/>
                <w:color w:val="auto"/>
              </w:rPr>
              <w:t>Class A ordinary shares included as part of the units</w:t>
            </w:r>
            <w:r>
              <w:rPr>
                <w:rFonts w:ascii="Arial" w:cs="Arial" w:eastAsia="Arial" w:hAnsi="Arial"/>
                <w:sz w:val="21"/>
                <w:szCs w:val="21"/>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color w:val="auto"/>
                <w:w w:val="94"/>
              </w:rPr>
              <w:t>28,750,000</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6"/>
                <w:szCs w:val="16"/>
                <w:color w:val="auto"/>
              </w:rPr>
            </w:pPr>
          </w:p>
        </w:tc>
        <w:tc>
          <w:tcPr>
            <w:tcW w:w="13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tcPr>
          <w:p>
            <w:pPr>
              <w:ind w:left="80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(5)</w:t>
            </w:r>
          </w:p>
        </w:tc>
      </w:tr>
      <w:tr>
        <w:trPr>
          <w:trHeight w:val="206"/>
        </w:trPr>
        <w:tc>
          <w:tcPr>
            <w:tcW w:w="3600" w:type="dxa"/>
            <w:vAlign w:val="bottom"/>
            <w:tcBorders>
              <w:right w:val="single" w:sz="8" w:color="auto"/>
            </w:tcBorders>
          </w:tcPr>
          <w:p>
            <w:pPr>
              <w:spacing w:after="0" w:line="207" w:lineRule="exact"/>
              <w:rPr>
                <w:sz w:val="20"/>
                <w:szCs w:val="20"/>
                <w:color w:val="auto"/>
              </w:rPr>
            </w:pPr>
            <w:r>
              <w:rPr>
                <w:rFonts w:ascii="Arial" w:cs="Arial" w:eastAsia="Arial" w:hAnsi="Arial"/>
                <w:sz w:val="14"/>
                <w:szCs w:val="14"/>
                <w:color w:val="auto"/>
              </w:rPr>
              <w:t>Redeemable warrants included as part of the units</w:t>
            </w:r>
            <w:r>
              <w:rPr>
                <w:rFonts w:ascii="Arial" w:cs="Arial" w:eastAsia="Arial" w:hAnsi="Arial"/>
                <w:sz w:val="23"/>
                <w:szCs w:val="23"/>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color w:val="auto"/>
                <w:w w:val="94"/>
              </w:rPr>
              <w:t>14,375,000</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220" w:type="dxa"/>
            <w:vAlign w:val="bottom"/>
          </w:tcPr>
          <w:p>
            <w:pPr>
              <w:spacing w:after="0"/>
              <w:rPr>
                <w:sz w:val="17"/>
                <w:szCs w:val="17"/>
                <w:color w:val="auto"/>
              </w:rPr>
            </w:pPr>
          </w:p>
        </w:tc>
        <w:tc>
          <w:tcPr>
            <w:tcW w:w="130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ind w:left="80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1"/>
                <w:szCs w:val="11"/>
                <w:color w:val="auto"/>
              </w:rPr>
              <w:t>(5)</w:t>
            </w:r>
          </w:p>
        </w:tc>
      </w:tr>
      <w:tr>
        <w:trPr>
          <w:trHeight w:val="181"/>
        </w:trPr>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287,500,000</w:t>
            </w:r>
          </w:p>
        </w:tc>
        <w:tc>
          <w:tcPr>
            <w:tcW w:w="2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34,845</w:t>
            </w:r>
          </w:p>
        </w:tc>
      </w:tr>
      <w:tr>
        <w:trPr>
          <w:trHeight w:val="48"/>
        </w:trPr>
        <w:tc>
          <w:tcPr>
            <w:tcW w:w="3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157"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109" w:lineRule="exact"/>
        <w:rPr>
          <w:rFonts w:ascii="Arial" w:cs="Arial" w:eastAsia="Arial" w:hAnsi="Arial"/>
          <w:sz w:val="14"/>
          <w:szCs w:val="14"/>
          <w:color w:val="auto"/>
        </w:rPr>
      </w:pPr>
    </w:p>
    <w:p>
      <w:pPr>
        <w:ind w:left="347" w:right="38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3,750,000 units, consisting of 3,750,000 Class A ordinary shares and 1,875,000 warrants, which may be issued upon exercise of a 45-day option granted to the underwriter to cover over-allotments, if any.</w:t>
      </w:r>
    </w:p>
    <w:p>
      <w:pPr>
        <w:spacing w:after="0" w:line="65"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there are also being registered an indeterminable number of additional securities as may be issued to prevent dilution resulting from share splits, share dividends or similar transactions.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w:t>
      </w:r>
    </w:p>
    <w:p>
      <w:pPr>
        <w:spacing w:after="0" w:line="13" w:lineRule="exact"/>
        <w:rPr>
          <w:sz w:val="24"/>
          <w:szCs w:val="24"/>
          <w:color w:val="auto"/>
        </w:rPr>
      </w:pPr>
    </w:p>
    <w:p>
      <w:pPr>
        <w:ind w:left="7" w:right="20"/>
        <w:spacing w:after="0" w:line="21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60718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480060</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5" w:lineRule="exact"/>
        <w:rPr>
          <w:sz w:val="20"/>
          <w:szCs w:val="20"/>
          <w:color w:val="auto"/>
        </w:rPr>
      </w:pPr>
    </w:p>
    <w:p>
      <w:pPr>
        <w:jc w:val="both"/>
        <w:ind w:left="7"/>
        <w:spacing w:after="0" w:line="228" w:lineRule="auto"/>
        <w:rPr>
          <w:sz w:val="20"/>
          <w:szCs w:val="20"/>
          <w:color w:val="auto"/>
        </w:rPr>
      </w:pPr>
      <w:r>
        <w:rPr>
          <w:rFonts w:ascii="Arial" w:cs="Arial" w:eastAsia="Arial" w:hAnsi="Arial"/>
          <w:sz w:val="15"/>
          <w:szCs w:val="15"/>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FC0014"/>
        </w:rPr>
        <w:t>SUBJECT TO COMPLETION, DATED AUGUST 7, 2019</w:t>
      </w:r>
    </w:p>
    <w:p>
      <w:pPr>
        <w:spacing w:after="0" w:line="3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PRELIMINARY PROSPECTUS</w:t>
      </w:r>
    </w:p>
    <w:p>
      <w:pPr>
        <w:spacing w:after="0" w:line="2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$250,000,000</w:t>
      </w:r>
    </w:p>
    <w:p>
      <w:pPr>
        <w:spacing w:after="0" w:line="5" w:lineRule="exact"/>
        <w:rPr>
          <w:sz w:val="20"/>
          <w:szCs w:val="20"/>
          <w:color w:val="auto"/>
        </w:rPr>
      </w:pPr>
    </w:p>
    <w:p>
      <w:pPr>
        <w:jc w:val="center"/>
        <w:ind w:right="-6"/>
        <w:spacing w:after="0"/>
        <w:rPr>
          <w:sz w:val="20"/>
          <w:szCs w:val="20"/>
          <w:color w:val="auto"/>
        </w:rPr>
      </w:pPr>
      <w:r>
        <w:rPr>
          <w:rFonts w:ascii="Arial" w:cs="Arial" w:eastAsia="Arial" w:hAnsi="Arial"/>
          <w:sz w:val="23"/>
          <w:szCs w:val="23"/>
          <w:b w:val="1"/>
          <w:bCs w:val="1"/>
          <w:color w:val="auto"/>
        </w:rPr>
        <w:t>Silver Spike Acquisition Corp.</w:t>
      </w:r>
    </w:p>
    <w:p>
      <w:pPr>
        <w:spacing w:after="0" w:line="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25,000,000 Units</w:t>
      </w:r>
    </w:p>
    <w:p>
      <w:pPr>
        <w:spacing w:after="0" w:line="35" w:lineRule="exact"/>
        <w:rPr>
          <w:sz w:val="20"/>
          <w:szCs w:val="20"/>
          <w:color w:val="auto"/>
        </w:rPr>
      </w:pPr>
    </w:p>
    <w:p>
      <w:pPr>
        <w:ind w:left="7" w:right="60"/>
        <w:spacing w:after="0" w:line="211" w:lineRule="auto"/>
        <w:rPr>
          <w:sz w:val="20"/>
          <w:szCs w:val="20"/>
          <w:color w:val="auto"/>
        </w:rPr>
      </w:pPr>
      <w:r>
        <w:rPr>
          <w:rFonts w:ascii="Arial" w:cs="Arial" w:eastAsia="Arial" w:hAnsi="Arial"/>
          <w:sz w:val="14"/>
          <w:szCs w:val="14"/>
          <w:color w:val="auto"/>
        </w:rPr>
        <w:t>Silver Spike Acquisition Corp. is a newly incorporated blank check company incorporated as a Cayman Islands exempted company and incorporated for the purpose of effecting a merger, amalgamation, share exchange, asset acquisition, share purchase, reorganization or similar business combination with one or more businesses, which we refer to throughout this prospectus as our initial business combination. We have not selected any business combination target and we have not, nor has anyone on our behalf, initiated any substantive discussions, directly or indirectly, with any business combination target. 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w:t>
      </w:r>
    </w:p>
    <w:p>
      <w:pPr>
        <w:spacing w:after="0" w:line="1" w:lineRule="exact"/>
        <w:rPr>
          <w:sz w:val="20"/>
          <w:szCs w:val="20"/>
          <w:color w:val="auto"/>
        </w:rPr>
      </w:pPr>
    </w:p>
    <w:p>
      <w:pPr>
        <w:ind w:left="7"/>
        <w:spacing w:after="0" w:line="197" w:lineRule="auto"/>
        <w:rPr>
          <w:sz w:val="20"/>
          <w:szCs w:val="20"/>
          <w:color w:val="auto"/>
        </w:rPr>
      </w:pPr>
      <w:r>
        <w:rPr>
          <w:rFonts w:ascii="Arial" w:cs="Arial" w:eastAsia="Arial" w:hAnsi="Arial"/>
          <w:sz w:val="15"/>
          <w:szCs w:val="15"/>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provided herein, and only whole warrants are exercisable.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have also granted the underwriter a 45-day option to purchase up to an additional 3,750,000 units to cover over-allotments, if any.</w:t>
      </w:r>
    </w:p>
    <w:p>
      <w:pPr>
        <w:spacing w:after="0" w:line="3" w:lineRule="exact"/>
        <w:rPr>
          <w:sz w:val="20"/>
          <w:szCs w:val="20"/>
          <w:color w:val="auto"/>
        </w:rPr>
      </w:pPr>
    </w:p>
    <w:p>
      <w:pPr>
        <w:ind w:left="7" w:right="60"/>
        <w:spacing w:after="0" w:line="211" w:lineRule="auto"/>
        <w:rPr>
          <w:sz w:val="20"/>
          <w:szCs w:val="20"/>
          <w:color w:val="auto"/>
        </w:rPr>
      </w:pPr>
      <w:r>
        <w:rPr>
          <w:rFonts w:ascii="Arial" w:cs="Arial" w:eastAsia="Arial" w:hAnsi="Arial"/>
          <w:sz w:val="14"/>
          <w:szCs w:val="14"/>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completion of our initial business combination, including interest (which interest shall be net of taxes payable), divided by the number of then issued and outstanding Class A ordinary shares that were sold as part of the units in this offering, which we refer to collectively as our public shares, subject to the limitations described herein. If we are unable to complete our initial business combination within 18 months from the closing of this offering, we will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subject to applicable law and as further described herein.</w:t>
      </w:r>
    </w:p>
    <w:p>
      <w:pPr>
        <w:spacing w:after="0" w:line="1" w:lineRule="exact"/>
        <w:rPr>
          <w:sz w:val="20"/>
          <w:szCs w:val="20"/>
          <w:color w:val="auto"/>
        </w:rPr>
      </w:pPr>
    </w:p>
    <w:p>
      <w:pPr>
        <w:ind w:left="7" w:right="20"/>
        <w:spacing w:after="0" w:line="229" w:lineRule="auto"/>
        <w:rPr>
          <w:sz w:val="20"/>
          <w:szCs w:val="20"/>
          <w:color w:val="auto"/>
        </w:rPr>
      </w:pPr>
      <w:r>
        <w:rPr>
          <w:rFonts w:ascii="Arial" w:cs="Arial" w:eastAsia="Arial" w:hAnsi="Arial"/>
          <w:sz w:val="13"/>
          <w:szCs w:val="13"/>
          <w:color w:val="auto"/>
        </w:rPr>
        <w:t>Our sponsor, Silver Spike Sponsor, LLC, a Delaware limited liability company (which we refer to as our “sponsor” throughout this prospectus), has committed to purchase an aggregate of 7,000,000 warrants (or 7,750,000 warrants if the underwriter’s over-allotment option is exercised in full) at a price of $1.00 per warrant ($7,000,000 in the aggregate or $7,750,000 in the aggregate if the underwriter’s over-allotment option is exercised in full) in a private placement that will close simultaneously with the closing of this offering. We refer to these warrants throughout this prospectus as the private placement warrants. Each private placement warrant entitles the holder thereof to purchase one Class A ordinary share at $11.50 per share, subject to adjustment as provided herein.</w:t>
      </w:r>
    </w:p>
    <w:p>
      <w:pPr>
        <w:spacing w:after="0" w:line="3" w:lineRule="exact"/>
        <w:rPr>
          <w:sz w:val="20"/>
          <w:szCs w:val="20"/>
          <w:color w:val="auto"/>
        </w:rPr>
      </w:pPr>
    </w:p>
    <w:p>
      <w:pPr>
        <w:ind w:left="7" w:right="20"/>
        <w:spacing w:after="0" w:line="208" w:lineRule="auto"/>
        <w:rPr>
          <w:sz w:val="20"/>
          <w:szCs w:val="20"/>
          <w:color w:val="auto"/>
        </w:rPr>
      </w:pPr>
      <w:r>
        <w:rPr>
          <w:rFonts w:ascii="Arial" w:cs="Arial" w:eastAsia="Arial" w:hAnsi="Arial"/>
          <w:sz w:val="14"/>
          <w:szCs w:val="14"/>
          <w:color w:val="auto"/>
        </w:rPr>
        <w:t>Our initial shareholders currently hold 7,187,500 Class B ordinary shares (which we refer to as “founders shares,” as further described herein), up to 937,500 of which are subject to forfeiture by our sponsor depending on the extent to which the underwriter’s over-allotment option is exercised. Holders of Class A ordinary shares and Class B ordinary shares are entitled to one vote for each share held on all matters to be voted on by our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The Class B ordinary shares held by our initial shareholders will automatically convert into Class A ordinary shares on the first business day following the completion of our initial business combination on a one-for-one basis, subject to adjustment as provided herein.</w:t>
      </w:r>
    </w:p>
    <w:p>
      <w:pPr>
        <w:spacing w:after="0" w:line="2" w:lineRule="exact"/>
        <w:rPr>
          <w:sz w:val="20"/>
          <w:szCs w:val="20"/>
          <w:color w:val="auto"/>
        </w:rPr>
      </w:pPr>
    </w:p>
    <w:p>
      <w:pPr>
        <w:ind w:left="7" w:right="120"/>
        <w:spacing w:after="0" w:line="228" w:lineRule="auto"/>
        <w:rPr>
          <w:sz w:val="20"/>
          <w:szCs w:val="20"/>
          <w:color w:val="auto"/>
        </w:rPr>
      </w:pPr>
      <w:r>
        <w:rPr>
          <w:rFonts w:ascii="Arial" w:cs="Arial" w:eastAsia="Arial" w:hAnsi="Arial"/>
          <w:sz w:val="13"/>
          <w:szCs w:val="13"/>
          <w:color w:val="auto"/>
        </w:rPr>
        <w:t>Prior to this offering, there has been no public market for our units, ordinary shares or warrants. We intend to apply to list our units on the Nasdaq Capital Market, or Nasdaq, under the symbol “SSPKU” on or promptly after the date of this prospectus. We cannot guarantee that our securities will be approved for listing on Nasdaq. The Class A ordinary shares and warrants constituting the units will begin separate trading on the 52nd day following the date of this prospectus unless Credit Suisse Securities (USA) LLC informs us of its decision to allow earlier separate trading, subject to our filing a Current Report on Form 8-K with the Securities and Exchange Commission, or the “SEC”, containing an audited balance sheet of the Company reflecting our receipt of the gross proceeds of this offering and issuing a press release announcing when such separate trading will begin. Once the securities constituting the units begin separate trading, we expect that the Class A ordinary shares and warrants will be listed on Nasdaq under the symbols “SSPK” and “ SSPKW,” respectively.</w:t>
      </w:r>
    </w:p>
    <w:p>
      <w:pPr>
        <w:spacing w:after="0" w:line="4" w:lineRule="exact"/>
        <w:rPr>
          <w:sz w:val="20"/>
          <w:szCs w:val="20"/>
          <w:color w:val="auto"/>
        </w:rPr>
      </w:pPr>
    </w:p>
    <w:p>
      <w:pPr>
        <w:jc w:val="both"/>
        <w:ind w:left="7" w:right="40"/>
        <w:spacing w:after="0" w:line="206"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We are an “emerging growth company” under applicable federal securities laws and will be subject to reduced public company reporting requirements. Investing in our securities involves risks. See the section of this prospectus entitled “Risk Factors” beginning on page </w:t>
      </w:r>
      <w:hyperlink w:anchor="page32">
        <w:r>
          <w:rPr>
            <w:rFonts w:ascii="Arial" w:cs="Arial" w:eastAsia="Arial" w:hAnsi="Arial"/>
            <w:sz w:val="15"/>
            <w:szCs w:val="15"/>
            <w:b w:val="1"/>
            <w:bCs w:val="1"/>
            <w:u w:val="single" w:color="auto"/>
            <w:color w:val="0000EE"/>
          </w:rPr>
          <w:t>29</w:t>
        </w:r>
      </w:hyperlink>
      <w:r>
        <w:rPr>
          <w:rFonts w:ascii="Arial" w:cs="Arial" w:eastAsia="Arial" w:hAnsi="Arial"/>
          <w:sz w:val="15"/>
          <w:szCs w:val="15"/>
          <w:b w:val="1"/>
          <w:bCs w:val="1"/>
          <w:color w:val="auto"/>
        </w:rPr>
        <w:t>. Investors will not be entitled to protections normally afforded to investors in Rule 419 blank check offerings.</w:t>
      </w:r>
    </w:p>
    <w:p>
      <w:pPr>
        <w:spacing w:after="0" w:line="29"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7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w w:val="93"/>
              </w:rPr>
              <w:t>Per Unit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89"/>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250,000,000</w:t>
            </w:r>
          </w:p>
        </w:tc>
        <w:tc>
          <w:tcPr>
            <w:tcW w:w="100" w:type="dxa"/>
            <w:vAlign w:val="bottom"/>
            <w:shd w:val="clear" w:color="auto" w:fill="CCEEFF"/>
          </w:tcPr>
          <w:p>
            <w:pPr>
              <w:spacing w:after="0"/>
              <w:rPr>
                <w:sz w:val="16"/>
                <w:szCs w:val="16"/>
                <w:color w:val="auto"/>
              </w:rPr>
            </w:pPr>
          </w:p>
        </w:tc>
      </w:tr>
      <w:tr>
        <w:trPr>
          <w:trHeight w:val="189"/>
        </w:trPr>
        <w:tc>
          <w:tcPr>
            <w:tcW w:w="7460" w:type="dxa"/>
            <w:vAlign w:val="bottom"/>
          </w:tcPr>
          <w:p>
            <w:pPr>
              <w:spacing w:after="0" w:line="189" w:lineRule="exact"/>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0.55</w:t>
            </w: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13,750,000</w:t>
            </w:r>
          </w:p>
        </w:tc>
        <w:tc>
          <w:tcPr>
            <w:tcW w:w="100" w:type="dxa"/>
            <w:vAlign w:val="bottom"/>
          </w:tcPr>
          <w:p>
            <w:pPr>
              <w:spacing w:after="0"/>
              <w:rPr>
                <w:sz w:val="16"/>
                <w:szCs w:val="16"/>
                <w:color w:val="auto"/>
              </w:rPr>
            </w:pPr>
          </w:p>
        </w:tc>
      </w:tr>
      <w:tr>
        <w:trPr>
          <w:trHeight w:val="189"/>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236,250,000</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848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85" w:lineRule="exact"/>
        <w:rPr>
          <w:sz w:val="20"/>
          <w:szCs w:val="20"/>
          <w:color w:val="auto"/>
        </w:rPr>
      </w:pPr>
    </w:p>
    <w:p>
      <w:pPr>
        <w:jc w:val="both"/>
        <w:ind w:left="347" w:right="260" w:hanging="347"/>
        <w:spacing w:after="0" w:line="250" w:lineRule="auto"/>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$0.35 per unit, or $8,750,000 (or up to $10,062,500 if the underwriter’s over-allotment option is exercised in full) in the aggregate, payable to the underwriter for deferred underwriting commissions to be placed in a trust account located in the United States as described herein. Does not include certain fees and expenses payable to the underwriter in connection with this offering. See also “Underwriting” for a description of compensation and other items of value payable to the underwriter.</w:t>
      </w:r>
    </w:p>
    <w:p>
      <w:pPr>
        <w:spacing w:after="0" w:line="1" w:lineRule="exact"/>
        <w:rPr>
          <w:sz w:val="20"/>
          <w:szCs w:val="20"/>
          <w:color w:val="auto"/>
        </w:rPr>
      </w:pPr>
    </w:p>
    <w:p>
      <w:pPr>
        <w:ind w:left="7" w:right="80"/>
        <w:spacing w:after="0" w:line="221" w:lineRule="auto"/>
        <w:rPr>
          <w:sz w:val="20"/>
          <w:szCs w:val="20"/>
          <w:color w:val="auto"/>
        </w:rPr>
      </w:pPr>
      <w:r>
        <w:rPr>
          <w:rFonts w:ascii="Arial" w:cs="Arial" w:eastAsia="Arial" w:hAnsi="Arial"/>
          <w:sz w:val="13"/>
          <w:szCs w:val="13"/>
          <w:color w:val="auto"/>
        </w:rPr>
        <w:t>Of the proceeds we receive from this offering and the sale of the private placement warrants described in this prospectus, $250,000,000 or $287,500,000 if the underwriter’s over-allotment option is exercised in full ($10.00 per unit), will be deposited into a U.S.-based trust account with Continental Stock Transfer &amp; Trust Company acting as trustee. 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w:t>
      </w:r>
    </w:p>
    <w:p>
      <w:pPr>
        <w:spacing w:after="0" w:line="2" w:lineRule="exact"/>
        <w:rPr>
          <w:sz w:val="20"/>
          <w:szCs w:val="20"/>
          <w:color w:val="auto"/>
        </w:rPr>
      </w:pPr>
    </w:p>
    <w:p>
      <w:pPr>
        <w:ind w:left="7" w:hanging="7"/>
        <w:spacing w:after="0" w:line="197" w:lineRule="auto"/>
        <w:tabs>
          <w:tab w:leader="none" w:pos="21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The proceeds deposited in the trust account could become subject to the claims of our creditors, if any, which could have priority over the claims of our public shareholders.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Arial" w:cs="Arial" w:eastAsia="Arial" w:hAnsi="Arial"/>
                <w:sz w:val="15"/>
                <w:szCs w:val="15"/>
                <w:color w:val="auto"/>
                <w:w w:val="93"/>
              </w:rPr>
              <w:t>The underwriter is offering the units for sale on a firm commitment basis. Delivery of the units will be made on or about</w:t>
            </w:r>
          </w:p>
        </w:tc>
        <w:tc>
          <w:tcPr>
            <w:tcW w:w="640" w:type="dxa"/>
            <w:vAlign w:val="bottom"/>
          </w:tcPr>
          <w:p>
            <w:pPr>
              <w:jc w:val="right"/>
              <w:spacing w:after="0"/>
              <w:rPr>
                <w:sz w:val="20"/>
                <w:szCs w:val="20"/>
                <w:color w:val="auto"/>
              </w:rPr>
            </w:pPr>
            <w:r>
              <w:rPr>
                <w:rFonts w:ascii="Arial" w:cs="Arial" w:eastAsia="Arial" w:hAnsi="Arial"/>
                <w:sz w:val="15"/>
                <w:szCs w:val="15"/>
                <w:color w:val="auto"/>
              </w:rPr>
              <w:t>, 2019.</w:t>
            </w:r>
          </w:p>
        </w:tc>
      </w:tr>
    </w:tbl>
    <w:p>
      <w:pPr>
        <w:spacing w:after="0" w:line="11" w:lineRule="exact"/>
        <w:rPr>
          <w:sz w:val="20"/>
          <w:szCs w:val="20"/>
          <w:color w:val="auto"/>
        </w:rPr>
      </w:pPr>
    </w:p>
    <w:p>
      <w:pPr>
        <w:ind w:left="7" w:right="380"/>
        <w:spacing w:after="0" w:line="227"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ind w:left="7"/>
        <w:spacing w:after="0"/>
        <w:rPr>
          <w:sz w:val="20"/>
          <w:szCs w:val="20"/>
          <w:color w:val="auto"/>
        </w:rPr>
      </w:pPr>
      <w:r>
        <w:rPr>
          <w:rFonts w:ascii="Arial" w:cs="Arial" w:eastAsia="Arial" w:hAnsi="Arial"/>
          <w:sz w:val="15"/>
          <w:szCs w:val="15"/>
          <w:color w:val="auto"/>
        </w:rPr>
        <w:t>No invitation, whether directly or indirectly, may be made to the public in the Cayman Islands to subscribe for our securities.</w:t>
      </w:r>
    </w:p>
    <w:p>
      <w:pPr>
        <w:spacing w:after="0" w:line="38" w:lineRule="exact"/>
        <w:rPr>
          <w:sz w:val="20"/>
          <w:szCs w:val="20"/>
          <w:color w:val="auto"/>
        </w:rPr>
      </w:pPr>
    </w:p>
    <w:p>
      <w:pPr>
        <w:jc w:val="center"/>
        <w:ind w:right="-6"/>
        <w:spacing w:after="0"/>
        <w:rPr>
          <w:sz w:val="20"/>
          <w:szCs w:val="20"/>
          <w:color w:val="auto"/>
        </w:rPr>
      </w:pPr>
      <w:r>
        <w:rPr>
          <w:rFonts w:ascii="Arial" w:cs="Arial" w:eastAsia="Arial" w:hAnsi="Arial"/>
          <w:sz w:val="18"/>
          <w:szCs w:val="18"/>
          <w:i w:val="1"/>
          <w:iCs w:val="1"/>
          <w:color w:val="auto"/>
        </w:rPr>
        <w:t>Sole Book-Running Manager</w:t>
      </w:r>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Credit Suisse</w:t>
      </w:r>
    </w:p>
    <w:p>
      <w:pPr>
        <w:sectPr>
          <w:pgSz w:w="11900" w:h="16838" w:orient="portrait"/>
          <w:cols w:equalWidth="0" w:num="1">
            <w:col w:w="9567"/>
          </w:cols>
          <w:pgMar w:left="1173" w:top="279" w:right="1159" w:bottom="1440" w:gutter="0" w:footer="0" w:header="0"/>
        </w:sectPr>
      </w:pPr>
    </w:p>
    <w:p>
      <w:pPr>
        <w:spacing w:after="0" w:line="58" w:lineRule="exact"/>
        <w:rPr>
          <w:sz w:val="20"/>
          <w:szCs w:val="20"/>
          <w:color w:val="auto"/>
        </w:rPr>
      </w:pPr>
    </w:p>
    <w:p>
      <w:pPr>
        <w:ind w:left="3527"/>
        <w:spacing w:after="0"/>
        <w:tabs>
          <w:tab w:leader="none" w:pos="5646" w:val="left"/>
        </w:tabs>
        <w:rPr>
          <w:sz w:val="20"/>
          <w:szCs w:val="20"/>
          <w:color w:val="auto"/>
        </w:rPr>
      </w:pPr>
      <w:r>
        <w:rPr>
          <w:rFonts w:ascii="Arial" w:cs="Arial" w:eastAsia="Arial" w:hAnsi="Arial"/>
          <w:sz w:val="14"/>
          <w:szCs w:val="14"/>
          <w:color w:val="auto"/>
        </w:rPr>
        <w:t>The date of this prospectus is</w:t>
      </w:r>
      <w:r>
        <w:rPr>
          <w:sz w:val="20"/>
          <w:szCs w:val="20"/>
          <w:color w:val="auto"/>
        </w:rPr>
        <w:tab/>
      </w:r>
      <w:r>
        <w:rPr>
          <w:rFonts w:ascii="Arial" w:cs="Arial" w:eastAsia="Arial" w:hAnsi="Arial"/>
          <w:sz w:val="12"/>
          <w:szCs w:val="1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8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Summary</w:t>
              </w:r>
            </w:hyperlink>
          </w:p>
        </w:tc>
        <w:tc>
          <w:tcPr>
            <w:tcW w:w="8180" w:type="dxa"/>
            <w:vAlign w:val="bottom"/>
            <w:gridSpan w:val="15"/>
            <w:shd w:val="clear" w:color="auto" w:fill="CCEEFF"/>
          </w:tcPr>
          <w:p>
            <w:pPr>
              <w:spacing w:after="0"/>
              <w:rPr>
                <w:sz w:val="16"/>
                <w:szCs w:val="16"/>
                <w:color w:val="auto"/>
              </w:rPr>
            </w:pPr>
          </w:p>
        </w:tc>
        <w:tc>
          <w:tcPr>
            <w:tcW w:w="580" w:type="dxa"/>
            <w:vAlign w:val="bottom"/>
            <w:tcBorders>
              <w:top w:val="single" w:sz="8" w:color="auto"/>
            </w:tcBorders>
            <w:gridSpan w:val="4"/>
            <w:shd w:val="clear" w:color="auto" w:fill="CCEEFF"/>
          </w:tcPr>
          <w:p>
            <w:pPr>
              <w:jc w:val="right"/>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8"/>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880" w:type="dxa"/>
            <w:vAlign w:val="bottom"/>
            <w:tcBorders>
              <w:bottom w:val="single" w:sz="8" w:color="0000EE"/>
            </w:tcBorders>
            <w:gridSpan w:val="4"/>
            <w:shd w:val="clear" w:color="auto" w:fill="CCEEFF"/>
          </w:tcPr>
          <w:p>
            <w:pPr>
              <w:spacing w:after="0" w:line="189"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Risk Factors</w:t>
              </w:r>
            </w:hyperlink>
          </w:p>
        </w:tc>
        <w:tc>
          <w:tcPr>
            <w:tcW w:w="7980" w:type="dxa"/>
            <w:vAlign w:val="bottom"/>
            <w:tcBorders>
              <w:bottom w:val="single" w:sz="8" w:color="CCEEFF"/>
            </w:tcBorders>
            <w:gridSpan w:val="14"/>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18"/>
          </w:tcPr>
          <w:p>
            <w:pPr>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Cautionary Note Regarding Forward-Looking Statements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8"/>
            <w:shd w:val="clear" w:color="auto" w:fill="CCEEFF"/>
          </w:tcPr>
          <w:p>
            <w:pPr>
              <w:spacing w:after="0" w:line="189" w:lineRule="exact"/>
              <w:rPr>
                <w:rFonts w:ascii="Arial" w:cs="Arial" w:eastAsia="Arial" w:hAnsi="Arial"/>
                <w:sz w:val="18"/>
                <w:szCs w:val="18"/>
                <w:color w:val="0000EE"/>
              </w:rPr>
            </w:pPr>
            <w:hyperlink w:anchor="page75">
              <w:r>
                <w:rPr>
                  <w:rFonts w:ascii="Arial" w:cs="Arial" w:eastAsia="Arial" w:hAnsi="Arial"/>
                  <w:sz w:val="18"/>
                  <w:szCs w:val="18"/>
                  <w:color w:val="0000EE"/>
                </w:rPr>
                <w:t>Use of Proceeds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8"/>
          </w:tcPr>
          <w:p>
            <w:pPr>
              <w:spacing w:after="0" w:line="189" w:lineRule="exact"/>
              <w:rPr>
                <w:rFonts w:ascii="Arial" w:cs="Arial" w:eastAsia="Arial" w:hAnsi="Arial"/>
                <w:sz w:val="18"/>
                <w:szCs w:val="18"/>
                <w:color w:val="0000EE"/>
              </w:rPr>
            </w:pPr>
            <w:hyperlink w:anchor="page79">
              <w:r>
                <w:rPr>
                  <w:rFonts w:ascii="Arial" w:cs="Arial" w:eastAsia="Arial" w:hAnsi="Arial"/>
                  <w:sz w:val="18"/>
                  <w:szCs w:val="18"/>
                  <w:color w:val="0000EE"/>
                </w:rPr>
                <w:t>Dividend Policy</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580" w:type="dxa"/>
            <w:vAlign w:val="bottom"/>
            <w:tcBorders>
              <w:bottom w:val="single" w:sz="8" w:color="0000EE"/>
            </w:tcBorders>
            <w:gridSpan w:val="2"/>
            <w:shd w:val="clear" w:color="auto" w:fill="CCEEFF"/>
          </w:tcPr>
          <w:p>
            <w:pPr>
              <w:spacing w:after="0" w:line="189"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Dilution</w:t>
              </w:r>
            </w:hyperlink>
          </w:p>
        </w:tc>
        <w:tc>
          <w:tcPr>
            <w:tcW w:w="8280" w:type="dxa"/>
            <w:vAlign w:val="bottom"/>
            <w:tcBorders>
              <w:bottom w:val="single" w:sz="8" w:color="CCEEFF"/>
            </w:tcBorders>
            <w:gridSpan w:val="16"/>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18"/>
          </w:tcPr>
          <w:p>
            <w:pPr>
              <w:spacing w:after="0" w:line="189" w:lineRule="exact"/>
              <w:rPr>
                <w:rFonts w:ascii="Arial" w:cs="Arial" w:eastAsia="Arial" w:hAnsi="Arial"/>
                <w:sz w:val="18"/>
                <w:szCs w:val="18"/>
                <w:color w:val="0000EE"/>
              </w:rPr>
            </w:pPr>
            <w:hyperlink w:anchor="page82">
              <w:r>
                <w:rPr>
                  <w:rFonts w:ascii="Arial" w:cs="Arial" w:eastAsia="Arial" w:hAnsi="Arial"/>
                  <w:sz w:val="18"/>
                  <w:szCs w:val="18"/>
                  <w:color w:val="0000EE"/>
                </w:rPr>
                <w:t>Capitalization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6440" w:type="dxa"/>
            <w:vAlign w:val="bottom"/>
            <w:tcBorders>
              <w:bottom w:val="single" w:sz="8" w:color="0000EE"/>
            </w:tcBorders>
            <w:gridSpan w:val="17"/>
            <w:shd w:val="clear" w:color="auto" w:fill="CCEEFF"/>
          </w:tcPr>
          <w:p>
            <w:pPr>
              <w:spacing w:after="0" w:line="189"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18"/>
          </w:tcPr>
          <w:p>
            <w:pPr>
              <w:spacing w:after="0" w:line="189" w:lineRule="exact"/>
              <w:rPr>
                <w:rFonts w:ascii="Arial" w:cs="Arial" w:eastAsia="Arial" w:hAnsi="Arial"/>
                <w:sz w:val="18"/>
                <w:szCs w:val="18"/>
                <w:color w:val="0000EE"/>
              </w:rPr>
            </w:pPr>
            <w:hyperlink w:anchor="page89">
              <w:r>
                <w:rPr>
                  <w:rFonts w:ascii="Arial" w:cs="Arial" w:eastAsia="Arial" w:hAnsi="Arial"/>
                  <w:sz w:val="18"/>
                  <w:szCs w:val="18"/>
                  <w:color w:val="0000EE"/>
                </w:rPr>
                <w:t>Proposed Business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0" w:type="dxa"/>
            <w:vAlign w:val="bottom"/>
            <w:gridSpan w:val="5"/>
            <w:shd w:val="clear" w:color="auto" w:fill="CCEEFF"/>
          </w:tcPr>
          <w:p>
            <w:pPr>
              <w:spacing w:after="0" w:line="189" w:lineRule="exact"/>
              <w:rPr>
                <w:rFonts w:ascii="Arial" w:cs="Arial" w:eastAsia="Arial" w:hAnsi="Arial"/>
                <w:sz w:val="18"/>
                <w:szCs w:val="18"/>
                <w:color w:val="0000EE"/>
                <w:w w:val="85"/>
              </w:rPr>
            </w:pPr>
            <w:hyperlink w:anchor="page115">
              <w:r>
                <w:rPr>
                  <w:rFonts w:ascii="Arial" w:cs="Arial" w:eastAsia="Arial" w:hAnsi="Arial"/>
                  <w:sz w:val="18"/>
                  <w:szCs w:val="18"/>
                  <w:color w:val="0000EE"/>
                  <w:w w:val="85"/>
                </w:rPr>
                <w:t>Management</w:t>
              </w:r>
            </w:hyperlink>
          </w:p>
        </w:tc>
        <w:tc>
          <w:tcPr>
            <w:tcW w:w="7940" w:type="dxa"/>
            <w:vAlign w:val="bottom"/>
            <w:gridSpan w:val="13"/>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8"/>
          </w:tcPr>
          <w:p>
            <w:pPr>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Principal Shareholders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5"/>
            <w:shd w:val="clear" w:color="auto" w:fill="CCEEFF"/>
          </w:tcPr>
          <w:p>
            <w:pPr>
              <w:spacing w:after="0" w:line="189"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Certain Relationships and Related Party Transactions</w:t>
              </w:r>
            </w:hyperlink>
          </w:p>
        </w:tc>
        <w:tc>
          <w:tcPr>
            <w:tcW w:w="5040" w:type="dxa"/>
            <w:vAlign w:val="bottom"/>
            <w:gridSpan w:val="3"/>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27">
              <w:r>
                <w:rPr>
                  <w:rFonts w:ascii="Arial" w:cs="Arial" w:eastAsia="Arial" w:hAnsi="Arial"/>
                  <w:sz w:val="18"/>
                  <w:szCs w:val="18"/>
                  <w:color w:val="0000EE"/>
                </w:rPr>
                <w:t>124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5"/>
          </w:tcPr>
          <w:p>
            <w:pPr>
              <w:spacing w:after="0" w:line="189"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Securities</w:t>
              </w:r>
            </w:hyperlink>
          </w:p>
        </w:tc>
        <w:tc>
          <w:tcPr>
            <w:tcW w:w="5040" w:type="dxa"/>
            <w:vAlign w:val="bottom"/>
            <w:gridSpan w:val="3"/>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30">
              <w:r>
                <w:rPr>
                  <w:rFonts w:ascii="Arial" w:cs="Arial" w:eastAsia="Arial" w:hAnsi="Arial"/>
                  <w:sz w:val="18"/>
                  <w:szCs w:val="18"/>
                  <w:color w:val="0000EE"/>
                </w:rPr>
                <w:t>127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8"/>
            <w:shd w:val="clear" w:color="auto" w:fill="CCEEFF"/>
          </w:tcPr>
          <w:p>
            <w:pPr>
              <w:spacing w:after="0" w:line="189" w:lineRule="exact"/>
              <w:rPr>
                <w:rFonts w:ascii="Arial" w:cs="Arial" w:eastAsia="Arial" w:hAnsi="Arial"/>
                <w:sz w:val="18"/>
                <w:szCs w:val="18"/>
                <w:color w:val="0000EE"/>
              </w:rPr>
            </w:pPr>
            <w:hyperlink w:anchor="page147">
              <w:r>
                <w:rPr>
                  <w:rFonts w:ascii="Arial" w:cs="Arial" w:eastAsia="Arial" w:hAnsi="Arial"/>
                  <w:sz w:val="18"/>
                  <w:szCs w:val="18"/>
                  <w:color w:val="0000EE"/>
                </w:rPr>
                <w:t>Income Tax Considerations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7">
              <w:r>
                <w:rPr>
                  <w:rFonts w:ascii="Arial" w:cs="Arial" w:eastAsia="Arial" w:hAnsi="Arial"/>
                  <w:sz w:val="18"/>
                  <w:szCs w:val="18"/>
                  <w:color w:val="0000EE"/>
                </w:rPr>
                <w:t>144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40" w:type="dxa"/>
            <w:vAlign w:val="bottom"/>
            <w:gridSpan w:val="12"/>
          </w:tcPr>
          <w:p>
            <w:pPr>
              <w:spacing w:after="0" w:line="189" w:lineRule="exact"/>
              <w:rPr>
                <w:rFonts w:ascii="Arial" w:cs="Arial" w:eastAsia="Arial" w:hAnsi="Arial"/>
                <w:sz w:val="18"/>
                <w:szCs w:val="18"/>
                <w:color w:val="0000EE"/>
              </w:rPr>
            </w:pPr>
            <w:hyperlink w:anchor="page157">
              <w:r>
                <w:rPr>
                  <w:rFonts w:ascii="Arial" w:cs="Arial" w:eastAsia="Arial" w:hAnsi="Arial"/>
                  <w:sz w:val="18"/>
                  <w:szCs w:val="18"/>
                  <w:color w:val="0000EE"/>
                </w:rPr>
                <w:t>Underwriting</w:t>
              </w:r>
            </w:hyperlink>
          </w:p>
        </w:tc>
        <w:tc>
          <w:tcPr>
            <w:tcW w:w="6920" w:type="dxa"/>
            <w:vAlign w:val="bottom"/>
            <w:gridSpan w:val="6"/>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57">
              <w:r>
                <w:rPr>
                  <w:rFonts w:ascii="Arial" w:cs="Arial" w:eastAsia="Arial" w:hAnsi="Arial"/>
                  <w:sz w:val="18"/>
                  <w:szCs w:val="18"/>
                  <w:color w:val="0000EE"/>
                </w:rPr>
                <w:t>154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7"/>
            <w:shd w:val="clear" w:color="auto" w:fill="CCEEFF"/>
          </w:tcPr>
          <w:p>
            <w:pPr>
              <w:spacing w:after="0" w:line="189" w:lineRule="exact"/>
              <w:rPr>
                <w:rFonts w:ascii="Arial" w:cs="Arial" w:eastAsia="Arial" w:hAnsi="Arial"/>
                <w:sz w:val="18"/>
                <w:szCs w:val="18"/>
                <w:color w:val="0000EE"/>
                <w:w w:val="87"/>
              </w:rPr>
            </w:pPr>
            <w:hyperlink w:anchor="page163">
              <w:r>
                <w:rPr>
                  <w:rFonts w:ascii="Arial" w:cs="Arial" w:eastAsia="Arial" w:hAnsi="Arial"/>
                  <w:sz w:val="18"/>
                  <w:szCs w:val="18"/>
                  <w:color w:val="0000EE"/>
                  <w:w w:val="87"/>
                </w:rPr>
                <w:t>Legal Matters</w:t>
              </w:r>
            </w:hyperlink>
          </w:p>
        </w:tc>
        <w:tc>
          <w:tcPr>
            <w:tcW w:w="7880" w:type="dxa"/>
            <w:vAlign w:val="bottom"/>
            <w:gridSpan w:val="11"/>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63">
              <w:r>
                <w:rPr>
                  <w:rFonts w:ascii="Arial" w:cs="Arial" w:eastAsia="Arial" w:hAnsi="Arial"/>
                  <w:sz w:val="18"/>
                  <w:szCs w:val="18"/>
                  <w:color w:val="0000EE"/>
                </w:rPr>
                <w:t>160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7"/>
          </w:tcPr>
          <w:p>
            <w:pPr>
              <w:spacing w:after="0" w:line="189" w:lineRule="exact"/>
              <w:rPr>
                <w:rFonts w:ascii="Arial" w:cs="Arial" w:eastAsia="Arial" w:hAnsi="Arial"/>
                <w:sz w:val="18"/>
                <w:szCs w:val="18"/>
                <w:color w:val="0000EE"/>
              </w:rPr>
            </w:pPr>
            <w:hyperlink w:anchor="page163">
              <w:r>
                <w:rPr>
                  <w:rFonts w:ascii="Arial" w:cs="Arial" w:eastAsia="Arial" w:hAnsi="Arial"/>
                  <w:sz w:val="18"/>
                  <w:szCs w:val="18"/>
                  <w:color w:val="0000EE"/>
                </w:rPr>
                <w:t>Experts</w:t>
              </w:r>
            </w:hyperlink>
          </w:p>
        </w:tc>
        <w:tc>
          <w:tcPr>
            <w:tcW w:w="7880" w:type="dxa"/>
            <w:vAlign w:val="bottom"/>
            <w:gridSpan w:val="11"/>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63">
              <w:r>
                <w:rPr>
                  <w:rFonts w:ascii="Arial" w:cs="Arial" w:eastAsia="Arial" w:hAnsi="Arial"/>
                  <w:sz w:val="18"/>
                  <w:szCs w:val="18"/>
                  <w:color w:val="0000EE"/>
                </w:rPr>
                <w:t>160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14"/>
            <w:shd w:val="clear" w:color="auto" w:fill="CCEEFF"/>
          </w:tcPr>
          <w:p>
            <w:pPr>
              <w:spacing w:after="0" w:line="189" w:lineRule="exact"/>
              <w:rPr>
                <w:rFonts w:ascii="Arial" w:cs="Arial" w:eastAsia="Arial" w:hAnsi="Arial"/>
                <w:sz w:val="18"/>
                <w:szCs w:val="18"/>
                <w:color w:val="0000EE"/>
                <w:w w:val="92"/>
              </w:rPr>
            </w:pPr>
            <w:hyperlink w:anchor="page163">
              <w:r>
                <w:rPr>
                  <w:rFonts w:ascii="Arial" w:cs="Arial" w:eastAsia="Arial" w:hAnsi="Arial"/>
                  <w:sz w:val="18"/>
                  <w:szCs w:val="18"/>
                  <w:color w:val="0000EE"/>
                  <w:w w:val="92"/>
                </w:rPr>
                <w:t>Where You Can Find Additional Information</w:t>
              </w:r>
            </w:hyperlink>
          </w:p>
        </w:tc>
        <w:tc>
          <w:tcPr>
            <w:tcW w:w="5640" w:type="dxa"/>
            <w:vAlign w:val="bottom"/>
            <w:gridSpan w:val="4"/>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63">
              <w:r>
                <w:rPr>
                  <w:rFonts w:ascii="Arial" w:cs="Arial" w:eastAsia="Arial" w:hAnsi="Arial"/>
                  <w:sz w:val="18"/>
                  <w:szCs w:val="18"/>
                  <w:color w:val="0000EE"/>
                </w:rPr>
                <w:t>160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20" w:type="dxa"/>
            <w:vAlign w:val="bottom"/>
            <w:gridSpan w:val="13"/>
          </w:tcPr>
          <w:p>
            <w:pPr>
              <w:spacing w:after="0" w:line="189"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Index to Financial Statements</w:t>
              </w:r>
            </w:hyperlink>
          </w:p>
        </w:tc>
        <w:tc>
          <w:tcPr>
            <w:tcW w:w="1100" w:type="dxa"/>
            <w:vAlign w:val="bottom"/>
          </w:tcPr>
          <w:p>
            <w:pPr>
              <w:spacing w:after="0"/>
              <w:rPr>
                <w:sz w:val="16"/>
                <w:szCs w:val="16"/>
                <w:color w:val="auto"/>
              </w:rPr>
            </w:pPr>
          </w:p>
        </w:tc>
        <w:tc>
          <w:tcPr>
            <w:tcW w:w="564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4"/>
          </w:tcPr>
          <w:p>
            <w:pPr>
              <w:ind w:left="20"/>
              <w:spacing w:after="0" w:line="189" w:lineRule="exact"/>
              <w:rPr>
                <w:rFonts w:ascii="Arial" w:cs="Arial" w:eastAsia="Arial" w:hAnsi="Arial"/>
                <w:sz w:val="18"/>
                <w:szCs w:val="18"/>
                <w:color w:val="0000EE"/>
              </w:rPr>
            </w:pPr>
            <w:hyperlink w:anchor="page164">
              <w:r>
                <w:rPr>
                  <w:rFonts w:ascii="Arial" w:cs="Arial" w:eastAsia="Arial" w:hAnsi="Arial"/>
                  <w:sz w:val="18"/>
                  <w:szCs w:val="18"/>
                  <w:color w:val="0000EE"/>
                </w:rPr>
                <w:t>F-1</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responsible for the information contained in this prospectus. We have not authorized anyone to provide any information or to make any representations other than those contained in this prospectus. We and the underwriter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84"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b w:val="1"/>
          <w:bCs w:val="1"/>
          <w:color w:val="auto"/>
        </w:rPr>
        <w:t>Until , 2019,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or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05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2825" cy="7405370"/>
                    </a:xfrm>
                    <a:prstGeom prst="rect">
                      <a:avLst/>
                    </a:prstGeom>
                    <a:noFill/>
                  </pic:spPr>
                </pic:pic>
              </a:graphicData>
            </a:graphic>
          </wp:anchor>
        </w:drawing>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100" w:right="40"/>
        <w:spacing w:after="0" w:line="264"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117" w:lineRule="exact"/>
        <w:rPr>
          <w:sz w:val="20"/>
          <w:szCs w:val="20"/>
          <w:color w:val="auto"/>
        </w:rPr>
      </w:pPr>
    </w:p>
    <w:p>
      <w:pPr>
        <w:ind w:left="800" w:right="14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“us,” “our,” “company” or “our company” are to Silver Spike Acquisition Corp., a Cayman Islands exempted company;</w:t>
      </w:r>
    </w:p>
    <w:p>
      <w:pPr>
        <w:spacing w:after="0" w:line="62" w:lineRule="exact"/>
        <w:rPr>
          <w:rFonts w:ascii="Arial" w:cs="Arial" w:eastAsia="Arial" w:hAnsi="Arial"/>
          <w:sz w:val="18"/>
          <w:szCs w:val="18"/>
          <w:color w:val="auto"/>
        </w:rPr>
      </w:pPr>
    </w:p>
    <w:p>
      <w:pPr>
        <w:ind w:left="800" w:right="14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“amended and restated memorandum and articles of association” are to our memorandum and articles of association to be in effect upon completion of this offering;</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“Class A ordinary shares” are to our Class A ordinary shares, par value $0.0001 per share;</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“Class B ordinary shares” are to our Class B ordinary shares, par value $0.0001 per share;</w:t>
      </w:r>
    </w:p>
    <w:p>
      <w:pPr>
        <w:spacing w:after="0" w:line="117" w:lineRule="exact"/>
        <w:rPr>
          <w:rFonts w:ascii="Arial" w:cs="Arial" w:eastAsia="Arial" w:hAnsi="Arial"/>
          <w:sz w:val="18"/>
          <w:szCs w:val="18"/>
          <w:color w:val="auto"/>
        </w:rPr>
      </w:pPr>
    </w:p>
    <w:p>
      <w:pPr>
        <w:ind w:left="800" w:right="36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“Companies Law” are to the Companies Law (2018 Revision) of the Cayman Islands as the same may be amended from time to time;</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117" w:lineRule="exact"/>
        <w:rPr>
          <w:rFonts w:ascii="Arial" w:cs="Arial" w:eastAsia="Arial" w:hAnsi="Arial"/>
          <w:sz w:val="18"/>
          <w:szCs w:val="18"/>
          <w:color w:val="auto"/>
        </w:rPr>
      </w:pPr>
    </w:p>
    <w:p>
      <w:pPr>
        <w:jc w:val="both"/>
        <w:ind w:left="800" w:right="40" w:hanging="342"/>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“founder shares” are to our Class B ordinary shares initially purchased by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78"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“initial shareholders” are to our sponsor and other holders of our founder shares prior to this offering (if any);</w:t>
      </w:r>
    </w:p>
    <w:p>
      <w:pPr>
        <w:spacing w:after="0" w:line="117" w:lineRule="exact"/>
        <w:rPr>
          <w:rFonts w:ascii="Arial" w:cs="Arial" w:eastAsia="Arial" w:hAnsi="Arial"/>
          <w:sz w:val="18"/>
          <w:szCs w:val="18"/>
          <w:color w:val="auto"/>
        </w:rPr>
      </w:pPr>
    </w:p>
    <w:p>
      <w:pPr>
        <w:ind w:left="800" w:right="280" w:hanging="342"/>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“letter agreement” refers to the letter agreement entered into between us and our initial shareholders, directors and officers, the form of which is filed as an exhibit to the registration statement of which this prospectus forms a part;</w:t>
      </w:r>
    </w:p>
    <w:p>
      <w:pPr>
        <w:spacing w:after="0" w:line="15" w:lineRule="exact"/>
        <w:rPr>
          <w:rFonts w:ascii="Arial" w:cs="Arial" w:eastAsia="Arial" w:hAnsi="Arial"/>
          <w:sz w:val="16"/>
          <w:szCs w:val="16"/>
          <w:color w:val="auto"/>
        </w:rPr>
      </w:pPr>
    </w:p>
    <w:p>
      <w:pPr>
        <w:ind w:left="800" w:right="22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 and any other advisors described in the “Management” section of this prospectus;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“ordinary shares” are to our Class A ordinary shares and our Class B ordinary shares;</w:t>
      </w:r>
    </w:p>
    <w:p>
      <w:pPr>
        <w:spacing w:after="0" w:line="117" w:lineRule="exact"/>
        <w:rPr>
          <w:rFonts w:ascii="Arial" w:cs="Arial" w:eastAsia="Arial" w:hAnsi="Arial"/>
          <w:sz w:val="18"/>
          <w:szCs w:val="18"/>
          <w:color w:val="auto"/>
        </w:rPr>
      </w:pPr>
    </w:p>
    <w:p>
      <w:pPr>
        <w:ind w:left="800" w:right="4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in a private placement simultaneously with the closing of this offering;</w:t>
      </w:r>
    </w:p>
    <w:p>
      <w:pPr>
        <w:spacing w:after="0" w:line="62" w:lineRule="exact"/>
        <w:rPr>
          <w:rFonts w:ascii="Arial" w:cs="Arial" w:eastAsia="Arial" w:hAnsi="Arial"/>
          <w:sz w:val="18"/>
          <w:szCs w:val="18"/>
          <w:color w:val="auto"/>
        </w:rPr>
      </w:pPr>
    </w:p>
    <w:p>
      <w:pPr>
        <w:ind w:left="800" w:right="2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“public shares” are to our Class A ordinary shares sold as part of the units in this offering (whether they are purchased in this offering or thereafter in the open market);</w:t>
      </w:r>
    </w:p>
    <w:p>
      <w:pPr>
        <w:spacing w:after="0" w:line="62" w:lineRule="exact"/>
        <w:rPr>
          <w:rFonts w:ascii="Arial" w:cs="Arial" w:eastAsia="Arial" w:hAnsi="Arial"/>
          <w:sz w:val="18"/>
          <w:szCs w:val="18"/>
          <w:color w:val="auto"/>
        </w:rPr>
      </w:pPr>
    </w:p>
    <w:p>
      <w:pPr>
        <w:ind w:left="800" w:hanging="342"/>
        <w:spacing w:after="0" w:line="26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73"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“sponsor” are to Silver Spike Sponsor, LLC, a Delaware limited liability company;</w:t>
      </w:r>
    </w:p>
    <w:p>
      <w:pPr>
        <w:spacing w:after="0" w:line="117" w:lineRule="exact"/>
        <w:rPr>
          <w:rFonts w:ascii="Arial" w:cs="Arial" w:eastAsia="Arial" w:hAnsi="Arial"/>
          <w:sz w:val="18"/>
          <w:szCs w:val="18"/>
          <w:color w:val="auto"/>
        </w:rPr>
      </w:pPr>
    </w:p>
    <w:p>
      <w:pPr>
        <w:ind w:left="800" w:right="40" w:hanging="34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“warrants” are to our redeemable warrants sold as part of the units in this offering (whether they are purchased in this offering or thereafter in the open market) and the private placement warrants;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117" w:lineRule="exact"/>
        <w:rPr>
          <w:sz w:val="20"/>
          <w:szCs w:val="20"/>
          <w:color w:val="auto"/>
        </w:rPr>
      </w:pPr>
    </w:p>
    <w:p>
      <w:pPr>
        <w:ind w:left="100" w:right="20"/>
        <w:spacing w:after="0" w:line="273"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All references in this prospectus to shares of the Company being forfeited shall take effect as surrenders for no consideration of such shares as a matter of Cayman Islands law. Any share dividends described in this prospectus will take effect as a share capitalization as a matter of Cayman Islands law. Unless we tell you otherwise, the information in this prospectus assumes that the underwriter will not exercise its over-allotment option and the forfeiture by our sponsor of 937,500 founder shares.</w:t>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5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2825" cy="6856095"/>
                    </a:xfrm>
                    <a:prstGeom prst="rect">
                      <a:avLst/>
                    </a:prstGeom>
                    <a:noFill/>
                  </pic:spPr>
                </pic:pic>
              </a:graphicData>
            </a:graphic>
          </wp:anchor>
        </w:drawing>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00"/>
        <w:spacing w:after="0" w:line="273" w:lineRule="auto"/>
        <w:rPr>
          <w:sz w:val="20"/>
          <w:szCs w:val="20"/>
          <w:color w:val="auto"/>
        </w:rPr>
      </w:pPr>
      <w:r>
        <w:rPr>
          <w:rFonts w:ascii="Arial" w:cs="Arial" w:eastAsia="Arial" w:hAnsi="Arial"/>
          <w:sz w:val="17"/>
          <w:szCs w:val="17"/>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70" w:lineRule="exact"/>
        <w:rPr>
          <w:sz w:val="20"/>
          <w:szCs w:val="20"/>
          <w:color w:val="auto"/>
        </w:rPr>
      </w:pPr>
    </w:p>
    <w:p>
      <w:pPr>
        <w:ind w:left="100"/>
        <w:spacing w:after="0" w:line="276" w:lineRule="auto"/>
        <w:rPr>
          <w:sz w:val="20"/>
          <w:szCs w:val="20"/>
          <w:color w:val="auto"/>
        </w:rPr>
      </w:pPr>
      <w:r>
        <w:rPr>
          <w:rFonts w:ascii="Arial" w:cs="Arial" w:eastAsia="Arial" w:hAnsi="Arial"/>
          <w:sz w:val="17"/>
          <w:szCs w:val="17"/>
          <w:color w:val="auto"/>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64" w:lineRule="exact"/>
        <w:rPr>
          <w:sz w:val="20"/>
          <w:szCs w:val="20"/>
          <w:color w:val="auto"/>
        </w:rPr>
      </w:pPr>
    </w:p>
    <w:p>
      <w:pPr>
        <w:ind w:left="100" w:right="60"/>
        <w:spacing w:after="0" w:line="287"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65" w:lineRule="exact"/>
        <w:rPr>
          <w:sz w:val="20"/>
          <w:szCs w:val="20"/>
          <w:color w:val="auto"/>
        </w:rPr>
      </w:pPr>
    </w:p>
    <w:p>
      <w:pPr>
        <w:ind w:left="100" w:right="20"/>
        <w:spacing w:after="0" w:line="268" w:lineRule="auto"/>
        <w:rPr>
          <w:sz w:val="20"/>
          <w:szCs w:val="20"/>
          <w:color w:val="auto"/>
        </w:rPr>
      </w:pPr>
      <w:r>
        <w:rPr>
          <w:rFonts w:ascii="Arial" w:cs="Arial" w:eastAsia="Arial" w:hAnsi="Arial"/>
          <w:sz w:val="17"/>
          <w:szCs w:val="17"/>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18 months, we believe that legislative activity in certain jurisdictions will further broaden our opportunity set for eligible acquisitions.</w:t>
      </w:r>
    </w:p>
    <w:p>
      <w:pPr>
        <w:spacing w:after="0" w:line="80" w:lineRule="exact"/>
        <w:rPr>
          <w:sz w:val="20"/>
          <w:szCs w:val="20"/>
          <w:color w:val="auto"/>
        </w:rPr>
      </w:pPr>
    </w:p>
    <w:p>
      <w:pPr>
        <w:ind w:left="100" w:right="100"/>
        <w:spacing w:after="0" w:line="289" w:lineRule="auto"/>
        <w:rPr>
          <w:sz w:val="20"/>
          <w:szCs w:val="20"/>
          <w:color w:val="auto"/>
        </w:rPr>
      </w:pPr>
      <w:r>
        <w:rPr>
          <w:rFonts w:ascii="Arial" w:cs="Arial" w:eastAsia="Arial" w:hAnsi="Arial"/>
          <w:sz w:val="16"/>
          <w:szCs w:val="16"/>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30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2825" cy="7130415"/>
                    </a:xfrm>
                    <a:prstGeom prst="rect">
                      <a:avLst/>
                    </a:prstGeom>
                    <a:noFill/>
                  </pic:spPr>
                </pic:pic>
              </a:graphicData>
            </a:graphic>
          </wp:anchor>
        </w:drawing>
      </w:r>
    </w:p>
    <w:p>
      <w:pPr>
        <w:spacing w:after="0" w:line="138" w:lineRule="exact"/>
        <w:rPr>
          <w:sz w:val="20"/>
          <w:szCs w:val="20"/>
          <w:color w:val="auto"/>
        </w:rPr>
      </w:pPr>
    </w:p>
    <w:p>
      <w:pPr>
        <w:jc w:val="both"/>
        <w:ind w:left="100" w:right="120"/>
        <w:spacing w:after="0" w:line="264" w:lineRule="auto"/>
        <w:rPr>
          <w:sz w:val="20"/>
          <w:szCs w:val="20"/>
          <w:color w:val="auto"/>
        </w:rPr>
      </w:pPr>
      <w:r>
        <w:rPr>
          <w:rFonts w:ascii="Arial" w:cs="Arial" w:eastAsia="Arial" w:hAnsi="Arial"/>
          <w:sz w:val="18"/>
          <w:szCs w:val="18"/>
          <w:color w:val="auto"/>
        </w:rPr>
        <w:t>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73" w:lineRule="exact"/>
        <w:rPr>
          <w:sz w:val="20"/>
          <w:szCs w:val="20"/>
          <w:color w:val="auto"/>
        </w:rPr>
      </w:pPr>
    </w:p>
    <w:p>
      <w:pPr>
        <w:ind w:left="100" w:right="8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81" w:lineRule="exact"/>
        <w:rPr>
          <w:sz w:val="20"/>
          <w:szCs w:val="20"/>
          <w:color w:val="auto"/>
        </w:rPr>
      </w:pPr>
    </w:p>
    <w:p>
      <w:pPr>
        <w:ind w:left="100"/>
        <w:spacing w:after="0" w:line="291" w:lineRule="auto"/>
        <w:rPr>
          <w:sz w:val="20"/>
          <w:szCs w:val="20"/>
          <w:color w:val="auto"/>
        </w:rPr>
      </w:pPr>
      <w:r>
        <w:rPr>
          <w:rFonts w:ascii="Arial" w:cs="Arial" w:eastAsia="Arial" w:hAnsi="Arial"/>
          <w:sz w:val="16"/>
          <w:szCs w:val="16"/>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59" w:lineRule="exact"/>
        <w:rPr>
          <w:sz w:val="20"/>
          <w:szCs w:val="20"/>
          <w:color w:val="auto"/>
        </w:rPr>
      </w:pPr>
    </w:p>
    <w:p>
      <w:pPr>
        <w:ind w:left="100" w:right="20"/>
        <w:spacing w:after="0" w:line="269" w:lineRule="auto"/>
        <w:rPr>
          <w:sz w:val="20"/>
          <w:szCs w:val="20"/>
          <w:color w:val="auto"/>
        </w:rPr>
      </w:pPr>
      <w:r>
        <w:rPr>
          <w:rFonts w:ascii="Arial" w:cs="Arial" w:eastAsia="Arial" w:hAnsi="Arial"/>
          <w:sz w:val="17"/>
          <w:szCs w:val="17"/>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75" w:lineRule="exact"/>
        <w:rPr>
          <w:sz w:val="20"/>
          <w:szCs w:val="20"/>
          <w:color w:val="auto"/>
        </w:rPr>
      </w:pPr>
    </w:p>
    <w:p>
      <w:pPr>
        <w:ind w:left="100" w:right="40"/>
        <w:spacing w:after="0" w:line="264" w:lineRule="auto"/>
        <w:rPr>
          <w:sz w:val="20"/>
          <w:szCs w:val="20"/>
          <w:color w:val="auto"/>
        </w:rPr>
      </w:pPr>
      <w:r>
        <w:rPr>
          <w:rFonts w:ascii="Arial" w:cs="Arial" w:eastAsia="Arial" w:hAnsi="Arial"/>
          <w:sz w:val="18"/>
          <w:szCs w:val="18"/>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00" w:right="20"/>
        <w:spacing w:after="0" w:line="297" w:lineRule="auto"/>
        <w:rPr>
          <w:sz w:val="20"/>
          <w:szCs w:val="20"/>
          <w:color w:val="auto"/>
        </w:rPr>
      </w:pPr>
      <w:r>
        <w:rPr>
          <w:rFonts w:ascii="Arial" w:cs="Arial" w:eastAsia="Arial" w:hAnsi="Arial"/>
          <w:sz w:val="16"/>
          <w:szCs w:val="16"/>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spacing w:after="0" w:line="50" w:lineRule="exact"/>
        <w:rPr>
          <w:sz w:val="20"/>
          <w:szCs w:val="20"/>
          <w:color w:val="auto"/>
        </w:rPr>
      </w:pPr>
    </w:p>
    <w:p>
      <w:pPr>
        <w:ind w:left="100" w:right="100"/>
        <w:spacing w:after="0" w:line="272" w:lineRule="auto"/>
        <w:rPr>
          <w:sz w:val="20"/>
          <w:szCs w:val="20"/>
          <w:color w:val="auto"/>
        </w:rPr>
      </w:pPr>
      <w:r>
        <w:rPr>
          <w:rFonts w:ascii="Arial" w:cs="Arial" w:eastAsia="Arial" w:hAnsi="Arial"/>
          <w:sz w:val="17"/>
          <w:szCs w:val="17"/>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70" w:lineRule="exact"/>
        <w:rPr>
          <w:sz w:val="20"/>
          <w:szCs w:val="20"/>
          <w:color w:val="auto"/>
        </w:rPr>
      </w:pPr>
    </w:p>
    <w:p>
      <w:pPr>
        <w:ind w:left="100" w:right="700"/>
        <w:spacing w:after="0" w:line="308" w:lineRule="auto"/>
        <w:rPr>
          <w:sz w:val="20"/>
          <w:szCs w:val="20"/>
          <w:color w:val="auto"/>
        </w:rPr>
      </w:pPr>
      <w:r>
        <w:rPr>
          <w:rFonts w:ascii="Arial" w:cs="Arial" w:eastAsia="Arial" w:hAnsi="Arial"/>
          <w:sz w:val="17"/>
          <w:szCs w:val="17"/>
          <w:color w:val="auto"/>
        </w:rPr>
        <w:t>Our acquisition plan is to leverage our management team’s networks of potential transaction sources where we believe a combination of our management team’s industry relationships, knowledge and experience could effect a</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42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2825" cy="7542530"/>
                    </a:xfrm>
                    <a:prstGeom prst="rect">
                      <a:avLst/>
                    </a:prstGeom>
                    <a:noFill/>
                  </pic:spPr>
                </pic:pic>
              </a:graphicData>
            </a:graphic>
          </wp:anchor>
        </w:drawing>
      </w:r>
    </w:p>
    <w:p>
      <w:pPr>
        <w:spacing w:after="0" w:line="138" w:lineRule="exact"/>
        <w:rPr>
          <w:sz w:val="20"/>
          <w:szCs w:val="20"/>
          <w:color w:val="auto"/>
        </w:rPr>
      </w:pPr>
    </w:p>
    <w:p>
      <w:pPr>
        <w:ind w:left="100" w:right="140"/>
        <w:spacing w:after="0" w:line="255" w:lineRule="auto"/>
        <w:rPr>
          <w:sz w:val="20"/>
          <w:szCs w:val="20"/>
          <w:color w:val="auto"/>
        </w:rPr>
      </w:pPr>
      <w:r>
        <w:rPr>
          <w:rFonts w:ascii="Arial" w:cs="Arial" w:eastAsia="Arial" w:hAnsi="Arial"/>
          <w:sz w:val="18"/>
          <w:szCs w:val="18"/>
          <w:color w:val="auto"/>
        </w:rPr>
        <w:t>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85" w:lineRule="exact"/>
        <w:rPr>
          <w:sz w:val="20"/>
          <w:szCs w:val="20"/>
          <w:color w:val="auto"/>
        </w:rPr>
      </w:pPr>
    </w:p>
    <w:p>
      <w:pPr>
        <w:ind w:left="100" w:right="180"/>
        <w:spacing w:after="0" w:line="264"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ind w:left="100" w:right="80"/>
        <w:spacing w:after="0" w:line="255"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81" w:lineRule="exact"/>
        <w:rPr>
          <w:sz w:val="20"/>
          <w:szCs w:val="20"/>
          <w:color w:val="auto"/>
        </w:rPr>
      </w:pPr>
    </w:p>
    <w:p>
      <w:pPr>
        <w:ind w:left="800" w:right="60" w:hanging="342"/>
        <w:spacing w:after="0" w:line="26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w:t>
      </w:r>
      <w:r>
        <w:rPr>
          <w:rFonts w:ascii="Arial" w:cs="Arial" w:eastAsia="Arial" w:hAnsi="Arial"/>
          <w:sz w:val="18"/>
          <w:szCs w:val="18"/>
          <w:b w:val="1"/>
          <w:bCs w:val="1"/>
          <w:color w:val="auto"/>
        </w:rPr>
        <w:t xml:space="preserve"> </w:t>
      </w:r>
      <w:r>
        <w:rPr>
          <w:rFonts w:ascii="Arial" w:cs="Arial" w:eastAsia="Arial" w:hAnsi="Arial"/>
          <w:sz w:val="18"/>
          <w:szCs w:val="18"/>
          <w:color w:val="auto"/>
        </w:rPr>
        <w:t>only has a leading competitive position, but also has the underlying infrastructure and operations to build a public platform;</w:t>
      </w:r>
    </w:p>
    <w:p>
      <w:pPr>
        <w:spacing w:after="0" w:line="68" w:lineRule="exact"/>
        <w:rPr>
          <w:rFonts w:ascii="Arial" w:cs="Arial" w:eastAsia="Arial" w:hAnsi="Arial"/>
          <w:sz w:val="18"/>
          <w:szCs w:val="18"/>
          <w:color w:val="auto"/>
        </w:rPr>
      </w:pPr>
    </w:p>
    <w:p>
      <w:pPr>
        <w:ind w:left="800" w:right="140" w:hanging="342"/>
        <w:spacing w:after="0" w:line="26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w:t>
      </w:r>
      <w:r>
        <w:rPr>
          <w:rFonts w:ascii="Arial" w:cs="Arial" w:eastAsia="Arial" w:hAnsi="Arial"/>
          <w:sz w:val="18"/>
          <w:szCs w:val="18"/>
          <w:b w:val="1"/>
          <w:bCs w:val="1"/>
          <w:color w:val="auto"/>
        </w:rPr>
        <w:t xml:space="preserve"> </w:t>
      </w:r>
      <w:r>
        <w:rPr>
          <w:rFonts w:ascii="Arial" w:cs="Arial" w:eastAsia="Arial" w:hAnsi="Arial"/>
          <w:sz w:val="18"/>
          <w:szCs w:val="18"/>
          <w:color w:val="auto"/>
        </w:rPr>
        <w:t>only benefits from secular tailwinds in the industry, but also exhibit hard-to-replicate competitive advantages amongst its peers;</w:t>
      </w:r>
    </w:p>
    <w:p>
      <w:pPr>
        <w:spacing w:after="0" w:line="68" w:lineRule="exact"/>
        <w:rPr>
          <w:rFonts w:ascii="Arial" w:cs="Arial" w:eastAsia="Arial" w:hAnsi="Arial"/>
          <w:sz w:val="18"/>
          <w:szCs w:val="18"/>
          <w:color w:val="auto"/>
        </w:rPr>
      </w:pPr>
    </w:p>
    <w:p>
      <w:pPr>
        <w:ind w:left="800" w:right="40" w:hanging="342"/>
        <w:spacing w:after="0" w:line="289"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are fundamentally sound with consistent operational performance and free cash flow generation. </w:t>
      </w:r>
      <w:r>
        <w:rPr>
          <w:rFonts w:ascii="Arial" w:cs="Arial" w:eastAsia="Arial" w:hAnsi="Arial"/>
          <w:sz w:val="17"/>
          <w:szCs w:val="17"/>
          <w:color w:val="auto"/>
        </w:rPr>
        <w:t>We expect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target a business that has historically exhibited profitability and strong cash flow generation. Our management team has a proven track record accelerating growth of companies with strong past performance;</w:t>
      </w:r>
    </w:p>
    <w:p>
      <w:pPr>
        <w:spacing w:after="0" w:line="50" w:lineRule="exact"/>
        <w:rPr>
          <w:rFonts w:ascii="Arial" w:cs="Arial" w:eastAsia="Arial" w:hAnsi="Arial"/>
          <w:sz w:val="17"/>
          <w:szCs w:val="17"/>
          <w:color w:val="auto"/>
        </w:rPr>
      </w:pPr>
    </w:p>
    <w:p>
      <w:pPr>
        <w:ind w:left="800" w:right="140" w:hanging="342"/>
        <w:spacing w:after="0" w:line="26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are at an inflection point, such as requiring additional capital to achieve a growth strategy. </w:t>
      </w:r>
      <w:r>
        <w:rPr>
          <w:rFonts w:ascii="Arial" w:cs="Arial" w:eastAsia="Arial" w:hAnsi="Arial"/>
          <w:sz w:val="18"/>
          <w:szCs w:val="18"/>
          <w:color w:val="auto"/>
        </w:rPr>
        <w:t>We intend to look for</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that have clear opportunities for long-term sustainable growth, but which require our capital or expertise to achieve a growth strategy;</w:t>
      </w:r>
    </w:p>
    <w:p>
      <w:pPr>
        <w:spacing w:after="0" w:line="68" w:lineRule="exact"/>
        <w:rPr>
          <w:rFonts w:ascii="Arial" w:cs="Arial" w:eastAsia="Arial" w:hAnsi="Arial"/>
          <w:sz w:val="18"/>
          <w:szCs w:val="18"/>
          <w:color w:val="auto"/>
        </w:rPr>
      </w:pPr>
    </w:p>
    <w:p>
      <w:pPr>
        <w:ind w:left="800" w:right="60" w:hanging="342"/>
        <w:spacing w:after="0" w:line="281"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have the potential to further improve their performance under our ownership. </w:t>
      </w:r>
      <w:r>
        <w:rPr>
          <w:rFonts w:ascii="Arial" w:cs="Arial" w:eastAsia="Arial" w:hAnsi="Arial"/>
          <w:sz w:val="17"/>
          <w:szCs w:val="17"/>
          <w:color w:val="auto"/>
        </w:rPr>
        <w:t>We intend to seek targets where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we can improve 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56" w:lineRule="exact"/>
        <w:rPr>
          <w:rFonts w:ascii="Arial" w:cs="Arial" w:eastAsia="Arial" w:hAnsi="Arial"/>
          <w:sz w:val="17"/>
          <w:szCs w:val="17"/>
          <w:color w:val="auto"/>
        </w:rPr>
      </w:pPr>
    </w:p>
    <w:p>
      <w:pPr>
        <w:ind w:left="800" w:hanging="342"/>
        <w:spacing w:after="0" w:line="26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may benefit from capital markets access. </w:t>
      </w:r>
      <w:r>
        <w:rPr>
          <w:rFonts w:ascii="Arial" w:cs="Arial" w:eastAsia="Arial" w:hAnsi="Arial"/>
          <w:sz w:val="18"/>
          <w:szCs w:val="18"/>
          <w:color w:val="auto"/>
        </w:rPr>
        <w:t>We intend to seek a target that may benefit from being, or has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a public company with an increased public profile, enhanced corporate governance and increased access to a more diversified pool of capital; and</w:t>
      </w:r>
    </w:p>
    <w:p>
      <w:pPr>
        <w:spacing w:after="0" w:line="68" w:lineRule="exact"/>
        <w:rPr>
          <w:rFonts w:ascii="Arial" w:cs="Arial" w:eastAsia="Arial" w:hAnsi="Arial"/>
          <w:sz w:val="18"/>
          <w:szCs w:val="18"/>
          <w:color w:val="auto"/>
        </w:rPr>
      </w:pPr>
    </w:p>
    <w:p>
      <w:pPr>
        <w:ind w:left="800" w:right="400" w:hanging="342"/>
        <w:spacing w:after="0" w:line="28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undervalued by the marketplace based on our analysis and due diligence review.</w:t>
      </w:r>
    </w:p>
    <w:p>
      <w:pPr>
        <w:spacing w:after="0" w:line="58" w:lineRule="exact"/>
        <w:rPr>
          <w:sz w:val="20"/>
          <w:szCs w:val="20"/>
          <w:color w:val="auto"/>
        </w:rPr>
      </w:pPr>
    </w:p>
    <w:p>
      <w:pPr>
        <w:ind w:left="100" w:right="100"/>
        <w:spacing w:after="0" w:line="293"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Acquisition Process</w:t>
      </w:r>
    </w:p>
    <w:p>
      <w:pPr>
        <w:spacing w:after="0" w:line="121" w:lineRule="exact"/>
        <w:rPr>
          <w:sz w:val="20"/>
          <w:szCs w:val="20"/>
          <w:color w:val="auto"/>
        </w:rPr>
      </w:pPr>
    </w:p>
    <w:p>
      <w:pPr>
        <w:ind w:left="100" w:right="24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246" w:lineRule="exact"/>
        <w:rPr>
          <w:sz w:val="20"/>
          <w:szCs w:val="20"/>
          <w:color w:val="auto"/>
        </w:rPr>
      </w:pPr>
    </w:p>
    <w:p>
      <w:pPr>
        <w:ind w:left="100" w:right="40"/>
        <w:spacing w:after="0" w:line="291" w:lineRule="auto"/>
        <w:rPr>
          <w:sz w:val="20"/>
          <w:szCs w:val="20"/>
          <w:color w:val="auto"/>
        </w:rPr>
      </w:pPr>
      <w:r>
        <w:rPr>
          <w:rFonts w:ascii="Arial" w:cs="Arial" w:eastAsia="Arial" w:hAnsi="Arial"/>
          <w:sz w:val="16"/>
          <w:szCs w:val="16"/>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00" w:right="20"/>
        <w:spacing w:after="0" w:line="286"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61" w:lineRule="exact"/>
        <w:rPr>
          <w:sz w:val="20"/>
          <w:szCs w:val="20"/>
          <w:color w:val="auto"/>
        </w:rPr>
      </w:pPr>
    </w:p>
    <w:p>
      <w:pPr>
        <w:ind w:left="100"/>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62" w:lineRule="exact"/>
        <w:rPr>
          <w:sz w:val="20"/>
          <w:szCs w:val="20"/>
          <w:color w:val="auto"/>
        </w:rPr>
      </w:pPr>
    </w:p>
    <w:p>
      <w:pPr>
        <w:ind w:left="100" w:right="80"/>
        <w:spacing w:after="0" w:line="276" w:lineRule="auto"/>
        <w:rPr>
          <w:sz w:val="20"/>
          <w:szCs w:val="20"/>
          <w:color w:val="auto"/>
        </w:rPr>
      </w:pPr>
      <w:r>
        <w:rPr>
          <w:rFonts w:ascii="Arial" w:cs="Arial" w:eastAsia="Arial" w:hAnsi="Arial"/>
          <w:sz w:val="17"/>
          <w:szCs w:val="17"/>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4935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92825" cy="4935220"/>
                    </a:xfrm>
                    <a:prstGeom prst="rect">
                      <a:avLst/>
                    </a:prstGeom>
                    <a:noFill/>
                  </pic:spPr>
                </pic:pic>
              </a:graphicData>
            </a:graphic>
          </wp:anchor>
        </w:drawing>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121" w:lineRule="exact"/>
        <w:rPr>
          <w:sz w:val="20"/>
          <w:szCs w:val="20"/>
          <w:color w:val="auto"/>
        </w:rPr>
      </w:pPr>
    </w:p>
    <w:p>
      <w:pPr>
        <w:ind w:left="100" w:right="20"/>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4" w:lineRule="exact"/>
        <w:rPr>
          <w:sz w:val="20"/>
          <w:szCs w:val="20"/>
          <w:color w:val="auto"/>
        </w:rPr>
      </w:pPr>
    </w:p>
    <w:p>
      <w:pPr>
        <w:jc w:val="both"/>
        <w:ind w:left="100" w:right="60"/>
        <w:spacing w:after="0" w:line="302"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46" w:lineRule="exact"/>
        <w:rPr>
          <w:sz w:val="20"/>
          <w:szCs w:val="20"/>
          <w:color w:val="auto"/>
        </w:rPr>
      </w:pPr>
    </w:p>
    <w:p>
      <w:pPr>
        <w:ind w:left="100" w:right="140"/>
        <w:spacing w:after="0" w:line="273"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70" w:lineRule="exact"/>
        <w:rPr>
          <w:sz w:val="20"/>
          <w:szCs w:val="20"/>
          <w:color w:val="auto"/>
        </w:rPr>
      </w:pPr>
    </w:p>
    <w:p>
      <w:pPr>
        <w:ind w:left="100"/>
        <w:spacing w:after="0" w:line="289" w:lineRule="auto"/>
        <w:rPr>
          <w:sz w:val="20"/>
          <w:szCs w:val="20"/>
          <w:color w:val="auto"/>
        </w:rPr>
      </w:pPr>
      <w:r>
        <w:rPr>
          <w:rFonts w:ascii="Arial" w:cs="Arial" w:eastAsia="Arial" w:hAnsi="Arial"/>
          <w:sz w:val="16"/>
          <w:szCs w:val="16"/>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59" w:lineRule="exact"/>
        <w:rPr>
          <w:sz w:val="20"/>
          <w:szCs w:val="20"/>
          <w:color w:val="auto"/>
        </w:rPr>
      </w:pPr>
    </w:p>
    <w:p>
      <w:pPr>
        <w:ind w:left="100" w:right="120"/>
        <w:spacing w:after="0" w:line="277" w:lineRule="auto"/>
        <w:rPr>
          <w:sz w:val="20"/>
          <w:szCs w:val="20"/>
          <w:color w:val="auto"/>
        </w:rPr>
      </w:pPr>
      <w:r>
        <w:rPr>
          <w:rFonts w:ascii="Arial" w:cs="Arial" w:eastAsia="Arial" w:hAnsi="Arial"/>
          <w:sz w:val="18"/>
          <w:szCs w:val="18"/>
          <w:color w:val="auto"/>
        </w:rPr>
        <w:t>We are a Cayman Islands exempted company incorporated in June 2019. Our executive offices are located at 1114 6th Ave, 41st Floor, New York, New York, 10036 and our telephone number is (212) 905-4923.</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44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2825" cy="6444615"/>
                    </a:xfrm>
                    <a:prstGeom prst="rect">
                      <a:avLst/>
                    </a:prstGeom>
                    <a:noFill/>
                  </pic:spPr>
                </pic:pic>
              </a:graphicData>
            </a:graphic>
          </wp:anchor>
        </w:drawing>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00" w:right="80"/>
        <w:spacing w:after="0" w:line="297" w:lineRule="auto"/>
        <w:rPr>
          <w:sz w:val="20"/>
          <w:szCs w:val="20"/>
          <w:color w:val="auto"/>
        </w:rPr>
      </w:pPr>
      <w:r>
        <w:rPr>
          <w:rFonts w:ascii="Arial" w:cs="Arial" w:eastAsia="Arial" w:hAnsi="Arial"/>
          <w:sz w:val="16"/>
          <w:szCs w:val="16"/>
          <w:b w:val="1"/>
          <w:bCs w:val="1"/>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46" w:lineRule="exact"/>
        <w:rPr>
          <w:sz w:val="20"/>
          <w:szCs w:val="20"/>
          <w:color w:val="auto"/>
        </w:rPr>
      </w:pPr>
    </w:p>
    <w:p>
      <w:pPr>
        <w:ind w:left="100"/>
        <w:spacing w:after="0"/>
        <w:tabs>
          <w:tab w:leader="none" w:pos="440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25,000,000 units (or 28,750,000 units if the underwriter’s over-</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allotment option is exercised in full), at $10.00 per unit, each unit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consisting of:</w:t>
      </w:r>
    </w:p>
    <w:p>
      <w:pPr>
        <w:spacing w:after="0" w:line="103" w:lineRule="exact"/>
        <w:rPr>
          <w:sz w:val="20"/>
          <w:szCs w:val="20"/>
          <w:color w:val="auto"/>
        </w:rPr>
      </w:pPr>
    </w:p>
    <w:p>
      <w:pPr>
        <w:ind w:left="4420"/>
        <w:spacing w:after="0"/>
        <w:tabs>
          <w:tab w:leader="none" w:pos="4760" w:val="left"/>
        </w:tabs>
        <w:rPr>
          <w:sz w:val="20"/>
          <w:szCs w:val="20"/>
          <w:color w:val="auto"/>
        </w:rPr>
      </w:pPr>
      <w:r>
        <w:rPr>
          <w:rFonts w:ascii="Arial" w:cs="Arial" w:eastAsia="Arial" w:hAnsi="Arial"/>
          <w:sz w:val="18"/>
          <w:szCs w:val="18"/>
          <w:color w:val="auto"/>
        </w:rPr>
        <w:t>•</w:t>
        <w:tab/>
        <w:t>one Class A ordinary share; and</w:t>
      </w:r>
    </w:p>
    <w:p>
      <w:pPr>
        <w:spacing w:after="0" w:line="117" w:lineRule="exact"/>
        <w:rPr>
          <w:sz w:val="20"/>
          <w:szCs w:val="20"/>
          <w:color w:val="auto"/>
        </w:rPr>
      </w:pPr>
    </w:p>
    <w:p>
      <w:pPr>
        <w:ind w:left="4420"/>
        <w:spacing w:after="0"/>
        <w:tabs>
          <w:tab w:leader="none" w:pos="4760" w:val="left"/>
        </w:tabs>
        <w:rPr>
          <w:sz w:val="20"/>
          <w:szCs w:val="20"/>
          <w:color w:val="auto"/>
        </w:rPr>
      </w:pPr>
      <w:r>
        <w:rPr>
          <w:rFonts w:ascii="Arial" w:cs="Arial" w:eastAsia="Arial" w:hAnsi="Arial"/>
          <w:sz w:val="18"/>
          <w:szCs w:val="18"/>
          <w:color w:val="auto"/>
        </w:rPr>
        <w:t>•</w:t>
        <w:tab/>
        <w:t>one-half of one redeemable warrant.</w:t>
      </w:r>
    </w:p>
    <w:p>
      <w:pPr>
        <w:sectPr>
          <w:pgSz w:w="11900" w:h="16838" w:orient="portrait"/>
          <w:cols w:equalWidth="0" w:num="1">
            <w:col w:w="9480"/>
          </w:cols>
          <w:pgMar w:left="1180" w:top="279" w:right="1239" w:bottom="1440" w:gutter="0" w:footer="0" w:header="0"/>
        </w:sectPr>
      </w:pP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0" w:right="280" w:hanging="179"/>
        <w:spacing w:after="0" w:line="282" w:lineRule="auto"/>
        <w:rPr>
          <w:sz w:val="20"/>
          <w:szCs w:val="20"/>
          <w:color w:val="auto"/>
        </w:rPr>
      </w:pPr>
      <w:r>
        <w:rPr>
          <w:rFonts w:ascii="Arial" w:cs="Arial" w:eastAsia="Arial" w:hAnsi="Arial"/>
          <w:sz w:val="18"/>
          <w:szCs w:val="18"/>
          <w:b w:val="1"/>
          <w:bCs w:val="1"/>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hanging="179"/>
        <w:spacing w:after="0" w:line="266" w:lineRule="auto"/>
        <w:rPr>
          <w:sz w:val="20"/>
          <w:szCs w:val="20"/>
          <w:color w:val="auto"/>
        </w:rPr>
      </w:pPr>
      <w:r>
        <w:rPr>
          <w:rFonts w:ascii="Arial" w:cs="Arial" w:eastAsia="Arial" w:hAnsi="Arial"/>
          <w:sz w:val="18"/>
          <w:szCs w:val="18"/>
          <w:b w:val="1"/>
          <w:bCs w:val="1"/>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Units: “SSPKU”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“SSPK”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Warrants: “SSPKW”</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units will begin trading promptly after the date of this prospectus. 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260" w:space="160"/>
            <w:col w:w="5060"/>
          </w:cols>
          <w:pgMar w:left="1180" w:top="279" w:right="1239" w:bottom="1440" w:gutter="0" w:footer="0" w:header="0"/>
          <w:type w:val="continuous"/>
        </w:sect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44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2825" cy="674497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ind w:left="100" w:right="180"/>
        <w:spacing w:after="0" w:line="422" w:lineRule="auto"/>
        <w:rPr>
          <w:sz w:val="20"/>
          <w:szCs w:val="20"/>
          <w:color w:val="auto"/>
        </w:rPr>
      </w:pPr>
      <w:r>
        <w:rPr>
          <w:rFonts w:ascii="Arial" w:cs="Arial" w:eastAsia="Arial" w:hAnsi="Arial"/>
          <w:sz w:val="16"/>
          <w:szCs w:val="16"/>
          <w:b w:val="1"/>
          <w:bCs w:val="1"/>
          <w:color w:val="auto"/>
        </w:rPr>
        <w:t>Number issued and outstanding before this offering Number issued and outstanding after this offering</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17" w:lineRule="exact"/>
        <w:rPr>
          <w:sz w:val="20"/>
          <w:szCs w:val="20"/>
          <w:color w:val="auto"/>
        </w:rPr>
      </w:pPr>
    </w:p>
    <w:p>
      <w:pPr>
        <w:ind w:left="100" w:right="180"/>
        <w:spacing w:after="0" w:line="375" w:lineRule="auto"/>
        <w:rPr>
          <w:sz w:val="20"/>
          <w:szCs w:val="20"/>
          <w:color w:val="auto"/>
        </w:rPr>
      </w:pPr>
      <w:r>
        <w:rPr>
          <w:rFonts w:ascii="Arial" w:cs="Arial" w:eastAsia="Arial" w:hAnsi="Arial"/>
          <w:sz w:val="18"/>
          <w:szCs w:val="18"/>
          <w:b w:val="1"/>
          <w:bCs w:val="1"/>
          <w:color w:val="auto"/>
        </w:rPr>
        <w:t>Number issued and outstanding before this offering Number issued and outstanding after this Offering Warrants:</w:t>
      </w:r>
    </w:p>
    <w:p>
      <w:pPr>
        <w:spacing w:after="0" w:line="2" w:lineRule="exact"/>
        <w:rPr>
          <w:sz w:val="20"/>
          <w:szCs w:val="20"/>
          <w:color w:val="auto"/>
        </w:rPr>
      </w:pPr>
    </w:p>
    <w:p>
      <w:pPr>
        <w:jc w:val="right"/>
        <w:ind w:left="100"/>
        <w:spacing w:after="0" w:line="347" w:lineRule="auto"/>
        <w:rPr>
          <w:sz w:val="20"/>
          <w:szCs w:val="20"/>
          <w:color w:val="auto"/>
        </w:rPr>
      </w:pPr>
      <w:r>
        <w:rPr>
          <w:rFonts w:ascii="Arial" w:cs="Arial" w:eastAsia="Arial" w:hAnsi="Arial"/>
          <w:sz w:val="16"/>
          <w:szCs w:val="16"/>
          <w:b w:val="1"/>
          <w:bCs w:val="1"/>
          <w:color w:val="auto"/>
        </w:rPr>
        <w:t>Number of private placement warrants to be sold in a private placement simultaneously with this offering</w:t>
      </w:r>
    </w:p>
    <w:p>
      <w:pPr>
        <w:spacing w:after="0" w:line="8" w:lineRule="exact"/>
        <w:rPr>
          <w:sz w:val="20"/>
          <w:szCs w:val="20"/>
          <w:color w:val="auto"/>
        </w:rPr>
      </w:pPr>
    </w:p>
    <w:p>
      <w:pPr>
        <w:ind w:left="280" w:right="440" w:hanging="179"/>
        <w:spacing w:after="0" w:line="313" w:lineRule="auto"/>
        <w:rPr>
          <w:sz w:val="20"/>
          <w:szCs w:val="20"/>
          <w:color w:val="auto"/>
        </w:rPr>
      </w:pPr>
      <w:r>
        <w:rPr>
          <w:rFonts w:ascii="Arial" w:cs="Arial" w:eastAsia="Arial" w:hAnsi="Arial"/>
          <w:sz w:val="17"/>
          <w:szCs w:val="17"/>
          <w:b w:val="1"/>
          <w:bCs w:val="1"/>
          <w:color w:val="auto"/>
        </w:rPr>
        <w:t>Number of warrants to be outstanding after this offering and the private placement</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r>
        <w:rPr>
          <w:rFonts w:ascii="Arial" w:cs="Arial" w:eastAsia="Arial" w:hAnsi="Arial"/>
          <w:sz w:val="29"/>
          <w:szCs w:val="29"/>
          <w:color w:val="auto"/>
          <w:vertAlign w:val="superscript"/>
        </w:rPr>
        <w:t>(1)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7,187,500</w:t>
      </w:r>
      <w:r>
        <w:rPr>
          <w:rFonts w:ascii="Arial" w:cs="Arial" w:eastAsia="Arial" w:hAnsi="Arial"/>
          <w:sz w:val="29"/>
          <w:szCs w:val="29"/>
          <w:u w:val="single" w:color="auto"/>
          <w:color w:val="0000EE"/>
          <w:vertAlign w:val="superscript"/>
        </w:rPr>
        <w:t>(2</w:t>
      </w:r>
      <w:r>
        <w:rPr>
          <w:rFonts w:ascii="Arial" w:cs="Arial" w:eastAsia="Arial" w:hAnsi="Arial"/>
          <w:sz w:val="29"/>
          <w:szCs w:val="29"/>
          <w:color w:val="auto"/>
          <w:vertAlign w:val="superscript"/>
        </w:rPr>
        <w:t>)</w:t>
      </w:r>
      <w:r>
        <w:rPr>
          <w:rFonts w:ascii="Arial" w:cs="Arial" w:eastAsia="Arial" w:hAnsi="Arial"/>
          <w:sz w:val="29"/>
          <w:szCs w:val="29"/>
          <w:u w:val="single" w:color="auto"/>
          <w:color w:val="0000EE"/>
          <w:vertAlign w:val="superscript"/>
        </w:rPr>
        <w:t>(3</w:t>
      </w:r>
      <w:r>
        <w:rPr>
          <w:rFonts w:ascii="Arial" w:cs="Arial" w:eastAsia="Arial" w:hAnsi="Arial"/>
          <w:sz w:val="29"/>
          <w:szCs w:val="29"/>
          <w:color w:val="auto"/>
          <w:vertAlign w:val="superscript"/>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31,250,000</w:t>
      </w:r>
      <w:r>
        <w:rPr>
          <w:rFonts w:ascii="Arial" w:cs="Arial" w:eastAsia="Arial" w:hAnsi="Arial"/>
          <w:sz w:val="29"/>
          <w:szCs w:val="29"/>
          <w:color w:val="auto"/>
          <w:vertAlign w:val="superscript"/>
        </w:rPr>
        <w:t>(1)</w:t>
      </w:r>
      <w:r>
        <w:rPr>
          <w:rFonts w:ascii="Arial" w:cs="Arial" w:eastAsia="Arial" w:hAnsi="Arial"/>
          <w:sz w:val="29"/>
          <w:szCs w:val="29"/>
          <w:u w:val="single" w:color="auto"/>
          <w:color w:val="0000EE"/>
          <w:vertAlign w:val="superscript"/>
        </w:rPr>
        <w:t>(3</w:t>
      </w:r>
      <w:r>
        <w:rPr>
          <w:rFonts w:ascii="Arial" w:cs="Arial" w:eastAsia="Arial" w:hAnsi="Arial"/>
          <w:sz w:val="29"/>
          <w:szCs w:val="29"/>
          <w:color w:val="auto"/>
          <w:vertAlign w:val="superscript"/>
        </w:rPr>
        <w:t>)(4)</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7,000,000</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19,500,000</w:t>
      </w:r>
      <w:r>
        <w:rPr>
          <w:rFonts w:ascii="Arial" w:cs="Arial" w:eastAsia="Arial" w:hAnsi="Arial"/>
          <w:sz w:val="29"/>
          <w:szCs w:val="29"/>
          <w:color w:val="auto"/>
          <w:vertAlign w:val="superscript"/>
        </w:rPr>
        <w:t>(1)</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whole warrant offered in this offering is exercisable to purchase one Class A ordinary share, subject to adjustment as provided herein, and only whole warrants are exercisable. No fractional warrants will be issued upon separation of the units and only whole warrants will trade.</w:t>
      </w:r>
    </w:p>
    <w:p>
      <w:pPr>
        <w:spacing w:after="0" w:line="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structured each unit to contain one-half of one warrant, with each whole warrant exercisable for one Class A ordinary share, as compared to units issued by some other similar blank check companies which contain whole warrants exercisable for one share, in order to reduce the dilutive effect of the warrants upon completion of our initial business combination as compared to units that each contain a whole warrant to purchase one share, which we believe will make us a more attractive business combination partner for target businesses.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if (x) we issue additional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w:t>
      </w:r>
    </w:p>
    <w:p>
      <w:pPr>
        <w:spacing w:after="0" w:line="200" w:lineRule="exact"/>
        <w:rPr>
          <w:sz w:val="20"/>
          <w:szCs w:val="20"/>
          <w:color w:val="auto"/>
        </w:rPr>
      </w:pPr>
    </w:p>
    <w:p>
      <w:pPr>
        <w:sectPr>
          <w:pgSz w:w="11900" w:h="16838" w:orient="portrait"/>
          <w:cols w:equalWidth="0" w:num="2">
            <w:col w:w="4240" w:space="180"/>
            <w:col w:w="5060"/>
          </w:cols>
          <w:pgMar w:left="1180" w:top="279" w:right="1239" w:bottom="1440" w:gutter="0" w:footer="0" w:header="0"/>
          <w:type w:val="continuous"/>
        </w:sectPr>
      </w:pPr>
    </w:p>
    <w:p>
      <w:pPr>
        <w:spacing w:after="0" w:line="55" w:lineRule="exact"/>
        <w:rPr>
          <w:sz w:val="20"/>
          <w:szCs w:val="20"/>
          <w:color w:val="auto"/>
        </w:rPr>
      </w:pPr>
    </w:p>
    <w:p>
      <w:pPr>
        <w:ind w:left="280" w:hanging="173"/>
        <w:spacing w:after="0"/>
        <w:tabs>
          <w:tab w:leader="none" w:pos="2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Assumes no exercise of the underwriter’s over-allotment option and the forfeiture by our sponsor of 937,500 founder shares.</w:t>
      </w:r>
    </w:p>
    <w:p>
      <w:pPr>
        <w:spacing w:after="0" w:line="87" w:lineRule="exact"/>
        <w:rPr>
          <w:rFonts w:ascii="Arial" w:cs="Arial" w:eastAsia="Arial" w:hAnsi="Arial"/>
          <w:sz w:val="18"/>
          <w:szCs w:val="18"/>
          <w:color w:val="auto"/>
          <w:vertAlign w:val="superscript"/>
        </w:rPr>
      </w:pPr>
    </w:p>
    <w:p>
      <w:pPr>
        <w:ind w:left="280" w:right="140" w:hanging="173"/>
        <w:spacing w:after="0" w:line="224" w:lineRule="auto"/>
        <w:tabs>
          <w:tab w:leader="none" w:pos="2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Consists solely of founder shares and includes up to 937,500 founder shares that are subject to forfeiture by our sponsor depending on the extent to which the underwriter’s over-allotment option is exercised.</w:t>
      </w:r>
    </w:p>
    <w:p>
      <w:pPr>
        <w:spacing w:after="0" w:line="88" w:lineRule="exact"/>
        <w:rPr>
          <w:rFonts w:ascii="Arial" w:cs="Arial" w:eastAsia="Arial" w:hAnsi="Arial"/>
          <w:sz w:val="18"/>
          <w:szCs w:val="18"/>
          <w:color w:val="auto"/>
          <w:vertAlign w:val="superscript"/>
        </w:rPr>
      </w:pPr>
    </w:p>
    <w:p>
      <w:pPr>
        <w:ind w:left="280" w:right="200" w:hanging="173"/>
        <w:spacing w:after="0" w:line="229" w:lineRule="auto"/>
        <w:tabs>
          <w:tab w:leader="none" w:pos="2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Founder shares are currently classified as Class B ordinary shares, which shares will automatically convert into Class A ordinary shares on the first business day following our initial business combination on a one-for-one basis, subject to adjustment as described below adjacent to the caption “Founder shares conversion and anti-dilution rights.”</w:t>
      </w:r>
    </w:p>
    <w:p>
      <w:pPr>
        <w:spacing w:after="0" w:line="64" w:lineRule="exact"/>
        <w:rPr>
          <w:rFonts w:ascii="Arial" w:cs="Arial" w:eastAsia="Arial" w:hAnsi="Arial"/>
          <w:sz w:val="18"/>
          <w:szCs w:val="18"/>
          <w:color w:val="auto"/>
          <w:vertAlign w:val="superscript"/>
        </w:rPr>
      </w:pPr>
    </w:p>
    <w:p>
      <w:pPr>
        <w:ind w:left="280" w:hanging="173"/>
        <w:spacing w:after="0"/>
        <w:tabs>
          <w:tab w:leader="none" w:pos="2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25,000,000 public shares and 6,250,000 founder shares.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138" w:lineRule="exact"/>
        <w:rPr>
          <w:sz w:val="20"/>
          <w:szCs w:val="20"/>
          <w:color w:val="auto"/>
        </w:rPr>
      </w:pPr>
    </w:p>
    <w:p>
      <w:pPr>
        <w:ind w:left="4420"/>
        <w:spacing w:after="0" w:line="285" w:lineRule="auto"/>
        <w:rPr>
          <w:sz w:val="20"/>
          <w:szCs w:val="20"/>
          <w:color w:val="auto"/>
        </w:rPr>
      </w:pPr>
      <w:r>
        <w:rPr>
          <w:rFonts w:ascii="Arial" w:cs="Arial" w:eastAsia="Arial" w:hAnsi="Arial"/>
          <w:sz w:val="16"/>
          <w:szCs w:val="16"/>
          <w:color w:val="auto"/>
        </w:rPr>
        <w:t>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volume weighted average trading price of our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66" w:lineRule="exact"/>
        <w:rPr>
          <w:sz w:val="20"/>
          <w:szCs w:val="20"/>
          <w:color w:val="auto"/>
        </w:rPr>
      </w:pPr>
    </w:p>
    <w:p>
      <w:pPr>
        <w:ind w:left="100"/>
        <w:spacing w:after="0"/>
        <w:tabs>
          <w:tab w:leader="none" w:pos="440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121" w:lineRule="exact"/>
        <w:rPr>
          <w:sz w:val="20"/>
          <w:szCs w:val="20"/>
          <w:color w:val="auto"/>
        </w:rPr>
      </w:pPr>
    </w:p>
    <w:p>
      <w:pPr>
        <w:ind w:left="4780" w:right="60" w:hanging="352"/>
        <w:spacing w:after="0" w:line="277" w:lineRule="auto"/>
        <w:tabs>
          <w:tab w:leader="none" w:pos="4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62" w:lineRule="exact"/>
        <w:rPr>
          <w:rFonts w:ascii="Arial" w:cs="Arial" w:eastAsia="Arial" w:hAnsi="Arial"/>
          <w:sz w:val="18"/>
          <w:szCs w:val="18"/>
          <w:color w:val="auto"/>
        </w:rPr>
      </w:pPr>
    </w:p>
    <w:p>
      <w:pPr>
        <w:ind w:left="4780" w:hanging="352"/>
        <w:spacing w:after="0"/>
        <w:tabs>
          <w:tab w:leader="none" w:pos="4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117" w:lineRule="exact"/>
        <w:rPr>
          <w:sz w:val="20"/>
          <w:szCs w:val="20"/>
          <w:color w:val="auto"/>
        </w:rPr>
      </w:pPr>
    </w:p>
    <w:p>
      <w:pPr>
        <w:ind w:left="4420" w:right="60"/>
        <w:spacing w:after="0" w:line="290"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w:t>
      </w:r>
    </w:p>
    <w:p>
      <w:pPr>
        <w:spacing w:after="0" w:line="58" w:lineRule="exact"/>
        <w:rPr>
          <w:sz w:val="20"/>
          <w:szCs w:val="20"/>
          <w:color w:val="auto"/>
        </w:rPr>
      </w:pPr>
    </w:p>
    <w:p>
      <w:pPr>
        <w:ind w:left="4420" w:right="40"/>
        <w:spacing w:after="0" w:line="286"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 registration statement covering the issuance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provided that if our Class A ordinary shares are, at the time of any exercise of a warrant, not listed on a national securities exchange such that it satisfies the definition of a “covered</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51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2825" cy="6513195"/>
                    </a:xfrm>
                    <a:prstGeom prst="rect">
                      <a:avLst/>
                    </a:prstGeom>
                    <a:noFill/>
                  </pic:spPr>
                </pic:pic>
              </a:graphicData>
            </a:graphic>
          </wp:anchor>
        </w:drawing>
      </w:r>
    </w:p>
    <w:p>
      <w:pPr>
        <w:spacing w:after="0" w:line="138" w:lineRule="exact"/>
        <w:rPr>
          <w:sz w:val="20"/>
          <w:szCs w:val="20"/>
          <w:color w:val="auto"/>
        </w:rPr>
      </w:pPr>
    </w:p>
    <w:p>
      <w:pPr>
        <w:ind w:left="4420" w:right="40"/>
        <w:spacing w:after="0" w:line="276" w:lineRule="auto"/>
        <w:rPr>
          <w:sz w:val="20"/>
          <w:szCs w:val="20"/>
          <w:color w:val="auto"/>
        </w:rPr>
      </w:pPr>
      <w:r>
        <w:rPr>
          <w:rFonts w:ascii="Arial" w:cs="Arial" w:eastAsia="Arial" w:hAnsi="Arial"/>
          <w:sz w:val="17"/>
          <w:szCs w:val="17"/>
          <w:color w:val="auto"/>
        </w:rPr>
        <w:t>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w:t>
      </w:r>
    </w:p>
    <w:p>
      <w:pPr>
        <w:spacing w:after="0" w:line="64" w:lineRule="exact"/>
        <w:rPr>
          <w:sz w:val="20"/>
          <w:szCs w:val="20"/>
          <w:color w:val="auto"/>
        </w:rPr>
      </w:pPr>
    </w:p>
    <w:p>
      <w:pPr>
        <w:ind w:left="4420" w:right="40"/>
        <w:spacing w:after="0" w:line="257"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ectPr>
          <w:pgSz w:w="11900" w:h="16838" w:orient="portrait"/>
          <w:cols w:equalWidth="0" w:num="1">
            <w:col w:w="9480"/>
          </w:cols>
          <w:pgMar w:left="1180" w:top="279" w:right="1239" w:bottom="1440" w:gutter="0" w:footer="0" w:header="0"/>
        </w:sectPr>
      </w:pPr>
    </w:p>
    <w:p>
      <w:pPr>
        <w:spacing w:after="0" w:line="7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Redemption of warrants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73" w:lineRule="exact"/>
        <w:rPr>
          <w:sz w:val="20"/>
          <w:szCs w:val="20"/>
          <w:color w:val="auto"/>
        </w:rPr>
      </w:pPr>
    </w:p>
    <w:p>
      <w:pPr>
        <w:sectPr>
          <w:pgSz w:w="11900" w:h="16838" w:orient="portrait"/>
          <w:cols w:equalWidth="0" w:num="2">
            <w:col w:w="3700" w:space="720"/>
            <w:col w:w="506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whole and not in part;</w:t>
      </w:r>
    </w:p>
    <w:p>
      <w:pPr>
        <w:spacing w:after="0" w:line="139"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 price of $0.01 per warrant;</w:t>
      </w:r>
    </w:p>
    <w:p>
      <w:pPr>
        <w:spacing w:after="0" w:line="139"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upon a minimum of 30 days’ prior written notice of redemption, which we refer to as the 30-day redemption period; and</w:t>
      </w:r>
    </w:p>
    <w:p>
      <w:pPr>
        <w:spacing w:after="0" w:line="16"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if, and only if, the last reported sale price of our Class A ordinary shares equals or exceeds $18.00 per share (as adjusted</w:t>
      </w:r>
    </w:p>
    <w:p>
      <w:pPr>
        <w:spacing w:after="0" w:line="1"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780"/>
        <w:spacing w:after="0"/>
        <w:rPr>
          <w:sz w:val="20"/>
          <w:szCs w:val="20"/>
          <w:color w:val="auto"/>
        </w:rPr>
      </w:pPr>
      <w:r>
        <w:rPr>
          <w:rFonts w:ascii="Arial" w:cs="Arial" w:eastAsia="Arial" w:hAnsi="Arial"/>
          <w:sz w:val="16"/>
          <w:szCs w:val="16"/>
          <w:color w:val="auto"/>
        </w:rPr>
        <w:t>for share splits, share dividends, rights issuances, subdivisions,</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reorganizations, recapitalizations and the like) for any 20 trading</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days within a 30-trading day period ending on the third trading</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day prior to the date on which we send the notice of redemption</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to the warrant holders.</w:t>
      </w:r>
    </w:p>
    <w:p>
      <w:pPr>
        <w:spacing w:after="0" w:line="103" w:lineRule="exact"/>
        <w:rPr>
          <w:sz w:val="20"/>
          <w:szCs w:val="20"/>
          <w:color w:val="auto"/>
        </w:rPr>
      </w:pPr>
    </w:p>
    <w:p>
      <w:pPr>
        <w:ind w:left="4420" w:right="40"/>
        <w:spacing w:after="0" w:line="269" w:lineRule="auto"/>
        <w:rPr>
          <w:sz w:val="20"/>
          <w:szCs w:val="20"/>
          <w:color w:val="auto"/>
        </w:rPr>
      </w:pPr>
      <w:r>
        <w:rPr>
          <w:rFonts w:ascii="Arial" w:cs="Arial" w:eastAsia="Arial" w:hAnsi="Arial"/>
          <w:sz w:val="17"/>
          <w:szCs w:val="17"/>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75" w:lineRule="exact"/>
        <w:rPr>
          <w:sz w:val="20"/>
          <w:szCs w:val="20"/>
          <w:color w:val="auto"/>
        </w:rPr>
      </w:pPr>
    </w:p>
    <w:p>
      <w:pPr>
        <w:ind w:left="4420"/>
        <w:spacing w:after="0" w:line="255"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860" w:type="dxa"/>
            <w:vAlign w:val="bottom"/>
            <w:tcBorders>
              <w:top w:val="single" w:sz="8" w:color="auto"/>
              <w:left w:val="single" w:sz="8" w:color="auto"/>
            </w:tcBorders>
          </w:tcPr>
          <w:p>
            <w:pPr>
              <w:spacing w:after="0"/>
              <w:rPr>
                <w:sz w:val="20"/>
                <w:szCs w:val="20"/>
                <w:color w:val="auto"/>
              </w:rPr>
            </w:pPr>
          </w:p>
        </w:tc>
        <w:tc>
          <w:tcPr>
            <w:tcW w:w="674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shareholders of issuing the maximum number of Class A ordinary</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1"/>
              </w:rPr>
              <w:t>shares issuable upon the exercise of our warrants. In such event, each</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holder would pay the exercise price by surrendering the warrants for</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2"/>
              </w:rPr>
              <w:t>that number of Class A ordinary shares equal to the quotient obtained</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by dividing (x) the product of the number of Class A ordinary shares</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underlying the warrants, multiplied by the excess of the “fair market</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value” (defined below) over the exercise price of the warrants by (y)</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the fair market value. The “fair market value” shall mean the average</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last reported sale price of the Class A ordinary shares for the 10</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trading days ending on the third trading day prior to the date on</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which the notice of redemption is sent to the holders of warrants.</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Please see the section entitled “Description of Securities—Warrants</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—Public Shareholders’ Redeemable Warrants” for additional</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information.</w:t>
            </w:r>
          </w:p>
        </w:tc>
      </w:tr>
      <w:tr>
        <w:trPr>
          <w:trHeight w:val="310"/>
        </w:trPr>
        <w:tc>
          <w:tcPr>
            <w:tcW w:w="286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None of the private placement warrants will be redeemable by us so</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long as they are held by our sponsor or its permitted transferees.</w:t>
            </w:r>
          </w:p>
        </w:tc>
      </w:tr>
      <w:tr>
        <w:trPr>
          <w:trHeight w:val="310"/>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Founder shares</w:t>
            </w: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In June 2019, our sponsor subscribed for an aggregate of 7,187,500</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founder shares, par value $0.0001 per share, for an aggregate</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purchase price of $25,000, or $0.004 per share (after giving effect to</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a forfeiture of one share by our sponsor for no value, a subsequent</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2"/>
              </w:rPr>
              <w:t>share capitalization and the forfeiture of 937,500 shares assuming the</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over-allotment option is not exercised).</w:t>
            </w:r>
          </w:p>
        </w:tc>
      </w:tr>
      <w:tr>
        <w:trPr>
          <w:trHeight w:val="310"/>
        </w:trPr>
        <w:tc>
          <w:tcPr>
            <w:tcW w:w="286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Prior to the initial investment in the company of $25,000 by our</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sponsor, the company had no assets, tangible or intangible. The</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purchase price of these founder shares was determined by dividing</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2"/>
              </w:rPr>
              <w:t>the amount of cash contributed to us by the number of founder shares</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issued. Our initial shareholders will collectively own 20% of our</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issued and outstanding shares after this offering (assuming they do</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2"/>
              </w:rPr>
              <w:t>not purchase any units in this offering). If we increase or decrease the</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size of this offering, we will effect a capitalization or share</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repurchase or redemption or other appropriate mechanism, as</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applicable, with respect to our founder shares immediately prior to</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the consummation of this offering in such amount as to maintain the</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number of founder shares at 20% of our issued and outstanding</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ordinary shares upon the consummation of this offering. Up to</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937,500 founder shares are subject to forfeiture by our sponsor</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depending on the extent to which the underwriter’s over-allotment</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option is exercised.</w:t>
            </w:r>
          </w:p>
        </w:tc>
      </w:tr>
      <w:tr>
        <w:trPr>
          <w:trHeight w:val="267"/>
        </w:trPr>
        <w:tc>
          <w:tcPr>
            <w:tcW w:w="2860" w:type="dxa"/>
            <w:vAlign w:val="bottom"/>
            <w:tcBorders>
              <w:left w:val="single" w:sz="8" w:color="auto"/>
              <w:bottom w:val="single" w:sz="8" w:color="auto"/>
            </w:tcBorders>
          </w:tcPr>
          <w:p>
            <w:pPr>
              <w:spacing w:after="0"/>
              <w:rPr>
                <w:sz w:val="23"/>
                <w:szCs w:val="23"/>
                <w:color w:val="auto"/>
              </w:rPr>
            </w:pPr>
          </w:p>
        </w:tc>
        <w:tc>
          <w:tcPr>
            <w:tcW w:w="67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2860" w:type="dxa"/>
            <w:vAlign w:val="bottom"/>
          </w:tcPr>
          <w:p>
            <w:pPr>
              <w:spacing w:after="0"/>
              <w:rPr>
                <w:sz w:val="24"/>
                <w:szCs w:val="24"/>
                <w:color w:val="auto"/>
              </w:rPr>
            </w:pPr>
          </w:p>
        </w:tc>
        <w:tc>
          <w:tcPr>
            <w:tcW w:w="6700" w:type="dxa"/>
            <w:vAlign w:val="bottom"/>
          </w:tcPr>
          <w:p>
            <w:pPr>
              <w:ind w:left="18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r>
      <w:tr>
        <w:trPr>
          <w:trHeight w:val="446"/>
        </w:trPr>
        <w:tc>
          <w:tcPr>
            <w:tcW w:w="28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60" w:type="dxa"/>
            <w:vAlign w:val="bottom"/>
            <w:tcBorders>
              <w:left w:val="single" w:sz="8" w:color="auto"/>
            </w:tcBorders>
            <w:shd w:val="clear" w:color="auto" w:fill="000000"/>
          </w:tcPr>
          <w:p>
            <w:pPr>
              <w:spacing w:after="0"/>
              <w:rPr>
                <w:sz w:val="5"/>
                <w:szCs w:val="5"/>
                <w:color w:val="auto"/>
              </w:rPr>
            </w:pPr>
          </w:p>
        </w:tc>
        <w:tc>
          <w:tcPr>
            <w:tcW w:w="67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38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6238875"/>
                    </a:xfrm>
                    <a:prstGeom prst="rect">
                      <a:avLst/>
                    </a:prstGeom>
                    <a:noFill/>
                  </pic:spPr>
                </pic:pic>
              </a:graphicData>
            </a:graphic>
          </wp:anchor>
        </w:drawing>
      </w: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founder shares are identical to the Class A ordinary shares</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included in the units being sold in this offering, except that:</w:t>
      </w:r>
    </w:p>
    <w:p>
      <w:pPr>
        <w:spacing w:after="0" w:line="103" w:lineRule="exact"/>
        <w:rPr>
          <w:sz w:val="20"/>
          <w:szCs w:val="20"/>
          <w:color w:val="auto"/>
        </w:rPr>
      </w:pPr>
    </w:p>
    <w:p>
      <w:pPr>
        <w:ind w:left="4780" w:right="80" w:hanging="352"/>
        <w:spacing w:after="0" w:line="279" w:lineRule="auto"/>
        <w:tabs>
          <w:tab w:leader="none" w:pos="4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our initial business combination, only holders of the founder shares have the right to vote on the election of directors and holders of a majority of our founder shares may remove a member of the board of directors for any reason;</w:t>
      </w:r>
    </w:p>
    <w:p>
      <w:pPr>
        <w:spacing w:after="0" w:line="63" w:lineRule="exact"/>
        <w:rPr>
          <w:rFonts w:ascii="Arial" w:cs="Arial" w:eastAsia="Arial" w:hAnsi="Arial"/>
          <w:sz w:val="17"/>
          <w:szCs w:val="17"/>
          <w:color w:val="auto"/>
        </w:rPr>
      </w:pPr>
    </w:p>
    <w:p>
      <w:pPr>
        <w:ind w:left="4780" w:right="140" w:hanging="352"/>
        <w:spacing w:after="0" w:line="277" w:lineRule="auto"/>
        <w:tabs>
          <w:tab w:leader="none" w:pos="4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62" w:lineRule="exact"/>
        <w:rPr>
          <w:rFonts w:ascii="Arial" w:cs="Arial" w:eastAsia="Arial" w:hAnsi="Arial"/>
          <w:sz w:val="18"/>
          <w:szCs w:val="18"/>
          <w:color w:val="auto"/>
        </w:rPr>
      </w:pPr>
    </w:p>
    <w:p>
      <w:pPr>
        <w:ind w:left="4780" w:hanging="352"/>
        <w:spacing w:after="0" w:line="283" w:lineRule="auto"/>
        <w:tabs>
          <w:tab w:leader="none" w:pos="4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initial shareholders have entered into a letter agreement with us, pursuant to which they have agreed to waive: (1)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(2)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initial shareholders have agreed, pursuant to such letter agreement, to vote their founder shares and any public shares they hold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033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6033135"/>
                    </a:xfrm>
                    <a:prstGeom prst="rect">
                      <a:avLst/>
                    </a:prstGeom>
                    <a:noFill/>
                  </pic:spPr>
                </pic:pic>
              </a:graphicData>
            </a:graphic>
          </wp:anchor>
        </w:drawing>
      </w:r>
    </w:p>
    <w:p>
      <w:pPr>
        <w:spacing w:after="0" w:line="138"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directors and officers have also entered into the letter agreement,</w:t>
      </w:r>
    </w:p>
    <w:p>
      <w:pPr>
        <w:spacing w:after="0" w:line="4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imposing similar obligations on them with respect to public</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shares acquired by them, if any;</w:t>
      </w:r>
    </w:p>
    <w:p>
      <w:pPr>
        <w:sectPr>
          <w:pgSz w:w="11900" w:h="16838" w:orient="portrait"/>
          <w:cols w:equalWidth="0" w:num="1">
            <w:col w:w="9480"/>
          </w:cols>
          <w:pgMar w:left="1180" w:top="279" w:right="1239" w:bottom="1440" w:gutter="0" w:footer="0" w:header="0"/>
        </w:sectPr>
      </w:pP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founder shares will automatically convert into our Class A ordinary shares on the first business day following the completion of our initial business combination on a one-for-one basis subject to adjustment pursuant to certain anti-dilution rights, as described below adjacent to the caption “Founder shares conversion and anti-dilution rights”; and</w:t>
      </w:r>
    </w:p>
    <w:p>
      <w:pPr>
        <w:spacing w:after="0" w:line="70"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founder shares are entitled to registration rights.</w:t>
      </w:r>
    </w:p>
    <w:p>
      <w:pPr>
        <w:spacing w:after="0" w:line="135"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auto"/>
        </w:rPr>
        <w:t>Transfer restrictions on founder shares</w:t>
      </w:r>
    </w:p>
    <w:p>
      <w:pPr>
        <w:spacing w:after="0" w:line="20" w:lineRule="exact"/>
        <w:rPr>
          <w:sz w:val="20"/>
          <w:szCs w:val="20"/>
          <w:color w:val="auto"/>
        </w:rPr>
      </w:pPr>
      <w:r>
        <w:rPr>
          <w:sz w:val="20"/>
          <w:szCs w:val="20"/>
          <w:color w:val="auto"/>
        </w:rPr>
        <w:br w:type="column"/>
      </w:r>
    </w:p>
    <w:p>
      <w:pPr>
        <w:ind w:right="60"/>
        <w:spacing w:after="0" w:line="286" w:lineRule="auto"/>
        <w:rPr>
          <w:sz w:val="20"/>
          <w:szCs w:val="20"/>
          <w:color w:val="auto"/>
        </w:rPr>
      </w:pPr>
      <w:r>
        <w:rPr>
          <w:rFonts w:ascii="Arial" w:cs="Arial" w:eastAsia="Arial" w:hAnsi="Arial"/>
          <w:sz w:val="16"/>
          <w:szCs w:val="16"/>
          <w:color w:val="auto"/>
        </w:rPr>
        <w:t>Our initial shareholders have agreed not to transfer, assign or sell any of their founder shares until the earlier to occur of: (A) one year after the completion of our initial business combination; or (B) the date on which we complete a liquidation, merger, amalgamation, share exchange, reorganization or other similar transaction after our initial business combination that results in all of our public shareholders having the right to exchange their ordinary shares for cash, securities or other property (except as described herein under “Principal Shareholders—Transfers of Founder Shares and Private Placement Warrants”). Any permitted transferees would be subject to the same restrictions and other agreements of our initial shareholders with respect to any founder shares. We refer to such transfer restrictions throughout this prospectus as the lock-up.</w:t>
      </w:r>
    </w:p>
    <w:p>
      <w:pPr>
        <w:spacing w:after="0" w:line="67" w:lineRule="exact"/>
        <w:rPr>
          <w:sz w:val="20"/>
          <w:szCs w:val="20"/>
          <w:color w:val="auto"/>
        </w:rPr>
      </w:pPr>
    </w:p>
    <w:p>
      <w:pPr>
        <w:sectPr>
          <w:pgSz w:w="11900" w:h="16838" w:orient="portrait"/>
          <w:cols w:equalWidth="0" w:num="2">
            <w:col w:w="3700" w:space="720"/>
            <w:col w:w="5060"/>
          </w:cols>
          <w:pgMar w:left="1180" w:top="279" w:right="1239" w:bottom="1440" w:gutter="0" w:footer="0" w:header="0"/>
          <w:type w:val="continuous"/>
        </w:sectPr>
      </w:pPr>
    </w:p>
    <w:p>
      <w:pPr>
        <w:ind w:left="4420" w:right="20"/>
        <w:spacing w:after="0" w:line="272" w:lineRule="auto"/>
        <w:rPr>
          <w:sz w:val="20"/>
          <w:szCs w:val="20"/>
          <w:color w:val="auto"/>
        </w:rPr>
      </w:pPr>
      <w:r>
        <w:rPr>
          <w:rFonts w:ascii="Arial" w:cs="Arial" w:eastAsia="Arial" w:hAnsi="Arial"/>
          <w:sz w:val="17"/>
          <w:szCs w:val="17"/>
          <w:color w:val="auto"/>
        </w:rPr>
        <w:t>Notwithstanding the foregoing, if the last reported sale price of our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w:t>
      </w:r>
    </w:p>
    <w:p>
      <w:pPr>
        <w:sectPr>
          <w:pgSz w:w="11900" w:h="16838" w:orient="portrait"/>
          <w:cols w:equalWidth="0" w:num="1">
            <w:col w:w="9480"/>
          </w:cols>
          <w:pgMar w:left="1180" w:top="279" w:right="1239" w:bottom="1440" w:gutter="0" w:footer="0" w:header="0"/>
          <w:type w:val="continuous"/>
        </w:sectPr>
      </w:pP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founder shares are designated as Class B ordinary shares and will automatically convert into Class A ordinary shares on the first business day following the completion of our initial business</w:t>
      </w:r>
    </w:p>
    <w:p>
      <w:pPr>
        <w:spacing w:after="0" w:line="1" w:lineRule="exact"/>
        <w:rPr>
          <w:sz w:val="20"/>
          <w:szCs w:val="20"/>
          <w:color w:val="auto"/>
        </w:rPr>
      </w:pPr>
    </w:p>
    <w:p>
      <w:pPr>
        <w:sectPr>
          <w:pgSz w:w="11900" w:h="16838" w:orient="portrait"/>
          <w:cols w:equalWidth="0" w:num="2">
            <w:col w:w="4000" w:space="420"/>
            <w:col w:w="5060"/>
          </w:cols>
          <w:pgMar w:left="1180" w:top="279" w:right="1239" w:bottom="1440" w:gutter="0" w:footer="0" w:header="0"/>
          <w:type w:val="continuous"/>
        </w:sectPr>
      </w:pPr>
    </w:p>
    <w:p>
      <w:pPr>
        <w:ind w:left="4420"/>
        <w:spacing w:after="0" w:line="252" w:lineRule="auto"/>
        <w:rPr>
          <w:sz w:val="20"/>
          <w:szCs w:val="20"/>
          <w:color w:val="auto"/>
        </w:rPr>
      </w:pPr>
      <w:r>
        <w:rPr>
          <w:rFonts w:ascii="Arial" w:cs="Arial" w:eastAsia="Arial" w:hAnsi="Arial"/>
          <w:sz w:val="18"/>
          <w:szCs w:val="18"/>
          <w:color w:val="auto"/>
        </w:rPr>
        <w:t>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580" w:type="dxa"/>
            <w:vAlign w:val="bottom"/>
            <w:tcBorders>
              <w:top w:val="single" w:sz="8" w:color="auto"/>
              <w:left w:val="single" w:sz="8" w:color="auto"/>
            </w:tcBorders>
          </w:tcPr>
          <w:p>
            <w:pPr>
              <w:spacing w:after="0"/>
              <w:rPr>
                <w:sz w:val="20"/>
                <w:szCs w:val="20"/>
                <w:color w:val="auto"/>
              </w:rPr>
            </w:pPr>
          </w:p>
        </w:tc>
        <w:tc>
          <w:tcPr>
            <w:tcW w:w="6020" w:type="dxa"/>
            <w:vAlign w:val="bottom"/>
            <w:tcBorders>
              <w:top w:val="single" w:sz="8" w:color="auto"/>
              <w:right w:val="single" w:sz="8" w:color="auto"/>
            </w:tcBorders>
            <w:gridSpan w:val="2"/>
          </w:tcPr>
          <w:p>
            <w:pPr>
              <w:ind w:left="840"/>
              <w:spacing w:after="0"/>
              <w:rPr>
                <w:sz w:val="20"/>
                <w:szCs w:val="20"/>
                <w:color w:val="auto"/>
              </w:rPr>
            </w:pPr>
            <w:r>
              <w:rPr>
                <w:rFonts w:ascii="Arial" w:cs="Arial" w:eastAsia="Arial" w:hAnsi="Arial"/>
                <w:sz w:val="18"/>
                <w:szCs w:val="18"/>
                <w:color w:val="auto"/>
                <w:w w:val="98"/>
              </w:rPr>
              <w:t>adjusted (subject to waiver by holders of a majority of the Class B</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3"/>
              </w:rPr>
              <w:t>ordinary shares then in issue) so that the number of Class A ordinary</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shares issuable upon conversion of all Class B ordinary shares will</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3"/>
              </w:rPr>
              <w:t>equal, in the aggregate, on an as-converted basis, 20% of the sum of</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our ordinary shares issued and outstanding upon the completion of</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5"/>
              </w:rPr>
              <w:t>this offering plus the number of Class A ordinary shares and equity-</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linked securities issued or deemed issued in connection with our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initial business combination (net of redemptions), excluding any</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7"/>
              </w:rPr>
              <w:t>Class A ordinary shares or equity-linked securities issued, or to be</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issued, to any seller in our initial business combination and any</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5"/>
              </w:rPr>
              <w:t>private placement warrants issued to our sponsor, an affiliate of our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3"/>
              </w:rPr>
              <w:t>sponsor or any of our officers or directors. Any conversion of Class B</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ordinary shares described herein will take effect as a redemption of</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0"/>
              </w:rPr>
              <w:t>Class B ordinary shares and an issuance of Class A ordinary shares as</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a matter of Cayman Islands law. The term “equity-linked securities”</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2"/>
              </w:rPr>
              <w:t>refers to any debt or equity securities that are convertible, exercisable</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2"/>
              </w:rPr>
              <w:t>or exchangeable for our Class A ordinary shares issued in a financing</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transaction in connection with our initial business combination,</w:t>
            </w:r>
          </w:p>
        </w:tc>
      </w:tr>
      <w:tr>
        <w:trPr>
          <w:trHeight w:val="230"/>
        </w:trPr>
        <w:tc>
          <w:tcPr>
            <w:tcW w:w="3580" w:type="dxa"/>
            <w:vAlign w:val="bottom"/>
            <w:tcBorders>
              <w:left w:val="single" w:sz="8" w:color="auto"/>
            </w:tcBorders>
          </w:tcPr>
          <w:p>
            <w:pPr>
              <w:spacing w:after="0"/>
              <w:rPr>
                <w:sz w:val="20"/>
                <w:szCs w:val="20"/>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including but not limited to a private placement of equity or debt.</w:t>
            </w:r>
          </w:p>
        </w:tc>
      </w:tr>
      <w:tr>
        <w:trPr>
          <w:trHeight w:val="310"/>
        </w:trPr>
        <w:tc>
          <w:tcPr>
            <w:tcW w:w="358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Election of directors; voting rights</w:t>
            </w: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5"/>
              </w:rPr>
              <w:t>Prior to our initial business combination, only holders of our founder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4"/>
              </w:rPr>
              <w:t>shares will have the right to vote on the election of directors. Holders</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of our public shares will not be entitled to vote on the election of</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9"/>
              </w:rPr>
              <w:t>directors during such time. In addition, prior to our initial business</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3"/>
              </w:rPr>
              <w:t>combination, holders of a majority of our founder shares may remove</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4"/>
              </w:rPr>
              <w:t>a member of the board of directors for any reason. These provisions</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1"/>
              </w:rPr>
              <w:t>of our amended and restated memorandum and articles of association</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3"/>
              </w:rPr>
              <w:t>may only be amended by a special resolution passed by at least 90%</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7"/>
              </w:rPr>
              <w:t>of our ordinary shares voting in a general meeting. With respect to</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7"/>
              </w:rPr>
              <w:t>any other matter submitted to a vote of our shareholders, including</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any vote in connection with our initial business combination, except</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4"/>
              </w:rPr>
              <w:t>as required by law, holders of our founder shares and holders of our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8"/>
              </w:rPr>
              <w:t>public shares will vote together as a single class, with each share</w:t>
            </w:r>
          </w:p>
        </w:tc>
      </w:tr>
      <w:tr>
        <w:trPr>
          <w:trHeight w:val="230"/>
        </w:trPr>
        <w:tc>
          <w:tcPr>
            <w:tcW w:w="3580" w:type="dxa"/>
            <w:vAlign w:val="bottom"/>
            <w:tcBorders>
              <w:left w:val="single" w:sz="8" w:color="auto"/>
            </w:tcBorders>
          </w:tcPr>
          <w:p>
            <w:pPr>
              <w:spacing w:after="0"/>
              <w:rPr>
                <w:sz w:val="20"/>
                <w:szCs w:val="20"/>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entitling the holder to one vote.</w:t>
            </w:r>
          </w:p>
        </w:tc>
      </w:tr>
      <w:tr>
        <w:trPr>
          <w:trHeight w:val="310"/>
        </w:trPr>
        <w:tc>
          <w:tcPr>
            <w:tcW w:w="358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Private placement warrants</w:t>
            </w: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Our sponsor has committed, pursuant to a written agreement, to</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5"/>
              </w:rPr>
              <w:t>purchase an aggregate of 7,000,000 private placement warrants (or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8"/>
              </w:rPr>
              <w:t>7,750,000 if the underwriter’s over-allotment option is exercised in</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full) at a price of $1.00 per warrant ($7,000,000 in the aggregate or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3"/>
              </w:rPr>
              <w:t>$7,750,000 in the aggregate if the underwriter’s over-allotment option</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is exercised in full) in a private placement that will occur</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simultaneously with the closing of this offering. Each private</w:t>
            </w:r>
          </w:p>
        </w:tc>
      </w:tr>
      <w:tr>
        <w:trPr>
          <w:trHeight w:val="216"/>
        </w:trPr>
        <w:tc>
          <w:tcPr>
            <w:tcW w:w="3580" w:type="dxa"/>
            <w:vAlign w:val="bottom"/>
            <w:tcBorders>
              <w:left w:val="single" w:sz="8" w:color="auto"/>
            </w:tcBorders>
          </w:tcPr>
          <w:p>
            <w:pPr>
              <w:spacing w:after="0"/>
              <w:rPr>
                <w:sz w:val="18"/>
                <w:szCs w:val="18"/>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w w:val="96"/>
              </w:rPr>
              <w:t>placement warrant is exercisable to purchase one Class A ordinary</w:t>
            </w:r>
          </w:p>
        </w:tc>
      </w:tr>
      <w:tr>
        <w:trPr>
          <w:trHeight w:val="230"/>
        </w:trPr>
        <w:tc>
          <w:tcPr>
            <w:tcW w:w="3580" w:type="dxa"/>
            <w:vAlign w:val="bottom"/>
            <w:tcBorders>
              <w:left w:val="single" w:sz="8" w:color="auto"/>
            </w:tcBorders>
          </w:tcPr>
          <w:p>
            <w:pPr>
              <w:spacing w:after="0"/>
              <w:rPr>
                <w:sz w:val="20"/>
                <w:szCs w:val="20"/>
                <w:color w:val="auto"/>
              </w:rPr>
            </w:pPr>
          </w:p>
        </w:tc>
        <w:tc>
          <w:tcPr>
            <w:tcW w:w="6020" w:type="dxa"/>
            <w:vAlign w:val="bottom"/>
            <w:tcBorders>
              <w:right w:val="single" w:sz="8" w:color="auto"/>
            </w:tcBorders>
            <w:gridSpan w:val="2"/>
          </w:tcPr>
          <w:p>
            <w:pPr>
              <w:ind w:left="840"/>
              <w:spacing w:after="0"/>
              <w:rPr>
                <w:sz w:val="20"/>
                <w:szCs w:val="20"/>
                <w:color w:val="auto"/>
              </w:rPr>
            </w:pPr>
            <w:r>
              <w:rPr>
                <w:rFonts w:ascii="Arial" w:cs="Arial" w:eastAsia="Arial" w:hAnsi="Arial"/>
                <w:sz w:val="18"/>
                <w:szCs w:val="18"/>
                <w:color w:val="auto"/>
              </w:rPr>
              <w:t>share at a price of $11.50 per share,</w:t>
            </w:r>
          </w:p>
        </w:tc>
      </w:tr>
      <w:tr>
        <w:trPr>
          <w:trHeight w:val="267"/>
        </w:trPr>
        <w:tc>
          <w:tcPr>
            <w:tcW w:w="3580" w:type="dxa"/>
            <w:vAlign w:val="bottom"/>
            <w:tcBorders>
              <w:left w:val="single" w:sz="8" w:color="auto"/>
              <w:bottom w:val="single" w:sz="8" w:color="auto"/>
            </w:tcBorders>
          </w:tcPr>
          <w:p>
            <w:pPr>
              <w:spacing w:after="0"/>
              <w:rPr>
                <w:sz w:val="23"/>
                <w:szCs w:val="23"/>
                <w:color w:val="auto"/>
              </w:rPr>
            </w:pPr>
          </w:p>
        </w:tc>
        <w:tc>
          <w:tcPr>
            <w:tcW w:w="59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3580" w:type="dxa"/>
            <w:vAlign w:val="bottom"/>
          </w:tcPr>
          <w:p>
            <w:pPr>
              <w:spacing w:after="0"/>
              <w:rPr>
                <w:sz w:val="24"/>
                <w:szCs w:val="24"/>
                <w:color w:val="auto"/>
              </w:rPr>
            </w:pPr>
          </w:p>
        </w:tc>
        <w:tc>
          <w:tcPr>
            <w:tcW w:w="5980" w:type="dxa"/>
            <w:vAlign w:val="bottom"/>
          </w:tcPr>
          <w:p>
            <w:pPr>
              <w:ind w:left="1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r>
      <w:tr>
        <w:trPr>
          <w:trHeight w:val="446"/>
        </w:trPr>
        <w:tc>
          <w:tcPr>
            <w:tcW w:w="35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3580" w:type="dxa"/>
            <w:vAlign w:val="bottom"/>
            <w:tcBorders>
              <w:left w:val="single" w:sz="8" w:color="auto"/>
            </w:tcBorders>
            <w:shd w:val="clear" w:color="auto" w:fill="000000"/>
          </w:tcPr>
          <w:p>
            <w:pPr>
              <w:spacing w:after="0"/>
              <w:rPr>
                <w:sz w:val="5"/>
                <w:szCs w:val="5"/>
                <w:color w:val="auto"/>
              </w:rPr>
            </w:pPr>
          </w:p>
        </w:tc>
        <w:tc>
          <w:tcPr>
            <w:tcW w:w="598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260" w:type="dxa"/>
            <w:vAlign w:val="bottom"/>
            <w:tcBorders>
              <w:top w:val="single" w:sz="8" w:color="auto"/>
              <w:left w:val="single" w:sz="8" w:color="auto"/>
            </w:tcBorders>
          </w:tcPr>
          <w:p>
            <w:pPr>
              <w:spacing w:after="0"/>
              <w:rPr>
                <w:sz w:val="20"/>
                <w:szCs w:val="20"/>
                <w:color w:val="auto"/>
              </w:rPr>
            </w:pPr>
          </w:p>
        </w:tc>
        <w:tc>
          <w:tcPr>
            <w:tcW w:w="534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subject to adjustment as provided herein. Private placement warrants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may be exercised only for a whole number of shares. The purchase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price of the private placement warrants will be added to the proceeds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from this offering to be held in the trust account. If we do not</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complete our initial business combination within 18 months from the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closing of this offering, the proceeds of the sale of the private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placement warrants held in the trust account will be used to fund the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redemption of our public shares (subject to the requirements of</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applicable law) and the private placement warrants will expire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worthless. The private placement warrants will not be redeemable by</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1"/>
              </w:rPr>
              <w:t>us so long as they are held by our sponsor or its permitted transferees.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If the private placement warrants are held by holders other than our</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sponsor or its permitted transferees, the private placement warrants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will be redeemable by us and exercisable by the holders on the same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basis as the warrants included in the units being sold in this offering.</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Our sponsor, as well as its permitted transferees, have the option to</w:t>
            </w:r>
          </w:p>
        </w:tc>
      </w:tr>
      <w:tr>
        <w:trPr>
          <w:trHeight w:val="230"/>
        </w:trPr>
        <w:tc>
          <w:tcPr>
            <w:tcW w:w="42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exercise the private placement warrants on a cashless basis.</w:t>
            </w:r>
          </w:p>
        </w:tc>
      </w:tr>
      <w:tr>
        <w:trPr>
          <w:trHeight w:val="310"/>
        </w:trPr>
        <w:tc>
          <w:tcPr>
            <w:tcW w:w="42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Transfer restrictions on private placement warrants</w:t>
            </w: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The private placement warrants (including the Class A ordinary</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shares issuable upon exercise of the private placement warrants) will</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not be transferable, assignable or salable until 30 days after the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completion of our initial business combination, except as described</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herein under “Principal Shareholders—Transfers of Founder Shares</w:t>
            </w:r>
          </w:p>
        </w:tc>
      </w:tr>
      <w:tr>
        <w:trPr>
          <w:trHeight w:val="230"/>
        </w:trPr>
        <w:tc>
          <w:tcPr>
            <w:tcW w:w="42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and Private Placement Warrants.”</w:t>
            </w:r>
          </w:p>
        </w:tc>
      </w:tr>
      <w:tr>
        <w:trPr>
          <w:trHeight w:val="310"/>
        </w:trPr>
        <w:tc>
          <w:tcPr>
            <w:tcW w:w="42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Proceeds to be held in trust account</w:t>
            </w: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1"/>
              </w:rPr>
              <w:t>Nasdaq rules provide that at least 90% of the gross proceeds from this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offering and the sale of the private placement warrants be deposited</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in a trust account. Of the $257,000,000 in proceeds we will receive</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from this offering and the sale of the private placement warrants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9"/>
              </w:rPr>
              <w:t>described in this prospectus, or $295,250,000 if the underwriter’s</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over-allotment option is exercised in full, $250,000,000 ($10.00 per</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unit), or $287,500,000 ($10.00 per unit) if the underwriter’s over-</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7"/>
              </w:rPr>
              <w:t>allotment option is exercised in full, (including $8,750,000 (or up to</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$10,062,500 if the underwriter’s over-allotment option is exercised in</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full) in deferred underwriting commissions), will be deposited into a</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9"/>
              </w:rPr>
              <w:t>U.S.-based trust account with Continental Stock Transfer &amp; Trust</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Company acting as trustee, and $2,000,000 will be used to pay</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expenses in connection with the closing of this offering and for</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working capital following this offering. The funds in the trust account</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will be invested only in U.S. government treasury bills with a</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maturity of 180 days or less or in money market funds investing</w:t>
            </w:r>
          </w:p>
        </w:tc>
      </w:tr>
      <w:tr>
        <w:trPr>
          <w:trHeight w:val="230"/>
        </w:trPr>
        <w:tc>
          <w:tcPr>
            <w:tcW w:w="42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solely in U.S. Treasuries.</w:t>
            </w:r>
          </w:p>
        </w:tc>
      </w:tr>
      <w:tr>
        <w:trPr>
          <w:trHeight w:val="310"/>
        </w:trPr>
        <w:tc>
          <w:tcPr>
            <w:tcW w:w="4260" w:type="dxa"/>
            <w:vAlign w:val="bottom"/>
            <w:tcBorders>
              <w:left w:val="single" w:sz="8" w:color="auto"/>
            </w:tcBorders>
          </w:tcPr>
          <w:p>
            <w:pPr>
              <w:spacing w:after="0"/>
              <w:rPr>
                <w:sz w:val="24"/>
                <w:szCs w:val="24"/>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Except with respect to interest earned on the funds held in the trust</w:t>
            </w:r>
          </w:p>
        </w:tc>
      </w:tr>
      <w:tr>
        <w:trPr>
          <w:trHeight w:val="216"/>
        </w:trPr>
        <w:tc>
          <w:tcPr>
            <w:tcW w:w="42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account that may be released to us to pay our taxes, if any, the funds</w:t>
            </w:r>
          </w:p>
        </w:tc>
      </w:tr>
      <w:tr>
        <w:trPr>
          <w:trHeight w:val="230"/>
        </w:trPr>
        <w:tc>
          <w:tcPr>
            <w:tcW w:w="42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held in the trust</w:t>
            </w:r>
          </w:p>
        </w:tc>
      </w:tr>
      <w:tr>
        <w:trPr>
          <w:trHeight w:val="267"/>
        </w:trPr>
        <w:tc>
          <w:tcPr>
            <w:tcW w:w="4260" w:type="dxa"/>
            <w:vAlign w:val="bottom"/>
            <w:tcBorders>
              <w:left w:val="single" w:sz="8" w:color="auto"/>
              <w:bottom w:val="single" w:sz="8" w:color="auto"/>
            </w:tcBorders>
          </w:tcPr>
          <w:p>
            <w:pPr>
              <w:spacing w:after="0"/>
              <w:rPr>
                <w:sz w:val="23"/>
                <w:szCs w:val="23"/>
                <w:color w:val="auto"/>
              </w:rPr>
            </w:pPr>
          </w:p>
        </w:tc>
        <w:tc>
          <w:tcPr>
            <w:tcW w:w="5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4260" w:type="dxa"/>
            <w:vAlign w:val="bottom"/>
          </w:tcPr>
          <w:p>
            <w:pPr>
              <w:spacing w:after="0"/>
              <w:rPr>
                <w:sz w:val="24"/>
                <w:szCs w:val="24"/>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46"/>
        </w:trPr>
        <w:tc>
          <w:tcPr>
            <w:tcW w:w="42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4260" w:type="dxa"/>
            <w:vAlign w:val="bottom"/>
            <w:tcBorders>
              <w:left w:val="single" w:sz="8" w:color="auto"/>
            </w:tcBorders>
            <w:shd w:val="clear" w:color="auto" w:fill="000000"/>
          </w:tcPr>
          <w:p>
            <w:pPr>
              <w:spacing w:after="0"/>
              <w:rPr>
                <w:sz w:val="5"/>
                <w:szCs w:val="5"/>
                <w:color w:val="auto"/>
              </w:rPr>
            </w:pPr>
          </w:p>
        </w:tc>
        <w:tc>
          <w:tcPr>
            <w:tcW w:w="53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101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6101715"/>
                    </a:xfrm>
                    <a:prstGeom prst="rect">
                      <a:avLst/>
                    </a:prstGeom>
                    <a:noFill/>
                  </pic:spPr>
                </pic:pic>
              </a:graphicData>
            </a:graphic>
          </wp:anchor>
        </w:drawing>
      </w:r>
    </w:p>
    <w:p>
      <w:pPr>
        <w:spacing w:after="0" w:line="138" w:lineRule="exact"/>
        <w:rPr>
          <w:sz w:val="20"/>
          <w:szCs w:val="20"/>
          <w:color w:val="auto"/>
        </w:rPr>
      </w:pPr>
    </w:p>
    <w:p>
      <w:pPr>
        <w:ind w:left="4420"/>
        <w:spacing w:after="0" w:line="286" w:lineRule="auto"/>
        <w:rPr>
          <w:sz w:val="20"/>
          <w:szCs w:val="20"/>
          <w:color w:val="auto"/>
        </w:rPr>
      </w:pPr>
      <w:r>
        <w:rPr>
          <w:rFonts w:ascii="Arial" w:cs="Arial" w:eastAsia="Arial" w:hAnsi="Arial"/>
          <w:sz w:val="16"/>
          <w:szCs w:val="16"/>
          <w:color w:val="auto"/>
        </w:rPr>
        <w:t>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The proceeds deposited in the trust account could become subject to the claims of our creditors, if any, which could have priority over the claims of our public shareholders.</w:t>
      </w:r>
    </w:p>
    <w:p>
      <w:pPr>
        <w:spacing w:after="0" w:line="276" w:lineRule="exact"/>
        <w:rPr>
          <w:sz w:val="20"/>
          <w:szCs w:val="20"/>
          <w:color w:val="auto"/>
        </w:rPr>
      </w:pPr>
    </w:p>
    <w:p>
      <w:pPr>
        <w:ind w:left="100"/>
        <w:spacing w:after="0"/>
        <w:tabs>
          <w:tab w:leader="none" w:pos="4400" w:val="left"/>
        </w:tabs>
        <w:rPr>
          <w:sz w:val="20"/>
          <w:szCs w:val="20"/>
          <w:color w:val="auto"/>
        </w:rPr>
      </w:pPr>
      <w:r>
        <w:rPr>
          <w:rFonts w:ascii="Arial" w:cs="Arial" w:eastAsia="Arial" w:hAnsi="Arial"/>
          <w:sz w:val="18"/>
          <w:szCs w:val="18"/>
          <w:b w:val="1"/>
          <w:bCs w:val="1"/>
          <w:color w:val="auto"/>
        </w:rPr>
        <w:t>Anticipated expenses and funding sources</w:t>
      </w:r>
      <w:r>
        <w:rPr>
          <w:sz w:val="20"/>
          <w:szCs w:val="20"/>
          <w:color w:val="auto"/>
        </w:rPr>
        <w:tab/>
      </w:r>
      <w:r>
        <w:rPr>
          <w:rFonts w:ascii="Arial" w:cs="Arial" w:eastAsia="Arial" w:hAnsi="Arial"/>
          <w:sz w:val="16"/>
          <w:szCs w:val="16"/>
          <w:color w:val="auto"/>
        </w:rPr>
        <w:t>Unless and until we complete our initial business combination, no</w:t>
      </w:r>
    </w:p>
    <w:p>
      <w:pPr>
        <w:spacing w:after="0" w:line="27" w:lineRule="exact"/>
        <w:rPr>
          <w:sz w:val="20"/>
          <w:szCs w:val="20"/>
          <w:color w:val="auto"/>
        </w:rPr>
      </w:pPr>
    </w:p>
    <w:p>
      <w:pPr>
        <w:ind w:left="4420"/>
        <w:spacing w:after="0" w:line="287" w:lineRule="auto"/>
        <w:rPr>
          <w:sz w:val="20"/>
          <w:szCs w:val="20"/>
          <w:color w:val="auto"/>
        </w:rPr>
      </w:pPr>
      <w:r>
        <w:rPr>
          <w:rFonts w:ascii="Arial" w:cs="Arial" w:eastAsia="Arial" w:hAnsi="Arial"/>
          <w:sz w:val="16"/>
          <w:szCs w:val="16"/>
          <w:color w:val="auto"/>
        </w:rPr>
        <w:t>proceeds held in the trust account will be available for our use, except the withdrawal of interest to pay taxes or to redeem our public shares in connection with an amendment to our amended and restated memorandum and articles of association, as described above. Based upon current interest rates, we expect the trust account to generate approximately $3,500,000 of interest annually (assuming an interest rate of 1.40% per year). Unless and until we complete our initial business combination, we may pay our expenses only from:</w:t>
      </w:r>
    </w:p>
    <w:p>
      <w:pPr>
        <w:spacing w:after="0" w:line="62" w:lineRule="exact"/>
        <w:rPr>
          <w:sz w:val="20"/>
          <w:szCs w:val="20"/>
          <w:color w:val="auto"/>
        </w:rPr>
      </w:pPr>
    </w:p>
    <w:p>
      <w:pPr>
        <w:ind w:left="4780" w:right="120" w:hanging="359"/>
        <w:spacing w:after="0" w:line="257" w:lineRule="auto"/>
        <w:tabs>
          <w:tab w:leader="none" w:pos="4760" w:val="left"/>
        </w:tabs>
        <w:rPr>
          <w:sz w:val="20"/>
          <w:szCs w:val="20"/>
          <w:color w:val="auto"/>
        </w:rPr>
      </w:pPr>
      <w:r>
        <w:rPr>
          <w:rFonts w:ascii="Arial" w:cs="Arial" w:eastAsia="Arial" w:hAnsi="Arial"/>
          <w:sz w:val="18"/>
          <w:szCs w:val="18"/>
          <w:color w:val="auto"/>
        </w:rPr>
        <w:t>•</w:t>
        <w:tab/>
        <w:t>the net proceeds of this offering and the sale of the private placement warrants not held in the trust account, which will be approximately $1,000,000 in working capital after the payment of approximately $1,000,000 in expenses relating to this offering; and</w:t>
      </w:r>
    </w:p>
    <w:p>
      <w:pPr>
        <w:spacing w:after="0" w:line="80" w:lineRule="exact"/>
        <w:rPr>
          <w:sz w:val="20"/>
          <w:szCs w:val="20"/>
          <w:color w:val="auto"/>
        </w:rPr>
      </w:pPr>
    </w:p>
    <w:p>
      <w:pPr>
        <w:jc w:val="both"/>
        <w:ind w:left="4780" w:right="100" w:hanging="359"/>
        <w:spacing w:after="0" w:line="291" w:lineRule="auto"/>
        <w:tabs>
          <w:tab w:leader="none" w:pos="4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any loans or additional investments from our sponsor, members of our management team or any of their affiliates or other third</w:t>
      </w:r>
    </w:p>
    <w:p>
      <w:pPr>
        <w:ind w:left="4780"/>
        <w:spacing w:after="0"/>
        <w:rPr>
          <w:sz w:val="20"/>
          <w:szCs w:val="20"/>
          <w:color w:val="auto"/>
        </w:rPr>
      </w:pPr>
      <w:r>
        <w:rPr>
          <w:rFonts w:ascii="Arial" w:cs="Arial" w:eastAsia="Arial" w:hAnsi="Arial"/>
          <w:sz w:val="17"/>
          <w:szCs w:val="17"/>
          <w:color w:val="auto"/>
        </w:rPr>
        <w:t>parties, although they are under no obligation to loan funds or</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invest in us; and provided that any such loans will not have any</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claim on the proceeds held in the trust account unless such</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proceeds are released to us upon completion of our initial</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business combination.</w:t>
      </w:r>
    </w:p>
    <w:p>
      <w:pPr>
        <w:sectPr>
          <w:pgSz w:w="11900" w:h="16838" w:orient="portrait"/>
          <w:cols w:equalWidth="0" w:num="1">
            <w:col w:w="9460"/>
          </w:cols>
          <w:pgMar w:left="1180" w:top="279" w:right="1259" w:bottom="1440" w:gutter="0" w:footer="0" w:header="0"/>
        </w:sectPr>
      </w:pPr>
    </w:p>
    <w:p>
      <w:pPr>
        <w:spacing w:after="0" w:line="99" w:lineRule="exact"/>
        <w:rPr>
          <w:sz w:val="20"/>
          <w:szCs w:val="20"/>
          <w:color w:val="auto"/>
        </w:rPr>
      </w:pPr>
    </w:p>
    <w:p>
      <w:pPr>
        <w:ind w:left="280" w:right="160" w:hanging="179"/>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There is no limitation on our ability to raise funds privately or through loans in connection with our initial business combination. The rules of Nasdaq require that our initial business combination occur with one or more target businesses that together have an aggregate fair market value of at least 80% of the</w:t>
      </w:r>
    </w:p>
    <w:p>
      <w:pPr>
        <w:spacing w:after="0" w:line="20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138" w:lineRule="exact"/>
        <w:rPr>
          <w:sz w:val="20"/>
          <w:szCs w:val="20"/>
          <w:color w:val="auto"/>
        </w:rPr>
      </w:pPr>
    </w:p>
    <w:p>
      <w:pPr>
        <w:ind w:left="4420" w:right="20"/>
        <w:spacing w:after="0" w:line="284" w:lineRule="auto"/>
        <w:rPr>
          <w:sz w:val="20"/>
          <w:szCs w:val="20"/>
          <w:color w:val="auto"/>
        </w:rPr>
      </w:pPr>
      <w:r>
        <w:rPr>
          <w:rFonts w:ascii="Arial" w:cs="Arial" w:eastAsia="Arial" w:hAnsi="Arial"/>
          <w:sz w:val="16"/>
          <w:szCs w:val="16"/>
          <w:color w:val="auto"/>
        </w:rPr>
        <w:t>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283" w:lineRule="exact"/>
        <w:rPr>
          <w:sz w:val="20"/>
          <w:szCs w:val="20"/>
          <w:color w:val="auto"/>
        </w:rPr>
      </w:pPr>
    </w:p>
    <w:p>
      <w:pPr>
        <w:ind w:left="4420"/>
        <w:spacing w:after="0" w:line="285" w:lineRule="auto"/>
        <w:rPr>
          <w:sz w:val="20"/>
          <w:szCs w:val="20"/>
          <w:color w:val="auto"/>
        </w:rPr>
      </w:pPr>
      <w:r>
        <w:rPr>
          <w:rFonts w:ascii="Arial" w:cs="Arial" w:eastAsia="Arial" w:hAnsi="Arial"/>
          <w:sz w:val="16"/>
          <w:szCs w:val="16"/>
          <w:color w:val="auto"/>
        </w:rPr>
        <w:t>We will complete our initial business combination only if the post-transaction company in which our public shareholders own shares will own or acquire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provided that in the event that our initial business combination involves more than one target business, the 80% fair market value test will be based on the aggregate value of all of the target businesses.</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7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6376035"/>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p>
      <w:pPr>
        <w:spacing w:after="0" w:line="262" w:lineRule="exact"/>
        <w:rPr>
          <w:sz w:val="20"/>
          <w:szCs w:val="20"/>
          <w:color w:val="auto"/>
        </w:rPr>
      </w:pPr>
    </w:p>
    <w:p>
      <w:pPr>
        <w:ind w:left="280" w:hanging="179"/>
        <w:spacing w:after="0" w:line="282" w:lineRule="auto"/>
        <w:rPr>
          <w:sz w:val="20"/>
          <w:szCs w:val="20"/>
          <w:color w:val="auto"/>
        </w:rPr>
      </w:pPr>
      <w:r>
        <w:rPr>
          <w:rFonts w:ascii="Arial" w:cs="Arial" w:eastAsia="Arial" w:hAnsi="Arial"/>
          <w:sz w:val="18"/>
          <w:szCs w:val="18"/>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2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do not currently anticipate that such purchases, if any, would constitute a tender offer subject to the tender offer rules under the Exchange Act or a going-private transaction subject to the going-private</w:t>
      </w:r>
    </w:p>
    <w:p>
      <w:pPr>
        <w:spacing w:after="0" w:line="200" w:lineRule="exact"/>
        <w:rPr>
          <w:sz w:val="20"/>
          <w:szCs w:val="20"/>
          <w:color w:val="auto"/>
        </w:rPr>
      </w:pPr>
    </w:p>
    <w:p>
      <w:pPr>
        <w:sectPr>
          <w:pgSz w:w="11900" w:h="16838" w:orient="portrait"/>
          <w:cols w:equalWidth="0" w:num="2">
            <w:col w:w="3800" w:space="620"/>
            <w:col w:w="5020"/>
          </w:cols>
          <w:pgMar w:left="1180" w:top="279" w:right="1279" w:bottom="1440" w:gutter="0" w:footer="0" w:header="0"/>
          <w:type w:val="continuous"/>
        </w:sect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160" w:type="dxa"/>
            <w:vAlign w:val="bottom"/>
            <w:tcBorders>
              <w:top w:val="single" w:sz="8" w:color="auto"/>
              <w:left w:val="single" w:sz="8" w:color="auto"/>
            </w:tcBorders>
          </w:tcPr>
          <w:p>
            <w:pPr>
              <w:spacing w:after="0"/>
              <w:rPr>
                <w:sz w:val="20"/>
                <w:szCs w:val="20"/>
                <w:color w:val="auto"/>
              </w:rPr>
            </w:pPr>
          </w:p>
        </w:tc>
        <w:tc>
          <w:tcPr>
            <w:tcW w:w="5440" w:type="dxa"/>
            <w:vAlign w:val="bottom"/>
            <w:tcBorders>
              <w:top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w w:val="94"/>
              </w:rPr>
              <w:t>rules under the Exchange Act; however, if the purchasers determine</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6"/>
              </w:rPr>
              <w:t>at the time of any such purchases that the purchases are subject to</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4"/>
              </w:rPr>
              <w:t>such rules, the purchasers will comply with such rules. Our sponsor,</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6"/>
              </w:rPr>
              <w:t>directors, officers, advisors or any of their affiliates will be restricted</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5"/>
              </w:rPr>
              <w:t>from making any purchases if such purchases would violate Section</w:t>
            </w:r>
          </w:p>
        </w:tc>
      </w:tr>
      <w:tr>
        <w:trPr>
          <w:trHeight w:val="230"/>
        </w:trPr>
        <w:tc>
          <w:tcPr>
            <w:tcW w:w="4160" w:type="dxa"/>
            <w:vAlign w:val="bottom"/>
            <w:tcBorders>
              <w:left w:val="single" w:sz="8" w:color="auto"/>
            </w:tcBorders>
          </w:tcPr>
          <w:p>
            <w:pPr>
              <w:spacing w:after="0"/>
              <w:rPr>
                <w:sz w:val="20"/>
                <w:szCs w:val="20"/>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9(a)(2) or Rule 10b-5 of the Exchange Act.</w:t>
            </w:r>
          </w:p>
        </w:tc>
      </w:tr>
      <w:tr>
        <w:trPr>
          <w:trHeight w:val="306"/>
        </w:trPr>
        <w:tc>
          <w:tcPr>
            <w:tcW w:w="41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Redemption rights for public shareholders upon</w:t>
            </w: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We will provide our public shareholders with the opportunity to</w:t>
            </w:r>
          </w:p>
        </w:tc>
      </w:tr>
      <w:tr>
        <w:trPr>
          <w:trHeight w:val="220"/>
        </w:trPr>
        <w:tc>
          <w:tcPr>
            <w:tcW w:w="4160" w:type="dxa"/>
            <w:vAlign w:val="bottom"/>
            <w:tcBorders>
              <w:left w:val="single" w:sz="8" w:color="auto"/>
            </w:tcBorders>
          </w:tcPr>
          <w:p>
            <w:pPr>
              <w:ind w:left="280"/>
              <w:spacing w:after="0"/>
              <w:rPr>
                <w:sz w:val="20"/>
                <w:szCs w:val="20"/>
                <w:color w:val="auto"/>
              </w:rPr>
            </w:pPr>
            <w:r>
              <w:rPr>
                <w:rFonts w:ascii="Arial" w:cs="Arial" w:eastAsia="Arial" w:hAnsi="Arial"/>
                <w:sz w:val="18"/>
                <w:szCs w:val="18"/>
                <w:b w:val="1"/>
                <w:bCs w:val="1"/>
                <w:color w:val="auto"/>
                <w:w w:val="95"/>
              </w:rPr>
              <w:t>completion of our initial business combination</w:t>
            </w:r>
            <w:r>
              <w:rPr>
                <w:rFonts w:ascii="Arial" w:cs="Arial" w:eastAsia="Arial" w:hAnsi="Arial"/>
                <w:sz w:val="18"/>
                <w:szCs w:val="18"/>
                <w:color w:val="auto"/>
                <w:w w:val="95"/>
              </w:rPr>
              <w:t>.</w:t>
            </w: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5"/>
              </w:rPr>
              <w:t>redeem all or a portion of their public shares upon the completion of</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3"/>
              </w:rPr>
              <w:t>our initial business combination at a per-share price, payable in cash,</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2"/>
              </w:rPr>
              <w:t>equal to the aggregate amount then on deposit in the trust account as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8"/>
              </w:rPr>
              <w:t>of two business days prior to the completion of our initial business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7"/>
              </w:rPr>
              <w:t>combination, including interest (which interest shall be net of taxes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payable), divided by the number of then issued and outstanding</w:t>
            </w:r>
          </w:p>
        </w:tc>
      </w:tr>
      <w:tr>
        <w:trPr>
          <w:trHeight w:val="230"/>
        </w:trPr>
        <w:tc>
          <w:tcPr>
            <w:tcW w:w="4160" w:type="dxa"/>
            <w:vAlign w:val="bottom"/>
            <w:tcBorders>
              <w:left w:val="single" w:sz="8" w:color="auto"/>
            </w:tcBorders>
          </w:tcPr>
          <w:p>
            <w:pPr>
              <w:spacing w:after="0"/>
              <w:rPr>
                <w:sz w:val="20"/>
                <w:szCs w:val="20"/>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public shares, subject to the limitations described herein.</w:t>
            </w:r>
          </w:p>
        </w:tc>
      </w:tr>
      <w:tr>
        <w:trPr>
          <w:trHeight w:val="310"/>
        </w:trPr>
        <w:tc>
          <w:tcPr>
            <w:tcW w:w="4160" w:type="dxa"/>
            <w:vAlign w:val="bottom"/>
            <w:tcBorders>
              <w:left w:val="single" w:sz="8" w:color="auto"/>
            </w:tcBorders>
          </w:tcPr>
          <w:p>
            <w:pPr>
              <w:spacing w:after="0"/>
              <w:rPr>
                <w:sz w:val="24"/>
                <w:szCs w:val="24"/>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7"/>
              </w:rPr>
              <w:t>The amount in the trust account is initially anticipated to be $10.00</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3"/>
              </w:rPr>
              <w:t>per public share. The per-share amount we will distribute to investors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3"/>
              </w:rPr>
              <w:t>who properly redeem their shares will not be reduced by the deferred</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6"/>
              </w:rPr>
              <w:t>underwriting commissions we will pay to the underwriter. There will</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7"/>
              </w:rPr>
              <w:t>be no redemption rights upon the completion of our initial business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9"/>
              </w:rPr>
              <w:t>combination with respect to our warrants. Our initial shareholders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4"/>
              </w:rPr>
              <w:t>have entered into a letter agreement with us, pursuant to which they</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9"/>
              </w:rPr>
              <w:t>have agreed to waive their redemption rights with respect to their</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2"/>
              </w:rPr>
              <w:t>founder shares and any public shares held by them in connection with</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4"/>
              </w:rPr>
              <w:t>the completion of our initial business combination. Our directors and</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4"/>
              </w:rPr>
              <w:t>officers have also entered into the letter agreement, imposing similar</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3"/>
              </w:rPr>
              <w:t>obligations on them with respect to public shares acquired by them, if</w:t>
            </w:r>
          </w:p>
        </w:tc>
      </w:tr>
      <w:tr>
        <w:trPr>
          <w:trHeight w:val="230"/>
        </w:trPr>
        <w:tc>
          <w:tcPr>
            <w:tcW w:w="4160" w:type="dxa"/>
            <w:vAlign w:val="bottom"/>
            <w:tcBorders>
              <w:left w:val="single" w:sz="8" w:color="auto"/>
            </w:tcBorders>
          </w:tcPr>
          <w:p>
            <w:pPr>
              <w:spacing w:after="0"/>
              <w:rPr>
                <w:sz w:val="20"/>
                <w:szCs w:val="20"/>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any.</w:t>
            </w:r>
          </w:p>
        </w:tc>
      </w:tr>
      <w:tr>
        <w:trPr>
          <w:trHeight w:val="310"/>
        </w:trPr>
        <w:tc>
          <w:tcPr>
            <w:tcW w:w="41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Manner of conducting redemptions</w:t>
            </w: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We will provide our public shareholders with the opportunity to</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5"/>
              </w:rPr>
              <w:t>redeem all or a portion of their public shares upon the completion of</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our initial business combination either (1) in connection with a</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6"/>
              </w:rPr>
              <w:t>shareholder meeting called to approve the business combination or</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8"/>
              </w:rPr>
              <w:t>(2) by means of a tender offer. The decision as to whether we will</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7"/>
              </w:rPr>
              <w:t>seek shareholder approval of a proposed business combination or</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8"/>
              </w:rPr>
              <w:t>conduct a tender offer will be made by us, solely in our discretion,</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9"/>
              </w:rPr>
              <w:t>and will be based on a variety of factors such as the timing of the</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3"/>
              </w:rPr>
              <w:t>transaction and whether the terms of the transaction would require us</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3"/>
              </w:rPr>
              <w:t>to seek shareholder approval under applicable law or stock exchange</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2"/>
              </w:rPr>
              <w:t>listing requirement. Asset acquisitions and share purchases would not</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6"/>
              </w:rPr>
              <w:t>typically require shareholder approval while direct mergers with our</w:t>
            </w:r>
          </w:p>
        </w:tc>
      </w:tr>
      <w:tr>
        <w:trPr>
          <w:trHeight w:val="216"/>
        </w:trPr>
        <w:tc>
          <w:tcPr>
            <w:tcW w:w="4160" w:type="dxa"/>
            <w:vAlign w:val="bottom"/>
            <w:tcBorders>
              <w:left w:val="single" w:sz="8" w:color="auto"/>
            </w:tcBorders>
          </w:tcPr>
          <w:p>
            <w:pPr>
              <w:spacing w:after="0"/>
              <w:rPr>
                <w:sz w:val="18"/>
                <w:szCs w:val="18"/>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w w:val="99"/>
              </w:rPr>
              <w:t>company where we do not survive, amalgamations pursuant to a</w:t>
            </w:r>
          </w:p>
        </w:tc>
      </w:tr>
      <w:tr>
        <w:trPr>
          <w:trHeight w:val="230"/>
        </w:trPr>
        <w:tc>
          <w:tcPr>
            <w:tcW w:w="4160" w:type="dxa"/>
            <w:vAlign w:val="bottom"/>
            <w:tcBorders>
              <w:left w:val="single" w:sz="8" w:color="auto"/>
            </w:tcBorders>
          </w:tcPr>
          <w:p>
            <w:pPr>
              <w:spacing w:after="0"/>
              <w:rPr>
                <w:sz w:val="20"/>
                <w:szCs w:val="20"/>
                <w:color w:val="auto"/>
              </w:rPr>
            </w:pPr>
          </w:p>
        </w:tc>
        <w:tc>
          <w:tcPr>
            <w:tcW w:w="544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scheme of arrangement and any</w:t>
            </w:r>
          </w:p>
        </w:tc>
      </w:tr>
      <w:tr>
        <w:trPr>
          <w:trHeight w:val="267"/>
        </w:trPr>
        <w:tc>
          <w:tcPr>
            <w:tcW w:w="4160" w:type="dxa"/>
            <w:vAlign w:val="bottom"/>
            <w:tcBorders>
              <w:left w:val="single" w:sz="8" w:color="auto"/>
              <w:bottom w:val="single" w:sz="8" w:color="auto"/>
            </w:tcBorders>
          </w:tcPr>
          <w:p>
            <w:pPr>
              <w:spacing w:after="0"/>
              <w:rPr>
                <w:sz w:val="23"/>
                <w:szCs w:val="23"/>
                <w:color w:val="auto"/>
              </w:rPr>
            </w:pPr>
          </w:p>
        </w:tc>
        <w:tc>
          <w:tcPr>
            <w:tcW w:w="54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4160" w:type="dxa"/>
            <w:vAlign w:val="bottom"/>
          </w:tcPr>
          <w:p>
            <w:pPr>
              <w:spacing w:after="0"/>
              <w:rPr>
                <w:sz w:val="24"/>
                <w:szCs w:val="24"/>
                <w:color w:val="auto"/>
              </w:rPr>
            </w:pPr>
          </w:p>
        </w:tc>
        <w:tc>
          <w:tcPr>
            <w:tcW w:w="5400" w:type="dxa"/>
            <w:vAlign w:val="bottom"/>
          </w:tcPr>
          <w:p>
            <w:pPr>
              <w:ind w:left="5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46"/>
        </w:trPr>
        <w:tc>
          <w:tcPr>
            <w:tcW w:w="4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4160" w:type="dxa"/>
            <w:vAlign w:val="bottom"/>
            <w:tcBorders>
              <w:left w:val="single" w:sz="8" w:color="auto"/>
            </w:tcBorders>
            <w:shd w:val="clear" w:color="auto" w:fill="000000"/>
          </w:tcPr>
          <w:p>
            <w:pPr>
              <w:spacing w:after="0"/>
              <w:rPr>
                <w:sz w:val="5"/>
                <w:szCs w:val="5"/>
                <w:color w:val="auto"/>
              </w:rPr>
            </w:pPr>
          </w:p>
        </w:tc>
        <w:tc>
          <w:tcPr>
            <w:tcW w:w="54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138" w:lineRule="exact"/>
        <w:rPr>
          <w:sz w:val="20"/>
          <w:szCs w:val="20"/>
          <w:color w:val="auto"/>
        </w:rPr>
      </w:pPr>
    </w:p>
    <w:p>
      <w:pPr>
        <w:ind w:left="4420" w:right="100"/>
        <w:spacing w:after="0" w:line="271" w:lineRule="auto"/>
        <w:rPr>
          <w:sz w:val="20"/>
          <w:szCs w:val="20"/>
          <w:color w:val="auto"/>
        </w:rPr>
      </w:pPr>
      <w:r>
        <w:rPr>
          <w:rFonts w:ascii="Arial" w:cs="Arial" w:eastAsia="Arial" w:hAnsi="Arial"/>
          <w:sz w:val="17"/>
          <w:szCs w:val="17"/>
          <w:color w:val="auto"/>
        </w:rPr>
        <w:t>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71" w:lineRule="exact"/>
        <w:rPr>
          <w:sz w:val="20"/>
          <w:szCs w:val="20"/>
          <w:color w:val="auto"/>
        </w:rPr>
      </w:pPr>
    </w:p>
    <w:p>
      <w:pPr>
        <w:jc w:val="both"/>
        <w:ind w:left="4420" w:right="200"/>
        <w:spacing w:after="0" w:line="312" w:lineRule="auto"/>
        <w:rPr>
          <w:sz w:val="20"/>
          <w:szCs w:val="20"/>
          <w:color w:val="auto"/>
        </w:rPr>
      </w:pPr>
      <w:r>
        <w:rPr>
          <w:rFonts w:ascii="Arial" w:cs="Arial" w:eastAsia="Arial" w:hAnsi="Arial"/>
          <w:sz w:val="16"/>
          <w:szCs w:val="16"/>
          <w:color w:val="auto"/>
        </w:rPr>
        <w:t>If a shareholder vote is not required and we do not decide to hold a shareholder vote for business or other reasons, we will, pursuant to our amended and restated memorandum and articles of association:</w:t>
      </w:r>
    </w:p>
    <w:p>
      <w:pPr>
        <w:spacing w:after="0" w:line="39" w:lineRule="exact"/>
        <w:rPr>
          <w:sz w:val="20"/>
          <w:szCs w:val="20"/>
          <w:color w:val="auto"/>
        </w:rPr>
      </w:pPr>
    </w:p>
    <w:p>
      <w:pPr>
        <w:ind w:left="4780" w:right="100" w:hanging="352"/>
        <w:spacing w:after="0" w:line="264" w:lineRule="auto"/>
        <w:tabs>
          <w:tab w:leader="none" w:pos="4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3" w:lineRule="exact"/>
        <w:rPr>
          <w:rFonts w:ascii="Arial" w:cs="Arial" w:eastAsia="Arial" w:hAnsi="Arial"/>
          <w:sz w:val="18"/>
          <w:szCs w:val="18"/>
          <w:color w:val="auto"/>
        </w:rPr>
      </w:pPr>
    </w:p>
    <w:p>
      <w:pPr>
        <w:ind w:left="4780" w:right="20" w:hanging="352"/>
        <w:spacing w:after="0" w:line="255" w:lineRule="auto"/>
        <w:tabs>
          <w:tab w:leader="none" w:pos="4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5" w:lineRule="exact"/>
        <w:rPr>
          <w:sz w:val="20"/>
          <w:szCs w:val="20"/>
          <w:color w:val="auto"/>
        </w:rPr>
      </w:pPr>
    </w:p>
    <w:p>
      <w:pPr>
        <w:ind w:left="4420" w:right="20"/>
        <w:spacing w:after="0" w:line="297" w:lineRule="auto"/>
        <w:rPr>
          <w:sz w:val="20"/>
          <w:szCs w:val="20"/>
          <w:color w:val="auto"/>
        </w:rPr>
      </w:pPr>
      <w:r>
        <w:rPr>
          <w:rFonts w:ascii="Arial" w:cs="Arial" w:eastAsia="Arial" w:hAnsi="Arial"/>
          <w:sz w:val="16"/>
          <w:szCs w:val="16"/>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50" w:lineRule="exact"/>
        <w:rPr>
          <w:sz w:val="20"/>
          <w:szCs w:val="20"/>
          <w:color w:val="auto"/>
        </w:rPr>
      </w:pPr>
    </w:p>
    <w:p>
      <w:pPr>
        <w:ind w:left="4420"/>
        <w:spacing w:after="0" w:line="267"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7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2825" cy="6376035"/>
                    </a:xfrm>
                    <a:prstGeom prst="rect">
                      <a:avLst/>
                    </a:prstGeom>
                    <a:noFill/>
                  </pic:spPr>
                </pic:pic>
              </a:graphicData>
            </a:graphic>
          </wp:anchor>
        </w:drawing>
      </w:r>
    </w:p>
    <w:p>
      <w:pPr>
        <w:spacing w:after="0" w:line="246" w:lineRule="exact"/>
        <w:rPr>
          <w:sz w:val="20"/>
          <w:szCs w:val="20"/>
          <w:color w:val="auto"/>
        </w:rPr>
      </w:pPr>
    </w:p>
    <w:p>
      <w:pPr>
        <w:ind w:left="4420" w:right="60"/>
        <w:spacing w:after="0" w:line="312" w:lineRule="auto"/>
        <w:rPr>
          <w:sz w:val="20"/>
          <w:szCs w:val="20"/>
          <w:color w:val="auto"/>
        </w:rPr>
      </w:pPr>
      <w:r>
        <w:rPr>
          <w:rFonts w:ascii="Arial" w:cs="Arial" w:eastAsia="Arial" w:hAnsi="Arial"/>
          <w:sz w:val="16"/>
          <w:szCs w:val="16"/>
          <w:color w:val="auto"/>
        </w:rPr>
        <w:t>If, however, shareholder approval of the transaction is required by applicable law or stock exchange listing requirement, or we decide to obtain shareholder approval for business or other reasons, we will:</w:t>
      </w:r>
    </w:p>
    <w:p>
      <w:pPr>
        <w:spacing w:after="0" w:line="39" w:lineRule="exact"/>
        <w:rPr>
          <w:sz w:val="20"/>
          <w:szCs w:val="20"/>
          <w:color w:val="auto"/>
        </w:rPr>
      </w:pPr>
    </w:p>
    <w:p>
      <w:pPr>
        <w:ind w:left="4780" w:right="60" w:hanging="352"/>
        <w:spacing w:after="0" w:line="259" w:lineRule="auto"/>
        <w:tabs>
          <w:tab w:leader="none" w:pos="4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78" w:lineRule="exact"/>
        <w:rPr>
          <w:rFonts w:ascii="Arial" w:cs="Arial" w:eastAsia="Arial" w:hAnsi="Arial"/>
          <w:sz w:val="18"/>
          <w:szCs w:val="18"/>
          <w:color w:val="auto"/>
        </w:rPr>
      </w:pPr>
    </w:p>
    <w:p>
      <w:pPr>
        <w:ind w:left="4780" w:hanging="352"/>
        <w:spacing w:after="0"/>
        <w:tabs>
          <w:tab w:leader="none" w:pos="4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4420" w:right="20"/>
        <w:spacing w:after="0" w:line="270" w:lineRule="auto"/>
        <w:rPr>
          <w:sz w:val="20"/>
          <w:szCs w:val="20"/>
          <w:color w:val="auto"/>
        </w:rPr>
      </w:pPr>
      <w:r>
        <w:rPr>
          <w:rFonts w:ascii="Arial" w:cs="Arial" w:eastAsia="Arial" w:hAnsi="Arial"/>
          <w:sz w:val="17"/>
          <w:szCs w:val="17"/>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70" w:lineRule="exact"/>
        <w:rPr>
          <w:sz w:val="20"/>
          <w:szCs w:val="20"/>
          <w:color w:val="auto"/>
        </w:rPr>
      </w:pPr>
    </w:p>
    <w:p>
      <w:pPr>
        <w:ind w:left="4420"/>
        <w:spacing w:after="0" w:line="267"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We expect that at the time of any shareholder vote relating to our initial business combination, our initial shareholders and their permitted transferees will own at least 20% of our issued and outstanding ordinary shares entitled to vote thereon. Our directors and officers also have agreed to vote in favor of our initial business combination with respect to public shares acquired by them, if any.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business combination.</w:t>
      </w:r>
    </w:p>
    <w:p>
      <w:pPr>
        <w:spacing w:after="0" w:line="80" w:lineRule="exact"/>
        <w:rPr>
          <w:sz w:val="20"/>
          <w:szCs w:val="20"/>
          <w:color w:val="auto"/>
        </w:rPr>
      </w:pPr>
    </w:p>
    <w:p>
      <w:pPr>
        <w:ind w:left="4420" w:right="80"/>
        <w:spacing w:after="0" w:line="302"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after payment of the deferred underwriting commissions, to be less than</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964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2825" cy="5964555"/>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right="180" w:hanging="179"/>
        <w:spacing w:after="0" w:line="282"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0" w:hanging="179"/>
        <w:spacing w:after="0" w:line="289"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w:t>
      </w:r>
    </w:p>
    <w:p>
      <w:pPr>
        <w:spacing w:after="0" w:line="7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w:t>
      </w:r>
    </w:p>
    <w:p>
      <w:pPr>
        <w:spacing w:after="0" w:line="200" w:lineRule="exact"/>
        <w:rPr>
          <w:sz w:val="20"/>
          <w:szCs w:val="20"/>
          <w:color w:val="auto"/>
        </w:rPr>
      </w:pPr>
    </w:p>
    <w:p>
      <w:pPr>
        <w:sectPr>
          <w:pgSz w:w="11900" w:h="16838" w:orient="portrait"/>
          <w:cols w:equalWidth="0" w:num="2">
            <w:col w:w="4000" w:space="420"/>
            <w:col w:w="5040"/>
          </w:cols>
          <w:pgMar w:left="1180" w:top="279" w:right="1259" w:bottom="1440" w:gutter="0" w:footer="0" w:header="0"/>
          <w:type w:val="continuous"/>
        </w:sect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964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2825" cy="5964555"/>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0" w:hanging="179"/>
        <w:spacing w:after="0" w:line="314" w:lineRule="auto"/>
        <w:rPr>
          <w:sz w:val="20"/>
          <w:szCs w:val="20"/>
          <w:color w:val="auto"/>
        </w:rPr>
      </w:pPr>
      <w:r>
        <w:rPr>
          <w:rFonts w:ascii="Arial" w:cs="Arial" w:eastAsia="Arial" w:hAnsi="Arial"/>
          <w:sz w:val="16"/>
          <w:szCs w:val="16"/>
          <w:b w:val="1"/>
          <w:bCs w:val="1"/>
          <w:color w:val="auto"/>
        </w:rPr>
        <w:t>Redemption Rights in connection with proposed amendments to our amended and restated memorandum and articles of association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27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other blank check companies have a provision in their constitutional documents which prohibits the amendment of certain constitutional provisions. Our amended and restated memorandum and articles of association will provide that any of its provisions (other than amendments relating to the appointment or removal of directors prior to our initial business combination, which require the approval of at least 90% of our ordinary shares voting in a general meeting), including those related to pre-business combination activity (including the requirement to deposit proceeds of this offering and the private placement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Our initial shareholders, who will beneficially own 20% of our ordinary shares upon the</w:t>
      </w:r>
    </w:p>
    <w:p>
      <w:pPr>
        <w:spacing w:after="0" w:line="200" w:lineRule="exact"/>
        <w:rPr>
          <w:sz w:val="20"/>
          <w:szCs w:val="20"/>
          <w:color w:val="auto"/>
        </w:rPr>
      </w:pPr>
    </w:p>
    <w:p>
      <w:pPr>
        <w:sectPr>
          <w:pgSz w:w="11900" w:h="16838" w:orient="portrait"/>
          <w:cols w:equalWidth="0" w:num="2">
            <w:col w:w="3800" w:space="620"/>
            <w:col w:w="5060"/>
          </w:cols>
          <w:pgMar w:left="1180" w:top="279" w:right="1239" w:bottom="1440" w:gutter="0" w:footer="0" w:header="0"/>
          <w:type w:val="continuous"/>
        </w:sect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895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2825" cy="5895975"/>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0" w:hanging="179"/>
        <w:spacing w:after="0" w:line="282" w:lineRule="auto"/>
        <w:rPr>
          <w:sz w:val="20"/>
          <w:szCs w:val="20"/>
          <w:color w:val="auto"/>
        </w:rPr>
      </w:pPr>
      <w:r>
        <w:rPr>
          <w:rFonts w:ascii="Arial" w:cs="Arial" w:eastAsia="Arial" w:hAnsi="Arial"/>
          <w:sz w:val="18"/>
          <w:szCs w:val="18"/>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closing of this offering (assuming they do not purchase any units in this offering), may participate in any vote to amend our amended and restated memorandum and articles of association and/or trust agreement and will have the discretion to vote in any manner they choose. Our sponsor, officers and directors have agreed, pursuant to a written agreement with us, that they will not propose any amendment to our amended and restated memorandum and articles of association</w:t>
      </w:r>
    </w:p>
    <w:p>
      <w:pPr>
        <w:spacing w:after="0" w:line="3" w:lineRule="exact"/>
        <w:rPr>
          <w:sz w:val="20"/>
          <w:szCs w:val="20"/>
          <w:color w:val="auto"/>
        </w:rPr>
      </w:pPr>
    </w:p>
    <w:p>
      <w:pPr>
        <w:ind w:firstLine="8"/>
        <w:spacing w:after="0" w:line="284" w:lineRule="auto"/>
        <w:tabs>
          <w:tab w:leader="none" w:pos="2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spacing w:after="0" w:line="6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shareholders who properly exercise their redemption rights as described above under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w:t>
      </w:r>
    </w:p>
    <w:p>
      <w:pPr>
        <w:spacing w:after="0" w:line="200" w:lineRule="exact"/>
        <w:rPr>
          <w:sz w:val="20"/>
          <w:szCs w:val="20"/>
          <w:color w:val="auto"/>
        </w:rPr>
      </w:pPr>
    </w:p>
    <w:p>
      <w:pPr>
        <w:sectPr>
          <w:pgSz w:w="11900" w:h="16838" w:orient="portrait"/>
          <w:cols w:equalWidth="0" w:num="2">
            <w:col w:w="3940" w:space="480"/>
            <w:col w:w="5060"/>
          </w:cols>
          <w:pgMar w:left="1180" w:top="279" w:right="1239" w:bottom="1440" w:gutter="0" w:footer="0" w:header="0"/>
          <w:type w:val="continuous"/>
        </w:sect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033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2825" cy="6033135"/>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80" w:hanging="179"/>
        <w:spacing w:after="0" w:line="347"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indebtedness incurred in completing our initial business combination, to fund the purchase of other companies or for working capital.</w:t>
      </w:r>
    </w:p>
    <w:p>
      <w:pPr>
        <w:spacing w:after="0" w:line="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sponsor, officers and directors have agreed that we will have only 18 months from the closing of this offering to complete our initial business combination. 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p>
    <w:p>
      <w:pPr>
        <w:spacing w:after="0" w:line="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18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18-month time frame. The underwriter has agreed to waive its rights to its deferred underwriting commission held in the trust account in the event we do not complete our initial business combination within the allotted time frame and, in such event, such amounts will be included with the funds held in the trust account that will be available to fund the redemption of our public shares.</w:t>
      </w:r>
    </w:p>
    <w:p>
      <w:pPr>
        <w:spacing w:after="0" w:line="6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memorandum and articles of association (A) to</w:t>
      </w:r>
    </w:p>
    <w:p>
      <w:pPr>
        <w:spacing w:after="0" w:line="200" w:lineRule="exact"/>
        <w:rPr>
          <w:sz w:val="20"/>
          <w:szCs w:val="20"/>
          <w:color w:val="auto"/>
        </w:rPr>
      </w:pPr>
    </w:p>
    <w:p>
      <w:pPr>
        <w:sectPr>
          <w:pgSz w:w="11900" w:h="16838" w:orient="portrait"/>
          <w:cols w:equalWidth="0" w:num="2">
            <w:col w:w="3920" w:space="500"/>
            <w:col w:w="5060"/>
          </w:cols>
          <w:pgMar w:left="1180" w:top="279" w:right="1239" w:bottom="1440" w:gutter="0" w:footer="0" w:header="0"/>
          <w:type w:val="continuous"/>
        </w:sect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138" w:lineRule="exact"/>
        <w:rPr>
          <w:sz w:val="20"/>
          <w:szCs w:val="20"/>
          <w:color w:val="auto"/>
        </w:rPr>
      </w:pPr>
    </w:p>
    <w:p>
      <w:pPr>
        <w:ind w:left="4420"/>
        <w:spacing w:after="0" w:line="286" w:lineRule="auto"/>
        <w:rPr>
          <w:sz w:val="20"/>
          <w:szCs w:val="20"/>
          <w:color w:val="auto"/>
        </w:rPr>
      </w:pPr>
      <w:r>
        <w:rPr>
          <w:rFonts w:ascii="Arial" w:cs="Arial" w:eastAsia="Arial" w:hAnsi="Arial"/>
          <w:sz w:val="16"/>
          <w:szCs w:val="16"/>
          <w:color w:val="auto"/>
        </w:rPr>
        <w:t>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ectPr>
          <w:pgSz w:w="11900" w:h="16838" w:orient="portrait"/>
          <w:cols w:equalWidth="0" w:num="1">
            <w:col w:w="9480"/>
          </w:cols>
          <w:pgMar w:left="1180" w:top="279" w:right="1239" w:bottom="1440" w:gutter="0" w:footer="0" w:header="0"/>
        </w:sectPr>
      </w:pPr>
    </w:p>
    <w:p>
      <w:pPr>
        <w:spacing w:after="0" w:line="5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will be no finder’s fees, reimbursements or cash payments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84" w:lineRule="exact"/>
        <w:rPr>
          <w:sz w:val="20"/>
          <w:szCs w:val="20"/>
          <w:color w:val="auto"/>
        </w:rPr>
      </w:pPr>
    </w:p>
    <w:p>
      <w:pPr>
        <w:sectPr>
          <w:pgSz w:w="11900" w:h="16838" w:orient="portrait"/>
          <w:cols w:equalWidth="0" w:num="2">
            <w:col w:w="3700" w:space="720"/>
            <w:col w:w="506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repayment of an aggregate of up to $250,000 in loans that may be made to us by our sponsor to cover offering-related and organizational expenses (as of June 30, 2019, we had borrowed $68,625 from our sponsor);</w:t>
      </w:r>
    </w:p>
    <w:p>
      <w:pPr>
        <w:spacing w:after="0" w:line="79"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payment to our sponsor of up to $20,000 per month for office space, administrative and support services;</w:t>
      </w:r>
    </w:p>
    <w:p>
      <w:pPr>
        <w:spacing w:after="0" w:line="62"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00"/>
        <w:spacing w:after="0" w:line="264" w:lineRule="auto"/>
        <w:rPr>
          <w:sz w:val="20"/>
          <w:szCs w:val="20"/>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73"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88" w:lineRule="auto"/>
        <w:rPr>
          <w:sz w:val="20"/>
          <w:szCs w:val="20"/>
          <w:color w:val="auto"/>
        </w:rPr>
      </w:pPr>
      <w:r>
        <w:rPr>
          <w:rFonts w:ascii="Arial" w:cs="Arial" w:eastAsia="Arial" w:hAnsi="Arial"/>
          <w:sz w:val="16"/>
          <w:szCs w:val="16"/>
          <w:color w:val="auto"/>
        </w:rPr>
        <w:t>repayment of loans which may be made by our sponsor or an affiliate of our sponsor or certain of our officers and directors to finance transaction costs in connection with an intended initial</w:t>
      </w:r>
    </w:p>
    <w:p>
      <w:pPr>
        <w:spacing w:after="0" w:line="1" w:lineRule="exact"/>
        <w:rPr>
          <w:sz w:val="20"/>
          <w:szCs w:val="20"/>
          <w:color w:val="auto"/>
        </w:rPr>
      </w:pPr>
    </w:p>
    <w:p>
      <w:pPr>
        <w:sectPr>
          <w:pgSz w:w="11900" w:h="16838" w:orient="portrait"/>
          <w:cols w:equalWidth="0" w:num="2">
            <w:col w:w="4500" w:space="280"/>
            <w:col w:w="4700"/>
          </w:cols>
          <w:pgMar w:left="1180" w:top="279" w:right="1239" w:bottom="1440" w:gutter="0" w:footer="0" w:header="0"/>
          <w:type w:val="continuous"/>
        </w:sectPr>
      </w:pPr>
    </w:p>
    <w:p>
      <w:pPr>
        <w:ind w:left="4780"/>
        <w:spacing w:after="0"/>
        <w:rPr>
          <w:sz w:val="20"/>
          <w:szCs w:val="20"/>
          <w:color w:val="auto"/>
        </w:rPr>
      </w:pPr>
      <w:r>
        <w:rPr>
          <w:rFonts w:ascii="Arial" w:cs="Arial" w:eastAsia="Arial" w:hAnsi="Arial"/>
          <w:sz w:val="18"/>
          <w:szCs w:val="18"/>
          <w:color w:val="auto"/>
        </w:rPr>
        <w:t>business combination, the terms of which have not been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determined nor have any written agreements been executed with</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respect thereto. Up to $1,500,000 of such loans may be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convertible into warrants at a price of $1.00 per warrant at the</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option of the lender. These payments may be funded using the</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net proceeds of this offering and the sale of the private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placement warrants not held in the trust account</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020" w:type="dxa"/>
            <w:vAlign w:val="bottom"/>
            <w:tcBorders>
              <w:top w:val="single" w:sz="8" w:color="auto"/>
              <w:left w:val="single" w:sz="8" w:color="auto"/>
            </w:tcBorders>
          </w:tcPr>
          <w:p>
            <w:pPr>
              <w:spacing w:after="0"/>
              <w:rPr>
                <w:sz w:val="20"/>
                <w:szCs w:val="20"/>
                <w:color w:val="auto"/>
              </w:rPr>
            </w:pPr>
          </w:p>
        </w:tc>
        <w:tc>
          <w:tcPr>
            <w:tcW w:w="6580" w:type="dxa"/>
            <w:vAlign w:val="bottom"/>
            <w:tcBorders>
              <w:top w:val="single" w:sz="8" w:color="auto"/>
              <w:right w:val="single" w:sz="8" w:color="auto"/>
            </w:tcBorders>
            <w:gridSpan w:val="2"/>
          </w:tcPr>
          <w:p>
            <w:pPr>
              <w:ind w:left="1760"/>
              <w:spacing w:after="0"/>
              <w:rPr>
                <w:sz w:val="20"/>
                <w:szCs w:val="20"/>
                <w:color w:val="auto"/>
              </w:rPr>
            </w:pPr>
            <w:r>
              <w:rPr>
                <w:rFonts w:ascii="Arial" w:cs="Arial" w:eastAsia="Arial" w:hAnsi="Arial"/>
                <w:sz w:val="18"/>
                <w:szCs w:val="18"/>
                <w:color w:val="auto"/>
                <w:w w:val="99"/>
              </w:rPr>
              <w:t>or, upon completion of the initial business combination, from</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760"/>
              <w:spacing w:after="0"/>
              <w:rPr>
                <w:sz w:val="20"/>
                <w:szCs w:val="20"/>
                <w:color w:val="auto"/>
              </w:rPr>
            </w:pPr>
            <w:r>
              <w:rPr>
                <w:rFonts w:ascii="Arial" w:cs="Arial" w:eastAsia="Arial" w:hAnsi="Arial"/>
                <w:sz w:val="18"/>
                <w:szCs w:val="18"/>
                <w:color w:val="auto"/>
                <w:w w:val="96"/>
              </w:rPr>
              <w:t>any amounts remaining from the proceeds of the trust account</w:t>
            </w:r>
          </w:p>
        </w:tc>
      </w:tr>
      <w:tr>
        <w:trPr>
          <w:trHeight w:val="230"/>
        </w:trPr>
        <w:tc>
          <w:tcPr>
            <w:tcW w:w="3020" w:type="dxa"/>
            <w:vAlign w:val="bottom"/>
            <w:tcBorders>
              <w:left w:val="single" w:sz="8" w:color="auto"/>
            </w:tcBorders>
          </w:tcPr>
          <w:p>
            <w:pPr>
              <w:spacing w:after="0"/>
              <w:rPr>
                <w:sz w:val="20"/>
                <w:szCs w:val="20"/>
                <w:color w:val="auto"/>
              </w:rPr>
            </w:pPr>
          </w:p>
        </w:tc>
        <w:tc>
          <w:tcPr>
            <w:tcW w:w="6580" w:type="dxa"/>
            <w:vAlign w:val="bottom"/>
            <w:tcBorders>
              <w:right w:val="single" w:sz="8" w:color="auto"/>
            </w:tcBorders>
            <w:gridSpan w:val="2"/>
          </w:tcPr>
          <w:p>
            <w:pPr>
              <w:ind w:left="1760"/>
              <w:spacing w:after="0"/>
              <w:rPr>
                <w:sz w:val="20"/>
                <w:szCs w:val="20"/>
                <w:color w:val="auto"/>
              </w:rPr>
            </w:pPr>
            <w:r>
              <w:rPr>
                <w:rFonts w:ascii="Arial" w:cs="Arial" w:eastAsia="Arial" w:hAnsi="Arial"/>
                <w:sz w:val="18"/>
                <w:szCs w:val="18"/>
                <w:color w:val="auto"/>
              </w:rPr>
              <w:t>released to us in connection therewith.</w:t>
            </w:r>
          </w:p>
        </w:tc>
      </w:tr>
      <w:tr>
        <w:trPr>
          <w:trHeight w:val="310"/>
        </w:trPr>
        <w:tc>
          <w:tcPr>
            <w:tcW w:w="30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Audit committee</w:t>
            </w: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5"/>
              </w:rPr>
              <w:t>Prior to the effectiveness of this registration statement, we will have</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9"/>
              </w:rPr>
              <w:t>established and will maintain an audit committee to, among other</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6"/>
              </w:rPr>
              <w:t>things, monitor compliance with the terms described above and the</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other terms relating to this offering. Our audit committee will also</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review on a quarterly basis all payments that were made to our</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8"/>
              </w:rPr>
              <w:t>sponsor, officers or directors, or our or any of their affiliates. If any</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3"/>
              </w:rPr>
              <w:t>noncompliance is identified, then the audit committee will be charged</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9"/>
              </w:rPr>
              <w:t>with the responsibility to immediately take all action necessary to</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7"/>
              </w:rPr>
              <w:t>rectify such noncompliance or otherwise to cause compliance with</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the terms of this offering. For more information, see the section</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entitled “Management—Committees of the Board of Directors—</w:t>
            </w:r>
          </w:p>
        </w:tc>
      </w:tr>
      <w:tr>
        <w:trPr>
          <w:trHeight w:val="230"/>
        </w:trPr>
        <w:tc>
          <w:tcPr>
            <w:tcW w:w="3020" w:type="dxa"/>
            <w:vAlign w:val="bottom"/>
            <w:tcBorders>
              <w:left w:val="single" w:sz="8" w:color="auto"/>
            </w:tcBorders>
          </w:tcPr>
          <w:p>
            <w:pPr>
              <w:spacing w:after="0"/>
              <w:rPr>
                <w:sz w:val="20"/>
                <w:szCs w:val="20"/>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Audit Committee.”</w:t>
            </w:r>
          </w:p>
        </w:tc>
      </w:tr>
      <w:tr>
        <w:trPr>
          <w:trHeight w:val="310"/>
        </w:trPr>
        <w:tc>
          <w:tcPr>
            <w:tcW w:w="30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Conflicts of interest</w:t>
            </w: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4"/>
              </w:rPr>
              <w:t>Certain of our officers and directors presently have, and any of them</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in the future may have, additional, fiduciary or contractual</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4"/>
              </w:rPr>
              <w:t>obligations to other entities pursuant to which such officer or director</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3"/>
              </w:rPr>
              <w:t>is or will be required to present a business combination opportunity to</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7"/>
              </w:rPr>
              <w:t>such entity. Accordingly, if any of our officers or directors becomes</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7"/>
              </w:rPr>
              <w:t>aware of a business combination opportunity that is suitable for an</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9"/>
              </w:rPr>
              <w:t>entity to which he or she has then-current fiduciary or contractual</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obligations, he or she may need to honor these fiduciary or</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contractual obligations to present such business combination</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opportunity to such entity, subject to their fiduciary duties under</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6"/>
              </w:rPr>
              <w:t>Cayman Islands law. We do not believe, however, that the fiduciary</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duties or contractual obligations of our officers or directors will</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materially affect our ability to complete our initial business</w:t>
            </w:r>
          </w:p>
        </w:tc>
      </w:tr>
      <w:tr>
        <w:trPr>
          <w:trHeight w:val="230"/>
        </w:trPr>
        <w:tc>
          <w:tcPr>
            <w:tcW w:w="3020" w:type="dxa"/>
            <w:vAlign w:val="bottom"/>
            <w:tcBorders>
              <w:left w:val="single" w:sz="8" w:color="auto"/>
            </w:tcBorders>
          </w:tcPr>
          <w:p>
            <w:pPr>
              <w:spacing w:after="0"/>
              <w:rPr>
                <w:sz w:val="20"/>
                <w:szCs w:val="20"/>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combination.</w:t>
            </w:r>
          </w:p>
        </w:tc>
      </w:tr>
      <w:tr>
        <w:trPr>
          <w:trHeight w:val="310"/>
        </w:trPr>
        <w:tc>
          <w:tcPr>
            <w:tcW w:w="30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Indemnity</w:t>
            </w: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4"/>
              </w:rPr>
              <w:t>Our sponsor has agreed that it will be liable to us if and to the extent</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5"/>
              </w:rPr>
              <w:t>any claims by a third party (other than our independent auditors) for</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services rendered or products sold to us, or a prospective target</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7"/>
              </w:rPr>
              <w:t>business with which we have discussed entering into a transaction</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4"/>
              </w:rPr>
              <w:t>agreement, reduce the amount of funds in the trust account to below</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2"/>
              </w:rPr>
              <w:t>(1) $10.00 per public share or (2) such lesser amount per public share</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6"/>
              </w:rPr>
              <w:t>held in the trust account as of the date of the liquidation of the trust</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1"/>
              </w:rPr>
              <w:t>account due to reductions in the value of the trust assets, in each case</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3"/>
              </w:rPr>
              <w:t>net of the interest which may be withdrawn to pay taxes, except as to</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rPr>
              <w:t>any claims by a third party who executed a waiver of any and all</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2"/>
              </w:rPr>
              <w:t>rights to seek access to the trust account and except as to any claims</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4"/>
              </w:rPr>
              <w:t>under our indemnity of the underwriter of this offering against certain</w:t>
            </w:r>
          </w:p>
        </w:tc>
      </w:tr>
      <w:tr>
        <w:trPr>
          <w:trHeight w:val="216"/>
        </w:trPr>
        <w:tc>
          <w:tcPr>
            <w:tcW w:w="302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7"/>
              </w:rPr>
              <w:t>liabilities, including liabilities under the Securities Act. Moreover, in</w:t>
            </w:r>
          </w:p>
        </w:tc>
      </w:tr>
      <w:tr>
        <w:trPr>
          <w:trHeight w:val="230"/>
        </w:trPr>
        <w:tc>
          <w:tcPr>
            <w:tcW w:w="3020" w:type="dxa"/>
            <w:vAlign w:val="bottom"/>
            <w:tcBorders>
              <w:left w:val="single" w:sz="8" w:color="auto"/>
            </w:tcBorders>
          </w:tcPr>
          <w:p>
            <w:pPr>
              <w:spacing w:after="0"/>
              <w:rPr>
                <w:sz w:val="20"/>
                <w:szCs w:val="20"/>
                <w:color w:val="auto"/>
              </w:rPr>
            </w:pPr>
          </w:p>
        </w:tc>
        <w:tc>
          <w:tcPr>
            <w:tcW w:w="6580" w:type="dxa"/>
            <w:vAlign w:val="bottom"/>
            <w:tcBorders>
              <w:right w:val="single" w:sz="8" w:color="auto"/>
            </w:tcBorders>
            <w:gridSpan w:val="2"/>
          </w:tcPr>
          <w:p>
            <w:pPr>
              <w:ind w:left="1400"/>
              <w:spacing w:after="0"/>
              <w:rPr>
                <w:sz w:val="20"/>
                <w:szCs w:val="20"/>
                <w:color w:val="auto"/>
              </w:rPr>
            </w:pPr>
            <w:r>
              <w:rPr>
                <w:rFonts w:ascii="Arial" w:cs="Arial" w:eastAsia="Arial" w:hAnsi="Arial"/>
                <w:sz w:val="18"/>
                <w:szCs w:val="18"/>
                <w:color w:val="auto"/>
                <w:w w:val="98"/>
              </w:rPr>
              <w:t>the event that an executed waiver is deemed to be unenforceable</w:t>
            </w:r>
          </w:p>
        </w:tc>
      </w:tr>
      <w:tr>
        <w:trPr>
          <w:trHeight w:val="267"/>
        </w:trPr>
        <w:tc>
          <w:tcPr>
            <w:tcW w:w="3020" w:type="dxa"/>
            <w:vAlign w:val="bottom"/>
            <w:tcBorders>
              <w:left w:val="single" w:sz="8" w:color="auto"/>
              <w:bottom w:val="single" w:sz="8" w:color="auto"/>
            </w:tcBorders>
          </w:tcPr>
          <w:p>
            <w:pPr>
              <w:spacing w:after="0"/>
              <w:rPr>
                <w:sz w:val="23"/>
                <w:szCs w:val="23"/>
                <w:color w:val="auto"/>
              </w:rPr>
            </w:pPr>
          </w:p>
        </w:tc>
        <w:tc>
          <w:tcPr>
            <w:tcW w:w="654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3020" w:type="dxa"/>
            <w:vAlign w:val="bottom"/>
          </w:tcPr>
          <w:p>
            <w:pPr>
              <w:spacing w:after="0"/>
              <w:rPr>
                <w:sz w:val="24"/>
                <w:szCs w:val="24"/>
                <w:color w:val="auto"/>
              </w:rPr>
            </w:pPr>
          </w:p>
        </w:tc>
        <w:tc>
          <w:tcPr>
            <w:tcW w:w="6540" w:type="dxa"/>
            <w:vAlign w:val="bottom"/>
          </w:tcPr>
          <w:p>
            <w:pPr>
              <w:ind w:left="166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r>
      <w:tr>
        <w:trPr>
          <w:trHeight w:val="446"/>
        </w:trPr>
        <w:tc>
          <w:tcPr>
            <w:tcW w:w="30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3020" w:type="dxa"/>
            <w:vAlign w:val="bottom"/>
            <w:tcBorders>
              <w:left w:val="single" w:sz="8" w:color="auto"/>
            </w:tcBorders>
            <w:shd w:val="clear" w:color="auto" w:fill="000000"/>
          </w:tcPr>
          <w:p>
            <w:pPr>
              <w:spacing w:after="0"/>
              <w:rPr>
                <w:sz w:val="5"/>
                <w:szCs w:val="5"/>
                <w:color w:val="auto"/>
              </w:rPr>
            </w:pPr>
          </w:p>
        </w:tc>
        <w:tc>
          <w:tcPr>
            <w:tcW w:w="65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09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2825" cy="5098415"/>
                    </a:xfrm>
                    <a:prstGeom prst="rect">
                      <a:avLst/>
                    </a:prstGeom>
                    <a:noFill/>
                  </pic:spPr>
                </pic:pic>
              </a:graphicData>
            </a:graphic>
          </wp:anchor>
        </w:drawing>
      </w:r>
    </w:p>
    <w:p>
      <w:pPr>
        <w:spacing w:after="0" w:line="138" w:lineRule="exact"/>
        <w:rPr>
          <w:sz w:val="20"/>
          <w:szCs w:val="20"/>
          <w:color w:val="auto"/>
        </w:rPr>
      </w:pPr>
    </w:p>
    <w:p>
      <w:pPr>
        <w:ind w:left="4420" w:right="60"/>
        <w:spacing w:after="0" w:line="272" w:lineRule="auto"/>
        <w:rPr>
          <w:sz w:val="20"/>
          <w:szCs w:val="20"/>
          <w:color w:val="auto"/>
        </w:rPr>
      </w:pPr>
      <w:r>
        <w:rPr>
          <w:rFonts w:ascii="Arial" w:cs="Arial" w:eastAsia="Arial" w:hAnsi="Arial"/>
          <w:sz w:val="17"/>
          <w:szCs w:val="17"/>
          <w:color w:val="auto"/>
        </w:rPr>
        <w:t>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w:t>
      </w:r>
    </w:p>
    <w:p>
      <w:pPr>
        <w:spacing w:after="0" w:line="121" w:lineRule="exact"/>
        <w:rPr>
          <w:sz w:val="20"/>
          <w:szCs w:val="20"/>
          <w:color w:val="auto"/>
        </w:rPr>
      </w:pPr>
    </w:p>
    <w:p>
      <w:pPr>
        <w:ind w:left="100" w:right="160"/>
        <w:spacing w:after="0" w:line="290" w:lineRule="auto"/>
        <w:rPr>
          <w:sz w:val="20"/>
          <w:szCs w:val="20"/>
          <w:color w:val="auto"/>
        </w:rPr>
      </w:pPr>
      <w:r>
        <w:rPr>
          <w:rFonts w:ascii="Arial" w:cs="Arial" w:eastAsia="Arial" w:hAnsi="Arial"/>
          <w:sz w:val="16"/>
          <w:szCs w:val="16"/>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of this prospectus entitled “Risk Factors.”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Financial Data</w:t>
      </w:r>
    </w:p>
    <w:p>
      <w:pPr>
        <w:spacing w:after="0" w:line="121" w:lineRule="exact"/>
        <w:rPr>
          <w:sz w:val="20"/>
          <w:szCs w:val="20"/>
          <w:color w:val="auto"/>
        </w:rPr>
      </w:pPr>
    </w:p>
    <w:p>
      <w:pPr>
        <w:ind w:left="100" w:right="40"/>
        <w:spacing w:after="0" w:line="329" w:lineRule="auto"/>
        <w:rPr>
          <w:sz w:val="20"/>
          <w:szCs w:val="20"/>
          <w:color w:val="auto"/>
        </w:rPr>
      </w:pPr>
      <w:r>
        <w:rPr>
          <w:rFonts w:ascii="Arial" w:cs="Arial" w:eastAsia="Arial" w:hAnsi="Arial"/>
          <w:sz w:val="16"/>
          <w:szCs w:val="16"/>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Balance Sheet Data:</w:t>
            </w:r>
          </w:p>
        </w:tc>
        <w:tc>
          <w:tcPr>
            <w:tcW w:w="92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(12,500)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32,500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295,281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Shareholder’s equity</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00" w:right="20"/>
        <w:spacing w:after="0" w:line="255" w:lineRule="auto"/>
        <w:rPr>
          <w:sz w:val="20"/>
          <w:szCs w:val="20"/>
          <w:color w:val="auto"/>
        </w:rPr>
      </w:pPr>
      <w:r>
        <w:rPr>
          <w:rFonts w:ascii="Arial" w:cs="Arial" w:eastAsia="Arial" w:hAnsi="Arial"/>
          <w:sz w:val="18"/>
          <w:szCs w:val="18"/>
          <w:color w:val="auto"/>
        </w:rPr>
        <w:t>If our initial business combination is not completed within 18 months from the closing of this offering, the proceeds then on deposit in the trust account, including interest (less up to $100,000 of interest to pay dissolution expenses and which interest shall be net of taxes payable), will be used to fund the redemption of our public shares.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such 18-month time period.</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12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newly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2019, we had no cash and a working capital deficiency of $295,281.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188"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ind w:right="8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7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6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64" w:lineRule="exact"/>
        <w:rPr>
          <w:sz w:val="20"/>
          <w:szCs w:val="20"/>
          <w:color w:val="auto"/>
        </w:rPr>
      </w:pPr>
    </w:p>
    <w:p>
      <w:pPr>
        <w:ind w:right="260"/>
        <w:spacing w:after="0" w:line="289" w:lineRule="auto"/>
        <w:rPr>
          <w:sz w:val="20"/>
          <w:szCs w:val="20"/>
          <w:color w:val="auto"/>
        </w:rPr>
      </w:pPr>
      <w:r>
        <w:rPr>
          <w:rFonts w:ascii="Arial" w:cs="Arial" w:eastAsia="Arial" w:hAnsi="Arial"/>
          <w:sz w:val="15"/>
          <w:szCs w:val="15"/>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18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18-month period. In addition, we may have limited time to conduct due diligence and may enter into our initial business combination on terms that we would have rejected upon a more comprehensive investigation.</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spacing w:after="0" w:line="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within 18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7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81" w:lineRule="exact"/>
        <w:rPr>
          <w:sz w:val="20"/>
          <w:szCs w:val="20"/>
          <w:color w:val="auto"/>
        </w:rPr>
      </w:pPr>
    </w:p>
    <w:p>
      <w:pPr>
        <w:ind w:right="840"/>
        <w:spacing w:after="0" w:line="357" w:lineRule="auto"/>
        <w:rPr>
          <w:sz w:val="20"/>
          <w:szCs w:val="20"/>
          <w:color w:val="auto"/>
        </w:rPr>
      </w:pPr>
      <w:r>
        <w:rPr>
          <w:rFonts w:ascii="Arial" w:cs="Arial" w:eastAsia="Arial" w:hAnsi="Arial"/>
          <w:sz w:val="15"/>
          <w:szCs w:val="15"/>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ind w:right="20"/>
        <w:spacing w:after="0" w:line="254" w:lineRule="auto"/>
        <w:rPr>
          <w:sz w:val="20"/>
          <w:szCs w:val="20"/>
          <w:color w:val="auto"/>
        </w:rPr>
      </w:pPr>
      <w:r>
        <w:rPr>
          <w:rFonts w:ascii="Arial" w:cs="Arial" w:eastAsia="Arial" w:hAnsi="Arial"/>
          <w:sz w:val="18"/>
          <w:szCs w:val="18"/>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“Proposed Business—Effecting Our Initial Business Combination—Tendering share certificates in connection with a tender offer or redemption rights.”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7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applied to have our units listed on Nasdaq. We expect that our units will be listed on Nasdaq on or promptly after the date of this prospectus. Following the date that our Class A ordinary shares and warrants are eligible to trade separately, we anticipate that our Class A ordinary shares and warrants will be listed separately on Nasdaq. Although, after giving effect to this offering,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73" w:lineRule="exact"/>
        <w:rPr>
          <w:sz w:val="20"/>
          <w:szCs w:val="20"/>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117"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the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66"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are obligated to pay cash for our Class A ordinary 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b w:val="1"/>
          <w:bCs w:val="1"/>
          <w:i w:val="1"/>
          <w:iCs w:val="1"/>
          <w:color w:val="auto"/>
        </w:rPr>
        <w:t>If the funds not being held in the trust account are insufficient to allow us to operate for at least the 18 months following the closing of this offering, we may be unable to complete our initial business combination.</w:t>
      </w:r>
    </w:p>
    <w:p>
      <w:pPr>
        <w:spacing w:after="0" w:line="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18 months following the closing of this offering,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5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believe that, upon the closing of this offering, the funds available to us outside of the trust account, will be sufficient to allow us to operate for at least the 18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6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If the net proceeds of this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Of the net proceeds of this offering and the sale of the private placement warrants,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claims against us, the proceeds held in the trust account could be reduced and the per-share redemption amount received by shareholders may be less than $10.00 per share” and other risk factors herein.</w:t>
      </w:r>
    </w:p>
    <w:p>
      <w:pPr>
        <w:spacing w:after="0" w:line="157"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Subsequent to our completion of our initial business combination, 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5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15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5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129"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currently not subject to.</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8" w:lineRule="exact"/>
        <w:rPr>
          <w:sz w:val="20"/>
          <w:szCs w:val="20"/>
          <w:color w:val="auto"/>
        </w:rPr>
      </w:pPr>
    </w:p>
    <w:p>
      <w:pPr>
        <w:ind w:right="660"/>
        <w:spacing w:after="0" w:line="307" w:lineRule="auto"/>
        <w:rPr>
          <w:sz w:val="20"/>
          <w:szCs w:val="20"/>
          <w:color w:val="auto"/>
        </w:rPr>
      </w:pPr>
      <w:r>
        <w:rPr>
          <w:rFonts w:ascii="Arial" w:cs="Arial" w:eastAsia="Arial" w:hAnsi="Arial"/>
          <w:sz w:val="16"/>
          <w:szCs w:val="16"/>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54"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b w:val="1"/>
          <w:bCs w:val="1"/>
          <w:i w:val="1"/>
          <w:iCs w:val="1"/>
          <w:color w:val="auto"/>
        </w:rPr>
        <w:t>If we are unable to consummate our initial business combination within 18 months of the closing of this offering, our public shareholders may be forced to wait beyond such 18 months before redemption from our trust account.</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unable to consummate our initial business combination within 18 months from the closing of this offering,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the initial 18 months before the redemption proceeds of our trust account become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15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spacing w:after="0" w:line="153"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b w:val="1"/>
          <w:bCs w:val="1"/>
          <w:i w:val="1"/>
          <w:iCs w:val="1"/>
          <w:color w:val="auto"/>
        </w:rPr>
        <w:t>We may not hold an annual general meeting of shareholders until after the completion of our initial business combination. Our public shareholders will not have the right to elect directors prior to the consummation of our Business Combination.</w:t>
      </w:r>
    </w:p>
    <w:p>
      <w:pPr>
        <w:spacing w:after="0" w:line="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15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169"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 See “—Risks Relating to the Cannabis Industry” for additional risks we may face in connection with our initial business combination.</w:t>
      </w:r>
    </w:p>
    <w:p>
      <w:pPr>
        <w:spacing w:after="0" w:line="17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Past performance by our management team and their affiliates may not be indicative of future performance of an investment in the Company.</w:t>
      </w:r>
    </w:p>
    <w:p>
      <w:pPr>
        <w:spacing w:after="0" w:line="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 (2) of success with respect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16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6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4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amended and restated memorandum and articles of association will authorize the issuance of ordinary shares, including 200,000,000 Class A ordinary shares, par value $0.0001 per share, and 20,000,000 Class B ordinary shares, par value $0.0001 per share, as well as 1,000,000 preferred shares, par value $0.0001. Immediately after this offering, there will be 155,500,000 and 13,750,000 (assuming that the underwriter has not exercised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over-allotment option)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this offering or (y) amend the foregoing provisions. The issuance of additional ordinary shares or preferred shares:</w:t>
      </w:r>
    </w:p>
    <w:p>
      <w:pPr>
        <w:spacing w:after="0" w:line="59"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62"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1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7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We may be a passive foreign investment company, or “PFIC,” which could result in adverse United States federal income tax consequences to U.S. investors.</w:t>
      </w:r>
    </w:p>
    <w:p>
      <w:pPr>
        <w:spacing w:after="0" w:line="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“Income Tax Considerations—United States Federal Income Taxation—General”)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“Income Tax Considerations—United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discussion of the tax consequences of PFIC classification to U.S. Holders, see the section of this prospectus captioned “Income Tax Considerations —United States Federal Income Taxation—U.S. Holders—Passive Foreign Investment Company Rules.”</w:t>
      </w:r>
    </w:p>
    <w:p>
      <w:pPr>
        <w:spacing w:after="0" w:line="16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8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officers and directors and their departure could adversely affect our ability to operate.</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and Mohammed Grimeh, our Chief Operating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164"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7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“Management—Directors, Director Nominees and Executive Officers.”</w:t>
      </w:r>
    </w:p>
    <w:p>
      <w:pPr>
        <w:spacing w:after="0" w:line="15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“Management—Directors, Director Nominees and Executive Officers,” “Management—Conflicts of Interest” and “Certain Relationships and Related Party Transactions.”</w:t>
      </w:r>
    </w:p>
    <w:p>
      <w:pPr>
        <w:spacing w:after="0" w:line="16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5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light of the involvement of our sponsor, officers and directors with other entities, we may decide to acquire one or more businesses affiliated with our sponsor, officers and directors. Our officers and directors also serve as officers and board members for other entities, including, without limitation, those described 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11, 2019, our sponsor subscribed for an aggregate of 7,187,500 founder shares for an aggregate purchase price of $25,000, or $0.004 per share (assuming the over-allotment option is not exercised and the forfeiture by our sponsor of 937,500 founder shares). As such, our initial shareholders will collectively own 20% of our issued and outstanding shares after this offering (assuming they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 The founder shares will be worthless if we do not complete an initial business combination. In addition, our sponsor has committed to purchase an aggregate of 7,000,000 (or 7,750,000 if the underwriter’s over-allotment option is exercised in full) private placement warrants, each exercisable to purchase one Class A ordinary share, for a purchase price of $7,000,000 in the aggregate (or $7,750,000 in the aggregate if the underwriter’s over-allotment option is exercised in full),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founder shares are identical to the ordinary shares included in the units being sold in this offering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deadline following the closing of this offering nears, which is the deadline for the completion of our initial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85" w:lineRule="exact"/>
        <w:rPr>
          <w:sz w:val="20"/>
          <w:szCs w:val="20"/>
          <w:color w:val="auto"/>
        </w:rPr>
      </w:pPr>
    </w:p>
    <w:p>
      <w:pPr>
        <w:ind w:left="700" w:right="38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73"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62" w:lineRule="exact"/>
        <w:rPr>
          <w:rFonts w:ascii="Arial" w:cs="Arial" w:eastAsia="Arial" w:hAnsi="Arial"/>
          <w:sz w:val="18"/>
          <w:szCs w:val="18"/>
          <w:color w:val="auto"/>
        </w:rPr>
      </w:pPr>
    </w:p>
    <w:p>
      <w:pPr>
        <w:ind w:left="700" w:right="340" w:hanging="356"/>
        <w:spacing w:after="0" w:line="26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8" w:lineRule="exact"/>
        <w:rPr>
          <w:sz w:val="20"/>
          <w:szCs w:val="20"/>
          <w:color w:val="auto"/>
        </w:rPr>
      </w:pPr>
    </w:p>
    <w:p>
      <w:pPr>
        <w:ind w:right="580"/>
        <w:spacing w:after="0" w:line="303" w:lineRule="auto"/>
        <w:rPr>
          <w:sz w:val="20"/>
          <w:szCs w:val="20"/>
          <w:color w:val="auto"/>
        </w:rPr>
      </w:pPr>
      <w:r>
        <w:rPr>
          <w:rFonts w:ascii="Arial" w:cs="Arial" w:eastAsia="Arial" w:hAnsi="Arial"/>
          <w:sz w:val="15"/>
          <w:szCs w:val="15"/>
          <w:b w:val="1"/>
          <w:bCs w:val="1"/>
          <w:i w:val="1"/>
          <w:iCs w:val="1"/>
          <w:color w:val="auto"/>
        </w:rPr>
        <w:t>We may be able to complete only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from this offering and the sale of the private placement warrants will provide us with $250,000,000 (or</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$287,500,000 if the underwriter’s over-allotment option is exercised in full) that we may use to complete our initial business combination (which includes $8,750,000, or up to $10,062,500 if the underwriter’s over-allotment option is exercised in full, of deferred underwriting commissions being held in the trust account).</w:t>
      </w:r>
    </w:p>
    <w:p>
      <w:pPr>
        <w:spacing w:after="0" w:line="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4"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dependent upon the development or market acceptance of a single or limited number of products, processes or services.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10"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54"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68"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58"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61"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exercise price of the public warrants is higher than is typical in many similar blank check companies in the past. Historically, the exercise price of a warrant was generally a fraction of the purchase price of the units in the initial public offering. The exercise price for our public warrants is $11.50 per share, subject to adjustment as provided herein. As a result, the warrants are more likely to expire worthless.</w:t>
      </w:r>
    </w:p>
    <w:p>
      <w:pPr>
        <w:spacing w:after="0" w:line="17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6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will provide that any of its provisions, including those related to pre-business combination activity (including the requirement to deposit proceeds of this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16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shareholder approval.</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of the agreements related to this offering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159"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we believe that the net proceeds of this offering and the sale of the private placement warrants will be sufficient to allow us to complete our initial business combination, because we have not yet selected any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4" w:lineRule="exact"/>
        <w:rPr>
          <w:sz w:val="20"/>
          <w:szCs w:val="20"/>
          <w:color w:val="auto"/>
        </w:rPr>
      </w:pPr>
    </w:p>
    <w:p>
      <w:pPr>
        <w:jc w:val="both"/>
        <w:ind w:right="160"/>
        <w:spacing w:after="0" w:line="303" w:lineRule="auto"/>
        <w:rPr>
          <w:sz w:val="20"/>
          <w:szCs w:val="20"/>
          <w:color w:val="auto"/>
        </w:rPr>
      </w:pPr>
      <w:r>
        <w:rPr>
          <w:rFonts w:ascii="Arial" w:cs="Arial" w:eastAsia="Arial" w:hAnsi="Arial"/>
          <w:sz w:val="15"/>
          <w:szCs w:val="15"/>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the closing of this offering, our initial shareholders will own 20% of our issued and outstanding ordinary shares (assuming they do not purchase any units in this offering).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this offering or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Our sponsor paid an aggregate of $25,000, or $0.004 per founder share (assuming the over-allotment option is not exercised and the forfeiture by our sponsor of 937,500 founder shares), and, accordingly, you will experience immediate and substantial dilution upon the purchase of our Class A ordinary shares.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ordinary shares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of $0.66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169" w:lineRule="exact"/>
        <w:rPr>
          <w:sz w:val="20"/>
          <w:szCs w:val="20"/>
          <w:color w:val="auto"/>
        </w:rPr>
      </w:pPr>
    </w:p>
    <w:p>
      <w:pPr>
        <w:ind w:right="660"/>
        <w:spacing w:after="0" w:line="367" w:lineRule="auto"/>
        <w:rPr>
          <w:sz w:val="20"/>
          <w:szCs w:val="20"/>
          <w:color w:val="auto"/>
        </w:rPr>
      </w:pPr>
      <w:r>
        <w:rPr>
          <w:rFonts w:ascii="Arial" w:cs="Arial" w:eastAsia="Arial" w:hAnsi="Arial"/>
          <w:sz w:val="18"/>
          <w:szCs w:val="18"/>
          <w:b w:val="1"/>
          <w:bCs w:val="1"/>
          <w:i w:val="1"/>
          <w:iCs w:val="1"/>
          <w:color w:val="auto"/>
        </w:rPr>
        <w:t xml:space="preserve">A provision of our warrant agreement may make it more difficult for us to consummate an initial business combination. </w:t>
      </w:r>
      <w:r>
        <w:rPr>
          <w:rFonts w:ascii="Arial" w:cs="Arial" w:eastAsia="Arial" w:hAnsi="Arial"/>
          <w:sz w:val="18"/>
          <w:szCs w:val="18"/>
          <w:color w:val="auto"/>
        </w:rPr>
        <w:t>Unlike most blank check companies, if</w:t>
      </w:r>
    </w:p>
    <w:p>
      <w:pPr>
        <w:spacing w:after="0" w:line="2" w:lineRule="exact"/>
        <w:rPr>
          <w:sz w:val="20"/>
          <w:szCs w:val="20"/>
          <w:color w:val="auto"/>
        </w:rPr>
      </w:pPr>
    </w:p>
    <w:p>
      <w:pPr>
        <w:ind w:left="700" w:right="140" w:hanging="356"/>
        <w:spacing w:after="0" w:line="342"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5" w:lineRule="exact"/>
        <w:rPr>
          <w:rFonts w:ascii="Arial" w:cs="Arial" w:eastAsia="Arial" w:hAnsi="Arial"/>
          <w:sz w:val="16"/>
          <w:szCs w:val="16"/>
          <w:color w:val="auto"/>
        </w:rPr>
      </w:pPr>
    </w:p>
    <w:p>
      <w:pPr>
        <w:ind w:left="700" w:right="14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7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15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7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will be issuing warrants to purchase 12,500,000 Class A ordinary shares (or up to 14,375,000 Class A ordinary shares if the underwriter’s over-allotment option is exercised in full), at a price of $11.50 per whole share (subject to adjustment as provided herein), as part of the units offered by this prospectus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simultaneously with the closing of this offering, we will be issuing in a private placement an aggregate of 7,000,000 (or 7,750,000 if the underwriter’s over-allotment option is exercised in full) private placement warrants, each exercisable to purchase one Class A ordinary share at a price of $11.50 per share, subject to adjustment as provided herein. Our initial shareholders currently hold 7,187,500 founder shares (up to 937,500 of which are subject to forfeiture by our sponsor depending on the extent to which the underwriter’s over-allotment option is exercised).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private placement warrants are identical to the warrants sold as part of the units in this offering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14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unit contains one-half of one warrant. Pursuant to the warrant agreement, no fractional warrants will be issued upon separation of the units, and only whole units will trade. This is different from other offerings similar to ours whose units include one ordinary share and one whole warrant to purchase one share. We have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will make us a more attractive business combination partner for target businesses. Nevertheless, this unit structure may cause our units to be worth less than if they included a warrant to purchase one whole share.</w:t>
      </w:r>
    </w:p>
    <w:p>
      <w:pPr>
        <w:spacing w:after="0" w:line="154"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 In determining the size of this offering, management held customary organizational meetings with representatives of the underwriter, both prior to our inception and thereafter, with respect to the state of capital markets, generally, and the amount the underwriter believed it reasonably could raise on our behalf. Factors considered in determining the size of this offering, prices and terms of the units, including the Class A ordinary shares and warrants underlying the units, include:</w:t>
      </w:r>
    </w:p>
    <w:p>
      <w:pPr>
        <w:spacing w:after="0" w:line="85"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5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5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54" w:lineRule="exact"/>
        <w:rPr>
          <w:sz w:val="20"/>
          <w:szCs w:val="20"/>
          <w:color w:val="auto"/>
        </w:rPr>
      </w:pPr>
    </w:p>
    <w:p>
      <w:pPr>
        <w:jc w:val="both"/>
        <w:ind w:right="620"/>
        <w:spacing w:after="0" w:line="235"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8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7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6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81"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ind w:right="20"/>
        <w:spacing w:after="0" w:line="257"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8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8"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5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will be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8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delayed in processing mail received at our registered office.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organisation which provides registered office services in the Cayman Islands) will bear any responsibility for any delay howsoever caused in mail reaching the forwarding address.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Cannabis Industry</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cannabis industry to which we may become subject.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successful in completing a business combination with a target business with operations in the cannabis industry, we will be subject to, and possibly adversely affected by, the following risks:</w:t>
      </w:r>
    </w:p>
    <w:p>
      <w:pPr>
        <w:spacing w:after="0" w:line="62" w:lineRule="exact"/>
        <w:rPr>
          <w:sz w:val="20"/>
          <w:szCs w:val="20"/>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p>
      <w:pPr>
        <w:spacing w:after="0" w:line="78"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current policies of the Trump Administration and the U.S. Department of Justice resulting in heightened enforcement of U.S. federal cannabis laws may negatively impact our ability to pursue our prospective business operations and/or generate revenues;</w:t>
      </w:r>
    </w:p>
    <w:p>
      <w:pPr>
        <w:spacing w:after="0" w:line="73" w:lineRule="exact"/>
        <w:rPr>
          <w:rFonts w:ascii="Arial" w:cs="Arial" w:eastAsia="Arial" w:hAnsi="Arial"/>
          <w:sz w:val="18"/>
          <w:szCs w:val="18"/>
          <w:color w:val="auto"/>
        </w:rPr>
      </w:pPr>
    </w:p>
    <w:p>
      <w:pPr>
        <w:ind w:left="700" w:right="240" w:hanging="356"/>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73" w:lineRule="exact"/>
        <w:rPr>
          <w:rFonts w:ascii="Arial" w:cs="Arial" w:eastAsia="Arial" w:hAnsi="Arial"/>
          <w:sz w:val="18"/>
          <w:szCs w:val="18"/>
          <w:color w:val="auto"/>
        </w:rPr>
      </w:pPr>
    </w:p>
    <w:p>
      <w:pPr>
        <w:ind w:left="700" w:right="60" w:hanging="356"/>
        <w:spacing w:after="0" w:line="286"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57" w:lineRule="exact"/>
        <w:rPr>
          <w:rFonts w:ascii="Arial" w:cs="Arial" w:eastAsia="Arial" w:hAnsi="Arial"/>
          <w:sz w:val="17"/>
          <w:szCs w:val="17"/>
          <w:color w:val="auto"/>
        </w:rPr>
      </w:pPr>
    </w:p>
    <w:p>
      <w:pPr>
        <w:ind w:left="700" w:right="42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62" w:lineRule="exact"/>
        <w:rPr>
          <w:rFonts w:ascii="Arial" w:cs="Arial" w:eastAsia="Arial" w:hAnsi="Arial"/>
          <w:sz w:val="18"/>
          <w:szCs w:val="18"/>
          <w:color w:val="auto"/>
        </w:rPr>
      </w:pPr>
    </w:p>
    <w:p>
      <w:pPr>
        <w:ind w:left="700" w:right="360" w:hanging="35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5" w:lineRule="exact"/>
        <w:rPr>
          <w:rFonts w:ascii="Arial" w:cs="Arial" w:eastAsia="Arial" w:hAnsi="Arial"/>
          <w:sz w:val="16"/>
          <w:szCs w:val="16"/>
          <w:color w:val="auto"/>
        </w:rPr>
      </w:pPr>
    </w:p>
    <w:p>
      <w:pPr>
        <w:ind w:left="700" w:hanging="35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5" w:lineRule="exact"/>
        <w:rPr>
          <w:rFonts w:ascii="Arial" w:cs="Arial" w:eastAsia="Arial" w:hAnsi="Arial"/>
          <w:sz w:val="16"/>
          <w:szCs w:val="16"/>
          <w:color w:val="auto"/>
        </w:rPr>
      </w:pPr>
    </w:p>
    <w:p>
      <w:pPr>
        <w:ind w:left="700" w:right="160" w:hanging="356"/>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73" w:lineRule="exact"/>
        <w:rPr>
          <w:rFonts w:ascii="Arial" w:cs="Arial" w:eastAsia="Arial" w:hAnsi="Arial"/>
          <w:sz w:val="18"/>
          <w:szCs w:val="18"/>
          <w:color w:val="auto"/>
        </w:rPr>
      </w:pPr>
    </w:p>
    <w:p>
      <w:pPr>
        <w:ind w:left="700" w:right="160" w:hanging="356"/>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73"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62" w:lineRule="exact"/>
        <w:rPr>
          <w:rFonts w:ascii="Arial" w:cs="Arial" w:eastAsia="Arial" w:hAnsi="Arial"/>
          <w:sz w:val="18"/>
          <w:szCs w:val="18"/>
          <w:color w:val="auto"/>
        </w:rPr>
      </w:pPr>
    </w:p>
    <w:p>
      <w:pPr>
        <w:ind w:left="700" w:right="320" w:hanging="356"/>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117" w:lineRule="exact"/>
        <w:rPr>
          <w:rFonts w:ascii="Arial" w:cs="Arial" w:eastAsia="Arial" w:hAnsi="Arial"/>
          <w:sz w:val="18"/>
          <w:szCs w:val="18"/>
          <w:color w:val="auto"/>
        </w:rPr>
      </w:pPr>
    </w:p>
    <w:p>
      <w:pPr>
        <w:ind w:left="700" w:right="20" w:hanging="356"/>
        <w:spacing w:after="0" w:line="31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38" w:lineRule="exact"/>
        <w:rPr>
          <w:rFonts w:ascii="Arial" w:cs="Arial" w:eastAsia="Arial" w:hAnsi="Arial"/>
          <w:sz w:val="16"/>
          <w:szCs w:val="16"/>
          <w:color w:val="auto"/>
        </w:rPr>
      </w:pPr>
    </w:p>
    <w:p>
      <w:pPr>
        <w:ind w:left="700" w:right="54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similar to those discussed above based on regulations of other jurisdictions in which a prospective target may operate or be organized 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an adverse impact on our operations following a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is currently illegal under U.S. federal law and in other jurisdictions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16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14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6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potential growth in the cannabis industry continues to be subject to new and changing state and local laws and regulations.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the laws, regulations and guidelines that impact our business may cause adverse effects on our operations.</w:t>
      </w:r>
    </w:p>
    <w:p>
      <w:pPr>
        <w:spacing w:after="0" w:line="12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 a highly regulated business will require significant resources.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Differing regulatory environments may cause adverse effects on our operations.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5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b w:val="1"/>
          <w:bCs w:val="1"/>
          <w:i w:val="1"/>
          <w:iCs w:val="1"/>
          <w:color w:val="auto"/>
        </w:rPr>
        <w:t>We may operate a highly regulated business and any failure or significant delay in obtaining regulatory approvals could adversely affect our ability to conduct our business.</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non-THC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7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15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55"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5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6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cannabis industry faces significant opposition, and any negative trends may adversely affect our business operations.</w:t>
      </w:r>
    </w:p>
    <w:p>
      <w:pPr>
        <w:spacing w:after="0" w:line="1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4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Competition from synthetic products may adversely affect the business, financial condition or results of operations of a potential target cannabis company.</w:t>
      </w:r>
    </w:p>
    <w:p>
      <w:pPr>
        <w:spacing w:after="0" w:line="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16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Consumer preferences may change, and the potential target business may be unsuccessful in acquiring or retaining consumers and keeping pace with changing market developments.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A potential target’s failure to acquire and retain consumers could have a material adverse effect on the potential target business.</w:t>
      </w:r>
    </w:p>
    <w:p>
      <w:pPr>
        <w:spacing w:after="0" w:line="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highly competitive and evolving.</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 party competitors to be in possession of superior technology that would reduce any relative competitiveness a potential business target may have.</w:t>
      </w:r>
    </w:p>
    <w:p>
      <w:pPr>
        <w:spacing w:after="0" w:line="74"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3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Given the rapid changes affecting the global, national, and regional economies generally and the cannabis industry, in particular, we may not be able to create and maintain a competitive advantage in the marketplace.</w:t>
      </w:r>
    </w:p>
    <w:p>
      <w:pPr>
        <w:spacing w:after="0" w:line="6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process and formulations a target company uses may face competition or become obsolete.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 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uncertainty in pricing and demand for cannabis-based products.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potential target company may have difficulty in forecasting sales and other business metrics.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17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We and our customers may have difficulty accessing the service of banks, which may make it difficult to sell products and services.</w:t>
      </w:r>
    </w:p>
    <w:p>
      <w:pPr>
        <w:spacing w:after="0" w:line="7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5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5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We, or the cannabis industry more generally, may receive unfavorable publicity or become subject to negative consumer or investor perception.</w:t>
      </w:r>
    </w:p>
    <w:p>
      <w:pPr>
        <w:spacing w:after="0" w:line="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55"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168"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b w:val="1"/>
          <w:bCs w:val="1"/>
          <w:i w:val="1"/>
          <w:iCs w:val="1"/>
          <w:color w:val="auto"/>
        </w:rPr>
        <w:t>Our reputation and ability to do business may be negatively impacted by the improper conduct of our business partners, employees or agents.</w:t>
      </w:r>
    </w:p>
    <w:p>
      <w:pPr>
        <w:spacing w:after="0" w:line="7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regulatory, legal or reputational risk associated with potential misuse of our products by our customers.</w:t>
      </w:r>
    </w:p>
    <w:p>
      <w:pPr>
        <w:spacing w:after="0" w:line="1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pacing w:after="0" w:line="16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A potential target company may not succeed in promoting and sustaining its brands, which could have an adverse effect on its future growth and business.</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cannabis industry is subject to the risks inherent in an agricultural business, including the risk of crop failure.</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cannabis industry is subject to transportation disruptions, including those related to an agricultural product.</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Due to the nature of a potential target cannabis company’s products, security of the product during transportation to and from its facilities may be important. A breach of security during transport or delivery could have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cannabis businesses are subject to significant environmental regulations and risks.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Many cannabis businesses are dependent on key personnel with sufficient experience in the cannabis industry.</w:t>
      </w:r>
    </w:p>
    <w:p>
      <w:pPr>
        <w:spacing w:after="0" w:line="1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a limited number of management teams in the cannabis industry that are familiar with U.S. securities laws.</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continuously maintain and retain a competitive talent pool with public company standards.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potential target company may be dependent on skilled labor and suppliers.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be greater than funds available to the potential target business, in which circumstance the potential target business may curtail, or extend the timeframes for completing, its capital expenditure plans. This could have a material adverse effect on the potential target's business, financial condition and results of operations.</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Fraudulent or illegal activity by employees, contractors and consultants may adversely affect our business, financial condition or results of operations.</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75"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ind w:right="120"/>
        <w:spacing w:after="0" w:line="286" w:lineRule="auto"/>
        <w:rPr>
          <w:sz w:val="20"/>
          <w:szCs w:val="20"/>
          <w:color w:val="auto"/>
        </w:rPr>
      </w:pPr>
      <w:r>
        <w:rPr>
          <w:rFonts w:ascii="Arial" w:cs="Arial" w:eastAsia="Arial" w:hAnsi="Arial"/>
          <w:sz w:val="16"/>
          <w:szCs w:val="16"/>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potential target company may be vulnerable to rising energy costs.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the extent we acquire cannabis businesses or assets, there may be a lack of access to U.S. bankruptcy protections.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Some statements contained in this prospectus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70"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62"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a business in the cannabis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4" w:name="page75"/>
    <w:bookmarkEnd w:id="7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7" w:right="180"/>
        <w:spacing w:after="0" w:line="329" w:lineRule="auto"/>
        <w:rPr>
          <w:sz w:val="20"/>
          <w:szCs w:val="20"/>
          <w:color w:val="auto"/>
        </w:rPr>
      </w:pPr>
      <w:r>
        <w:rPr>
          <w:rFonts w:ascii="Arial" w:cs="Arial" w:eastAsia="Arial" w:hAnsi="Arial"/>
          <w:sz w:val="16"/>
          <w:szCs w:val="16"/>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7"/>
              </w:rPr>
              <w:t>Without Over-</w:t>
            </w:r>
          </w:p>
        </w:tc>
        <w:tc>
          <w:tcPr>
            <w:tcW w:w="120" w:type="dxa"/>
            <w:vAlign w:val="bottom"/>
          </w:tcPr>
          <w:p>
            <w:pPr>
              <w:spacing w:after="0"/>
              <w:rPr>
                <w:sz w:val="14"/>
                <w:szCs w:val="1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Allotment Option</w:t>
            </w:r>
          </w:p>
        </w:tc>
        <w:tc>
          <w:tcPr>
            <w:tcW w:w="120" w:type="dxa"/>
            <w:vAlign w:val="bottom"/>
          </w:tcPr>
          <w:p>
            <w:pPr>
              <w:spacing w:after="0"/>
              <w:rPr>
                <w:sz w:val="15"/>
                <w:szCs w:val="15"/>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Option Exercised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line="243" w:lineRule="exact"/>
              <w:rPr>
                <w:sz w:val="20"/>
                <w:szCs w:val="20"/>
                <w:color w:val="auto"/>
              </w:rPr>
            </w:pPr>
            <w:r>
              <w:rPr>
                <w:rFonts w:ascii="Arial" w:cs="Arial" w:eastAsia="Arial" w:hAnsi="Arial"/>
                <w:sz w:val="17"/>
                <w:szCs w:val="17"/>
                <w:color w:val="auto"/>
              </w:rPr>
              <w:t>Gross proceeds from units offered to public</w:t>
            </w:r>
            <w:r>
              <w:rPr>
                <w:rFonts w:ascii="Arial" w:cs="Arial" w:eastAsia="Arial" w:hAnsi="Arial"/>
                <w:sz w:val="28"/>
                <w:szCs w:val="2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287,500,000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 from private placement warrants offered in the private placement</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spacing w:after="0"/>
              <w:rPr>
                <w:sz w:val="20"/>
                <w:szCs w:val="20"/>
                <w:color w:val="auto"/>
              </w:rPr>
            </w:pPr>
            <w:r>
              <w:rPr>
                <w:rFonts w:ascii="Arial" w:cs="Arial" w:eastAsia="Arial" w:hAnsi="Arial"/>
                <w:sz w:val="18"/>
                <w:szCs w:val="18"/>
                <w:color w:val="auto"/>
              </w:rPr>
              <w:t>Total gross proceeds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257,000,000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295,250,000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i w:val="1"/>
                <w:iCs w:val="1"/>
                <w:color w:val="auto"/>
              </w:rPr>
              <w:t>Estimated offering expenses</w:t>
            </w:r>
            <w:r>
              <w:rPr>
                <w:rFonts w:ascii="Arial" w:cs="Arial" w:eastAsia="Arial" w:hAnsi="Arial"/>
                <w:sz w:val="28"/>
                <w:szCs w:val="28"/>
                <w:i w:val="1"/>
                <w:iCs w:val="1"/>
                <w:color w:val="auto"/>
                <w:vertAlign w:val="superscript"/>
              </w:rPr>
              <w:t>(2)</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40" w:type="dxa"/>
            <w:vAlign w:val="bottom"/>
            <w:gridSpan w:val="2"/>
          </w:tcPr>
          <w:p>
            <w:pPr>
              <w:spacing w:after="0" w:line="206" w:lineRule="exact"/>
              <w:rPr>
                <w:sz w:val="20"/>
                <w:szCs w:val="20"/>
                <w:color w:val="auto"/>
              </w:rPr>
            </w:pPr>
            <w:r>
              <w:rPr>
                <w:rFonts w:ascii="Arial" w:cs="Arial" w:eastAsia="Arial" w:hAnsi="Arial"/>
                <w:sz w:val="18"/>
                <w:szCs w:val="18"/>
                <w:color w:val="auto"/>
              </w:rPr>
              <w:t>Underwriting commissions (2.0% of gross proceeds from units offered to public,</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5,750,000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160"/>
              <w:spacing w:after="0" w:line="226" w:lineRule="exact"/>
              <w:rPr>
                <w:sz w:val="20"/>
                <w:szCs w:val="20"/>
                <w:color w:val="auto"/>
              </w:rPr>
            </w:pPr>
            <w:r>
              <w:rPr>
                <w:rFonts w:ascii="Arial" w:cs="Arial" w:eastAsia="Arial" w:hAnsi="Arial"/>
                <w:sz w:val="16"/>
                <w:szCs w:val="16"/>
                <w:color w:val="auto"/>
              </w:rPr>
              <w:t>excluding deferred portion)</w:t>
            </w:r>
            <w:r>
              <w:rPr>
                <w:rFonts w:ascii="Arial" w:cs="Arial" w:eastAsia="Arial" w:hAnsi="Arial"/>
                <w:sz w:val="26"/>
                <w:szCs w:val="26"/>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SEC expenses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34,845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expenses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Travel and road show</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officers insurance premiums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Nasdaq listing and filing fees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line="236" w:lineRule="exact"/>
              <w:rPr>
                <w:sz w:val="20"/>
                <w:szCs w:val="20"/>
                <w:color w:val="auto"/>
              </w:rPr>
            </w:pPr>
            <w:r>
              <w:rPr>
                <w:rFonts w:ascii="Arial" w:cs="Arial" w:eastAsia="Arial" w:hAnsi="Arial"/>
                <w:sz w:val="17"/>
                <w:szCs w:val="17"/>
                <w:color w:val="auto"/>
              </w:rPr>
              <w:t>Miscellaneous expenses</w:t>
            </w:r>
            <w:r>
              <w:rPr>
                <w:rFonts w:ascii="Arial" w:cs="Arial" w:eastAsia="Arial" w:hAnsi="Arial"/>
                <w:sz w:val="27"/>
                <w:szCs w:val="27"/>
                <w:color w:val="auto"/>
                <w:vertAlign w:val="superscript"/>
              </w:rPr>
              <w:t>(4)</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244,030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Total estimated offering expenses (other than underwriting commissions)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estimated offering expenses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251,000,000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288,500,000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line="243" w:lineRule="exact"/>
              <w:rPr>
                <w:sz w:val="20"/>
                <w:szCs w:val="20"/>
                <w:color w:val="auto"/>
              </w:rPr>
            </w:pPr>
            <w:r>
              <w:rPr>
                <w:rFonts w:ascii="Arial" w:cs="Arial" w:eastAsia="Arial" w:hAnsi="Arial"/>
                <w:sz w:val="17"/>
                <w:szCs w:val="17"/>
                <w:color w:val="auto"/>
              </w:rPr>
              <w:t>Held in trust account</w:t>
            </w:r>
            <w:r>
              <w:rPr>
                <w:rFonts w:ascii="Arial" w:cs="Arial" w:eastAsia="Arial" w:hAnsi="Arial"/>
                <w:sz w:val="28"/>
                <w:szCs w:val="28"/>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287,500,000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14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Not held in trust account</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7"/>
        <w:spacing w:after="0" w:line="217"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9"/>
          <w:szCs w:val="29"/>
          <w:color w:val="auto"/>
          <w:vertAlign w:val="superscript"/>
        </w:rPr>
        <w:t>(5)</w:t>
      </w:r>
      <w:r>
        <w:rPr>
          <w:rFonts w:ascii="Arial" w:cs="Arial" w:eastAsia="Arial" w:hAnsi="Arial"/>
          <w:sz w:val="18"/>
          <w:szCs w:val="18"/>
          <w:color w:val="auto"/>
        </w:rPr>
        <w:t>.</w:t>
      </w:r>
    </w:p>
    <w:tbl>
      <w:tblPr>
        <w:tblLayout w:type="fixed"/>
        <w:tblInd w:w="7"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3"/>
              <w:spacing w:after="0" w:line="156"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40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 of Total</w:t>
            </w:r>
          </w:p>
        </w:tc>
      </w:tr>
      <w:tr>
        <w:trPr>
          <w:trHeight w:val="206"/>
        </w:trPr>
        <w:tc>
          <w:tcPr>
            <w:tcW w:w="20" w:type="dxa"/>
            <w:vAlign w:val="bottom"/>
          </w:tcPr>
          <w:p>
            <w:pPr>
              <w:spacing w:after="0"/>
              <w:rPr>
                <w:sz w:val="17"/>
                <w:szCs w:val="17"/>
                <w:color w:val="auto"/>
              </w:rPr>
            </w:pPr>
          </w:p>
        </w:tc>
        <w:tc>
          <w:tcPr>
            <w:tcW w:w="662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Legal, accounting, due diligence, travel and other expenses in connection with any</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3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4"/>
        </w:trPr>
        <w:tc>
          <w:tcPr>
            <w:tcW w:w="20" w:type="dxa"/>
            <w:vAlign w:val="bottom"/>
          </w:tcPr>
          <w:p>
            <w:pPr>
              <w:spacing w:after="0"/>
              <w:rPr>
                <w:sz w:val="22"/>
                <w:szCs w:val="22"/>
                <w:color w:val="auto"/>
              </w:rPr>
            </w:pPr>
          </w:p>
        </w:tc>
        <w:tc>
          <w:tcPr>
            <w:tcW w:w="6620" w:type="dxa"/>
            <w:vAlign w:val="bottom"/>
            <w:tcBorders>
              <w:right w:val="single" w:sz="8" w:color="CCEEFF"/>
            </w:tcBorders>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business combination</w:t>
            </w:r>
            <w:r>
              <w:rPr>
                <w:rFonts w:ascii="Arial" w:cs="Arial" w:eastAsia="Arial" w:hAnsi="Arial"/>
                <w:sz w:val="29"/>
                <w:szCs w:val="29"/>
                <w:color w:val="auto"/>
                <w:vertAlign w:val="superscript"/>
              </w:rPr>
              <w:t>(6)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r>
      <w:tr>
        <w:trPr>
          <w:trHeight w:val="256"/>
        </w:trPr>
        <w:tc>
          <w:tcPr>
            <w:tcW w:w="20" w:type="dxa"/>
            <w:vAlign w:val="bottom"/>
          </w:tcPr>
          <w:p>
            <w:pPr>
              <w:spacing w:after="0"/>
              <w:rPr>
                <w:sz w:val="22"/>
                <w:szCs w:val="22"/>
                <w:color w:val="auto"/>
              </w:rPr>
            </w:pPr>
          </w:p>
        </w:tc>
        <w:tc>
          <w:tcPr>
            <w:tcW w:w="6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liquidation expenses</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7"/>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Nasdaq continued listing fees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r>
      <w:tr>
        <w:trPr>
          <w:trHeight w:val="236"/>
        </w:trPr>
        <w:tc>
          <w:tcPr>
            <w:tcW w:w="20" w:type="dxa"/>
            <w:vAlign w:val="bottom"/>
          </w:tcPr>
          <w:p>
            <w:pPr>
              <w:spacing w:after="0"/>
              <w:rPr>
                <w:sz w:val="20"/>
                <w:szCs w:val="20"/>
                <w:color w:val="auto"/>
              </w:rPr>
            </w:pPr>
          </w:p>
        </w:tc>
        <w:tc>
          <w:tcPr>
            <w:tcW w:w="6620" w:type="dxa"/>
            <w:vAlign w:val="bottom"/>
            <w:tcBorders>
              <w:right w:val="single" w:sz="8" w:color="CCEEFF"/>
            </w:tcBorders>
            <w:gridSpan w:val="2"/>
            <w:shd w:val="clear" w:color="auto" w:fill="CCEEFF"/>
          </w:tcPr>
          <w:p>
            <w:pPr>
              <w:spacing w:after="0" w:line="236" w:lineRule="exact"/>
              <w:rPr>
                <w:sz w:val="20"/>
                <w:szCs w:val="20"/>
                <w:color w:val="auto"/>
              </w:rPr>
            </w:pPr>
            <w:r>
              <w:rPr>
                <w:rFonts w:ascii="Arial" w:cs="Arial" w:eastAsia="Arial" w:hAnsi="Arial"/>
                <w:sz w:val="17"/>
                <w:szCs w:val="17"/>
                <w:color w:val="auto"/>
              </w:rPr>
              <w:t>Other miscellaneous expenses, including overhead</w:t>
            </w:r>
            <w:r>
              <w:rPr>
                <w:rFonts w:ascii="Arial" w:cs="Arial" w:eastAsia="Arial" w:hAnsi="Arial"/>
                <w:sz w:val="27"/>
                <w:szCs w:val="27"/>
                <w:color w:val="auto"/>
                <w:vertAlign w:val="superscript"/>
              </w:rPr>
              <w:t>(7)</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80" w:type="dxa"/>
            <w:vAlign w:val="bottom"/>
            <w:tcBorders>
              <w:right w:val="single" w:sz="8" w:color="CCEEFF"/>
            </w:tcBorders>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20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520" w:hanging="347"/>
        <w:spacing w:after="0" w:line="273" w:lineRule="auto"/>
        <w:tabs>
          <w:tab w:leader="none" w:pos="3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amounts payable to public shareholders who properly redeem their shares in connection with our successful completion of our initial business combination.</w:t>
      </w:r>
    </w:p>
    <w:p>
      <w:pPr>
        <w:spacing w:after="0" w:line="65" w:lineRule="exact"/>
        <w:rPr>
          <w:rFonts w:ascii="Arial" w:cs="Arial" w:eastAsia="Arial" w:hAnsi="Arial"/>
          <w:sz w:val="14"/>
          <w:szCs w:val="14"/>
          <w:color w:val="auto"/>
        </w:rPr>
      </w:pPr>
    </w:p>
    <w:p>
      <w:pPr>
        <w:ind w:left="347" w:right="100" w:hanging="347"/>
        <w:spacing w:after="0" w:line="247" w:lineRule="auto"/>
        <w:tabs>
          <w:tab w:leader="none" w:pos="3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portion of the offering expenses have been paid from the proceeds of loans from our sponsor of up to $250,000 as described in this prospectus. As of June 30, 2019, we had borrowed $68,625 under the promissory note with our sponsor to be used for a portion of the expenses of this offering. These loans will be repaid upon completion of this offering out of the $1,000,000 of offering proceeds that has been allocated for the payment of offering expenses (other than underwriting commissions) not held in the trust account. These expenses are estimates only.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86" w:lineRule="exact"/>
        <w:rPr>
          <w:rFonts w:ascii="Arial" w:cs="Arial" w:eastAsia="Arial" w:hAnsi="Arial"/>
          <w:sz w:val="14"/>
          <w:szCs w:val="14"/>
          <w:color w:val="auto"/>
        </w:rPr>
      </w:pPr>
    </w:p>
    <w:p>
      <w:pPr>
        <w:ind w:left="347" w:right="260" w:hanging="347"/>
        <w:spacing w:after="0" w:line="252" w:lineRule="auto"/>
        <w:tabs>
          <w:tab w:leader="none" w:pos="3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underwriter has agreed to defer underwriting commissions equal to 3.5% of the gross proceeds of this offering. Upon completion of our initial business combination, $8,750,000 (or up to $10,062,500 if the underwriter’s over-allotment option is exercised in full), which constitutes the underwriter’s deferred commissions, will be paid to the underwriter from the funds held in the trust account, and the remaining funds, less amounts used to pay redeeming shareholders, will be released to us and can be used to pay all or a portion of</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5" w:name="page76"/>
    <w:bookmarkEnd w:id="7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both"/>
        <w:ind w:left="367" w:right="220"/>
        <w:spacing w:after="0" w:line="286" w:lineRule="auto"/>
        <w:rPr>
          <w:sz w:val="20"/>
          <w:szCs w:val="20"/>
          <w:color w:val="auto"/>
        </w:rPr>
      </w:pPr>
      <w:r>
        <w:rPr>
          <w:rFonts w:ascii="Arial" w:cs="Arial" w:eastAsia="Arial" w:hAnsi="Arial"/>
          <w:sz w:val="13"/>
          <w:szCs w:val="13"/>
          <w:color w:val="auto"/>
        </w:rPr>
        <w:t>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60" w:lineRule="exact"/>
        <w:rPr>
          <w:sz w:val="20"/>
          <w:szCs w:val="20"/>
          <w:color w:val="auto"/>
        </w:rPr>
      </w:pPr>
    </w:p>
    <w:p>
      <w:pPr>
        <w:ind w:left="347" w:hanging="347"/>
        <w:spacing w:after="0"/>
        <w:tabs>
          <w:tab w:leader="none" w:pos="34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organizational and administrative expenses and may include amounts related to above-listed expenses in the event actual amounts exceed estimates.</w:t>
      </w:r>
    </w:p>
    <w:p>
      <w:pPr>
        <w:spacing w:after="0" w:line="120" w:lineRule="exact"/>
        <w:rPr>
          <w:rFonts w:ascii="Arial" w:cs="Arial" w:eastAsia="Arial" w:hAnsi="Arial"/>
          <w:sz w:val="13"/>
          <w:szCs w:val="13"/>
          <w:color w:val="auto"/>
        </w:rPr>
      </w:pPr>
    </w:p>
    <w:p>
      <w:pPr>
        <w:ind w:left="347" w:right="40" w:hanging="347"/>
        <w:spacing w:after="0" w:line="263" w:lineRule="auto"/>
        <w:tabs>
          <w:tab w:leader="none" w:pos="347"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Based on current interest rates, we would expect approximately $3,500,000 to be available to us from interest earned on the funds held in the trust account over the 12 months following the closing of this offering; however, we can provide no assurances regarding this amount. This estimate assumes an interest rate of 1.40% per annum based upon current yields of securities in which the trust account may be invested. 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78" w:lineRule="exact"/>
        <w:rPr>
          <w:rFonts w:ascii="Arial" w:cs="Arial" w:eastAsia="Arial" w:hAnsi="Arial"/>
          <w:sz w:val="13"/>
          <w:szCs w:val="13"/>
          <w:color w:val="auto"/>
        </w:rPr>
      </w:pPr>
    </w:p>
    <w:p>
      <w:pPr>
        <w:ind w:left="347" w:right="100" w:hanging="347"/>
        <w:spacing w:after="0" w:line="273" w:lineRule="auto"/>
        <w:tabs>
          <w:tab w:leader="none" w:pos="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estimated amounts that may also be used in connection with our initial business combination to fund a “no shop” provision and commitment fees for financing.</w:t>
      </w:r>
    </w:p>
    <w:p>
      <w:pPr>
        <w:spacing w:after="0" w:line="65" w:lineRule="exact"/>
        <w:rPr>
          <w:rFonts w:ascii="Arial" w:cs="Arial" w:eastAsia="Arial" w:hAnsi="Arial"/>
          <w:sz w:val="14"/>
          <w:szCs w:val="14"/>
          <w:color w:val="auto"/>
        </w:rPr>
      </w:pPr>
    </w:p>
    <w:p>
      <w:pPr>
        <w:ind w:left="347" w:right="100" w:hanging="347"/>
        <w:spacing w:after="0" w:line="312" w:lineRule="auto"/>
        <w:tabs>
          <w:tab w:leader="none" w:pos="347"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these monthly fees.</w:t>
      </w:r>
    </w:p>
    <w:p>
      <w:pPr>
        <w:spacing w:after="0" w:line="34" w:lineRule="exact"/>
        <w:rPr>
          <w:sz w:val="20"/>
          <w:szCs w:val="20"/>
          <w:color w:val="auto"/>
        </w:rPr>
      </w:pPr>
    </w:p>
    <w:p>
      <w:pPr>
        <w:ind w:left="7"/>
        <w:spacing w:after="0" w:line="285"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Of the net proceeds of this offering and the sale of the private placement warrants, $250,000,000 (or $287,500,000 if the underwriter’s over-allotment option is exercised in full), including $8,750,000 (or up to $10,062,500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180 days or less or in money market funds investing solely in U.S. Treasuries and meeting certain conditions under Rule 2a-7 under the Investment Company Act. Based on current interest rates, we estimate that the interest earned on the trust account will be approximately $3,500,000 per year, assuming an interest rate of 1.40% per year. We will not be permitted to withdraw any of the principal or interest held in the trust account except for the withdrawal of interest to pay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Based on current interest rates, we expect that interest earned on the trust account will be sufficient to pay taxes.</w:t>
      </w:r>
    </w:p>
    <w:p>
      <w:pPr>
        <w:spacing w:after="0" w:line="62" w:lineRule="exact"/>
        <w:rPr>
          <w:sz w:val="20"/>
          <w:szCs w:val="20"/>
          <w:color w:val="auto"/>
        </w:rPr>
      </w:pPr>
    </w:p>
    <w:p>
      <w:pPr>
        <w:ind w:left="7"/>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9"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loan funds to, or invest in, us.</w:t>
      </w:r>
    </w:p>
    <w:p>
      <w:pPr>
        <w:spacing w:after="0" w:line="7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Prior to the closing of this offering, our sponsor has agreed to loan us up to $250,000 under an unsecured promissory note to be used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a portion of the expenses of this offering. As of June 30, 2019, we had borrowed $68,625 under the promissory note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sponsor to be used for a portion of the expenses of this offering. These loans are non-interest bearing, unsecured and are due 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earlier of January 31, 2020 or the closing of this offering. These loans will be repaid upon completion of this offering out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of offering proceeds that has been allocated for the payment of offering expenses (other than underwriting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held in the trust account.</w:t>
      </w:r>
    </w:p>
    <w:p>
      <w:pPr>
        <w:spacing w:after="0" w:line="10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officers, advisors or any of their affiliates may also purchase shares in privately negotiated transactions or in the open market either prior to or following the completion of our initial business combination. Please see “Proposed Business—Permitted purchases of our securities” for a description of how such persons will determine from which shareholders to seek to acquire shares. The price per share paid in any such transaction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 and the agreement for our initial business combination may require as a closing condition that we have a minimum net worth or a certain amount of cash. If too many public shareholders exercise their redemption rights so that we cannot satisfy the net tangible asset requirement or any net worth or cash requirements, we would not proceed with such redemption of our public shares and the related business combination, and we instead may search for an alternate business combination.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public shareholder will be entitled to receive funds from the trust account only upon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In no other circumstances will a shareholder have any right or interest of any kind to or in the trust account.</w:t>
      </w:r>
    </w:p>
    <w:p>
      <w:pPr>
        <w:spacing w:after="0" w:line="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In addition, our initial shareholders have agreed to waive their rights to liquidating distributions from the trust account with respect to their founder shares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9" w:name="page80"/>
    <w:bookmarkEnd w:id="7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7" w:right="20"/>
        <w:spacing w:after="0" w:line="254" w:lineRule="auto"/>
        <w:rPr>
          <w:sz w:val="20"/>
          <w:szCs w:val="20"/>
          <w:color w:val="auto"/>
        </w:rPr>
      </w:pPr>
      <w:r>
        <w:rPr>
          <w:rFonts w:ascii="Arial" w:cs="Arial" w:eastAsia="Arial" w:hAnsi="Arial"/>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issued and outstanding Class A ordinary shares.</w:t>
      </w:r>
    </w:p>
    <w:p>
      <w:pPr>
        <w:spacing w:after="0" w:line="84" w:lineRule="exact"/>
        <w:rPr>
          <w:sz w:val="20"/>
          <w:szCs w:val="20"/>
          <w:color w:val="auto"/>
        </w:rPr>
      </w:pPr>
    </w:p>
    <w:p>
      <w:pPr>
        <w:ind w:left="7"/>
        <w:spacing w:after="0" w:line="253" w:lineRule="auto"/>
        <w:rPr>
          <w:sz w:val="20"/>
          <w:szCs w:val="20"/>
          <w:color w:val="auto"/>
        </w:rPr>
      </w:pPr>
      <w:r>
        <w:rPr>
          <w:rFonts w:ascii="Arial" w:cs="Arial" w:eastAsia="Arial" w:hAnsi="Arial"/>
          <w:sz w:val="18"/>
          <w:szCs w:val="18"/>
          <w:color w:val="auto"/>
        </w:rPr>
        <w:t>At June 30, 2019, our net tangible book value was a deficiency of $295,281, or approximately $(0.04) per ordinary share. After giving effect to the sale of 25,000,000 Class A ordinary shares included in the units we are offering by this prospectus, the sale of the private placement warrants and the deduction of underwriting commissions and estimated expenses of this offering, our pro forma net tangible book value at June 30, 2019 would have been $5,000,010 or $0.66 per share, representing an immediate increase in net tangible book value (as decreased by the value of 23,726,999 Class A ordinary shares that may be redeemed for cash and assuming no exercise of the underwriter’s over-allotment option) of 0.70 per share to our initial shareholders as of the date of this prospectus and an immediate dilution of $9.34 per share or 93.40% to our public shareholders not exercising their redemption rights. The dilution to new investors if the underwriter exercises the over-allotment option in full would be an immediate dilution of $9.42 per share or 94.20%.</w:t>
      </w:r>
    </w:p>
    <w:p>
      <w:pPr>
        <w:spacing w:after="0" w:line="89" w:lineRule="exact"/>
        <w:rPr>
          <w:sz w:val="20"/>
          <w:szCs w:val="20"/>
          <w:color w:val="auto"/>
        </w:rPr>
      </w:pPr>
    </w:p>
    <w:p>
      <w:pPr>
        <w:ind w:left="7" w:right="38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Without</w:t>
            </w:r>
          </w:p>
        </w:tc>
        <w:tc>
          <w:tcPr>
            <w:tcW w:w="12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Over-allotment</w:t>
            </w:r>
          </w:p>
        </w:tc>
        <w:tc>
          <w:tcPr>
            <w:tcW w:w="12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Over-allotment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w w:val="96"/>
              </w:rPr>
              <w:t>Pro forma net tangible book value after this offering and the sale of the private placement</w:t>
            </w: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warrants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Percentage of dilution to new investors</w:t>
            </w:r>
          </w:p>
        </w:tc>
        <w:tc>
          <w:tcPr>
            <w:tcW w:w="12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93.40%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 w:right="40"/>
        <w:spacing w:after="0" w:line="293" w:lineRule="auto"/>
        <w:rPr>
          <w:sz w:val="20"/>
          <w:szCs w:val="20"/>
          <w:color w:val="auto"/>
        </w:rPr>
      </w:pPr>
      <w:r>
        <w:rPr>
          <w:rFonts w:ascii="Arial" w:cs="Arial" w:eastAsia="Arial" w:hAnsi="Arial"/>
          <w:sz w:val="16"/>
          <w:szCs w:val="16"/>
          <w:color w:val="auto"/>
        </w:rPr>
        <w:t>For purposes of presentation, we have reduced our pro forma net tangible book value after this offering (assuming no exercise of the underwriter’s over-allotment option) by $237,269,990 because holders of up to approximately 94.9% of our public shares may redeem their shares for a pro rata share of the aggregate amount then on deposit in the trust account at a per-share redemption price equal to the amount in the trust account as set forth in our tender offer or proxy materials (initially anticipated to be the aggregate amount held in trust two days prior to the commencement of our tender offer or shareholders meeting, including interest (which interest shall be net of taxes payable), divided by the number of Class A ordinary shares sold in this offering).</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 Price</w:t>
            </w: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Initial Shareholders</w:t>
            </w:r>
            <w:r>
              <w:rPr>
                <w:rFonts w:ascii="Arial" w:cs="Arial" w:eastAsia="Arial" w:hAnsi="Arial"/>
                <w:sz w:val="28"/>
                <w:szCs w:val="28"/>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2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0.004</w:t>
            </w:r>
          </w:p>
        </w:tc>
        <w:tc>
          <w:tcPr>
            <w:tcW w:w="100" w:type="dxa"/>
            <w:vAlign w:val="bottom"/>
            <w:shd w:val="clear" w:color="auto" w:fill="CCEEFF"/>
          </w:tcPr>
          <w:p>
            <w:pPr>
              <w:spacing w:after="0"/>
              <w:rPr>
                <w:sz w:val="21"/>
                <w:szCs w:val="2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Public Shareholders</w:t>
            </w: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250,000,000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99.99%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20" w:type="dxa"/>
            <w:vAlign w:val="bottom"/>
            <w:tcBorders>
              <w:right w:val="single" w:sz="8" w:color="CCEEFF"/>
            </w:tcBorders>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31,250,000</w:t>
            </w:r>
          </w:p>
        </w:tc>
        <w:tc>
          <w:tcPr>
            <w:tcW w:w="160" w:type="dxa"/>
            <w:vAlign w:val="bottom"/>
            <w:shd w:val="clear" w:color="auto" w:fill="CCEEFF"/>
          </w:tcPr>
          <w:p>
            <w:pPr>
              <w:spacing w:after="0"/>
              <w:rPr>
                <w:sz w:val="24"/>
                <w:szCs w:val="24"/>
                <w:color w:val="auto"/>
              </w:rPr>
            </w:pP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250,025,000</w:t>
            </w:r>
          </w:p>
        </w:tc>
        <w:tc>
          <w:tcPr>
            <w:tcW w:w="12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right="300" w:hanging="347"/>
        <w:spacing w:after="0" w:line="273" w:lineRule="auto"/>
        <w:tabs>
          <w:tab w:leader="none" w:pos="34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Assumes the full forfeiture of 937,500 founder shares that are subject to forfeiture by our sponsor depending on the extent to which the underwriter’s over-allotment option is exercised.</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pro forma net tangible book value per share after this offering is calculated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Without</w:t>
            </w:r>
          </w:p>
        </w:tc>
        <w:tc>
          <w:tcPr>
            <w:tcW w:w="1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With</w:t>
            </w:r>
          </w:p>
        </w:tc>
      </w:tr>
      <w:tr>
        <w:trPr>
          <w:trHeight w:val="18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Over-allotment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Over-allotment</w:t>
            </w: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(295,281)</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(295,281)</w:t>
            </w: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this offering and sale of the private placement warrants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288,500,000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315,281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315,281</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(8,750,000)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(10,062,500)</w:t>
            </w:r>
          </w:p>
        </w:tc>
      </w:tr>
      <w:tr>
        <w:trPr>
          <w:trHeight w:val="243"/>
        </w:trPr>
        <w:tc>
          <w:tcPr>
            <w:tcW w:w="6960" w:type="dxa"/>
            <w:vAlign w:val="bottom"/>
            <w:gridSpan w:val="2"/>
          </w:tcPr>
          <w:p>
            <w:pPr>
              <w:spacing w:after="0"/>
              <w:rPr>
                <w:sz w:val="20"/>
                <w:szCs w:val="20"/>
                <w:color w:val="auto"/>
              </w:rPr>
            </w:pPr>
            <w:r>
              <w:rPr>
                <w:rFonts w:ascii="Arial" w:cs="Arial" w:eastAsia="Arial" w:hAnsi="Arial"/>
                <w:sz w:val="18"/>
                <w:szCs w:val="18"/>
                <w:color w:val="auto"/>
              </w:rPr>
              <w:t>Less: Proceeds held in trust subject to redemption</w:t>
            </w: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(237,269,990)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(273,457,490)</w:t>
            </w:r>
          </w:p>
        </w:tc>
      </w:tr>
      <w:tr>
        <w:trPr>
          <w:trHeight w:val="271"/>
        </w:trPr>
        <w:tc>
          <w:tcPr>
            <w:tcW w:w="20" w:type="dxa"/>
            <w:vAlign w:val="bottom"/>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outstanding prior to this offering</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Class B ordinary shares forfeited if over-allotment is not exercised</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(937,500)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included in the units offered</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28,750,000</w:t>
            </w:r>
          </w:p>
        </w:tc>
        <w:tc>
          <w:tcPr>
            <w:tcW w:w="100" w:type="dxa"/>
            <w:vAlign w:val="bottom"/>
            <w:shd w:val="clear" w:color="auto" w:fill="CCEEFF"/>
          </w:tcPr>
          <w:p>
            <w:pPr>
              <w:spacing w:after="0"/>
              <w:rPr>
                <w:sz w:val="22"/>
                <w:szCs w:val="22"/>
                <w:color w:val="auto"/>
              </w:rPr>
            </w:pPr>
          </w:p>
        </w:tc>
      </w:tr>
      <w:tr>
        <w:trPr>
          <w:trHeight w:val="243"/>
        </w:trPr>
        <w:tc>
          <w:tcPr>
            <w:tcW w:w="6960" w:type="dxa"/>
            <w:vAlign w:val="bottom"/>
            <w:gridSpan w:val="2"/>
          </w:tcPr>
          <w:p>
            <w:pPr>
              <w:spacing w:after="0"/>
              <w:rPr>
                <w:sz w:val="20"/>
                <w:szCs w:val="20"/>
                <w:color w:val="auto"/>
              </w:rPr>
            </w:pPr>
            <w:r>
              <w:rPr>
                <w:rFonts w:ascii="Arial" w:cs="Arial" w:eastAsia="Arial" w:hAnsi="Arial"/>
                <w:sz w:val="18"/>
                <w:szCs w:val="18"/>
                <w:color w:val="auto"/>
              </w:rPr>
              <w:t>Less: Ordinary shares subject to redemption/tender</w:t>
            </w: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(23,726,999)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(27,345,749)</w:t>
            </w:r>
          </w:p>
        </w:tc>
      </w:tr>
      <w:tr>
        <w:trPr>
          <w:trHeight w:val="271"/>
        </w:trPr>
        <w:tc>
          <w:tcPr>
            <w:tcW w:w="20" w:type="dxa"/>
            <w:vAlign w:val="bottom"/>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7,523,001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8,591,751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2"/>
        </w:trPr>
        <w:tc>
          <w:tcPr>
            <w:tcW w:w="6960" w:type="dxa"/>
            <w:vAlign w:val="bottom"/>
            <w:gridSpan w:val="2"/>
          </w:tcPr>
          <w:p>
            <w:pPr>
              <w:jc w:val="right"/>
              <w:ind w:right="20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81" w:name="page82"/>
    <w:bookmarkEnd w:id="8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7" w:right="40"/>
        <w:spacing w:after="0" w:line="286" w:lineRule="auto"/>
        <w:rPr>
          <w:sz w:val="20"/>
          <w:szCs w:val="20"/>
          <w:color w:val="auto"/>
        </w:rPr>
      </w:pPr>
      <w:r>
        <w:rPr>
          <w:rFonts w:ascii="Arial" w:cs="Arial" w:eastAsia="Arial" w:hAnsi="Arial"/>
          <w:sz w:val="17"/>
          <w:szCs w:val="17"/>
          <w:color w:val="auto"/>
        </w:rPr>
        <w:t>The following table sets forth our capitalization at June 30, 2019, and as adjusted to give effect to the sale of our 25,000,000 units in this offering for $250,000,000 (or $10.00 per unit) and the sale of 7,000,000 private placement warrants for $7,000,000 (or $1.00 per warrant) and the application of the estimated net proceeds derived from the sale of such securities:</w:t>
      </w:r>
    </w:p>
    <w:p>
      <w:pPr>
        <w:spacing w:after="0" w:line="2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2"/>
              <w:spacing w:after="0" w:line="183"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Borders>
              <w:bottom w:val="single" w:sz="8" w:color="CCEEFF"/>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Note payable to related party</w:t>
            </w:r>
            <w:r>
              <w:rPr>
                <w:rFonts w:ascii="Arial" w:cs="Arial" w:eastAsia="Arial" w:hAnsi="Arial"/>
                <w:sz w:val="26"/>
                <w:szCs w:val="26"/>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68,625</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20" w:type="dxa"/>
            <w:vAlign w:val="bottom"/>
            <w:gridSpan w:val="3"/>
          </w:tcPr>
          <w:p>
            <w:pPr>
              <w:spacing w:after="0"/>
              <w:rPr>
                <w:sz w:val="20"/>
                <w:szCs w:val="20"/>
                <w:color w:val="auto"/>
              </w:rPr>
            </w:pPr>
            <w:r>
              <w:rPr>
                <w:rFonts w:ascii="Arial" w:cs="Arial" w:eastAsia="Arial" w:hAnsi="Arial"/>
                <w:sz w:val="18"/>
                <w:szCs w:val="18"/>
                <w:color w:val="auto"/>
              </w:rPr>
              <w:t>Deferred underwriting commissions</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0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w w:val="93"/>
              </w:rPr>
              <w:t>Class A ordinary shares, subject to redemption; -0- shares actual and 23,726,999 shares as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237,269,990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Borders>
              <w:bottom w:val="single" w:sz="8" w:color="CCEEFF"/>
              <w:right w:val="single" w:sz="8" w:color="CCEEFF"/>
            </w:tcBorders>
            <w:gridSpan w:val="2"/>
            <w:shd w:val="clear" w:color="auto" w:fill="CCEEFF"/>
          </w:tcPr>
          <w:p>
            <w:pPr>
              <w:ind w:left="160"/>
              <w:spacing w:after="0" w:line="226" w:lineRule="exact"/>
              <w:rPr>
                <w:sz w:val="20"/>
                <w:szCs w:val="20"/>
                <w:color w:val="auto"/>
              </w:rPr>
            </w:pPr>
            <w:r>
              <w:rPr>
                <w:rFonts w:ascii="Arial" w:cs="Arial" w:eastAsia="Arial" w:hAnsi="Arial"/>
                <w:sz w:val="16"/>
                <w:szCs w:val="16"/>
                <w:color w:val="auto"/>
              </w:rPr>
              <w:t>adjusted</w:t>
            </w:r>
            <w:r>
              <w:rPr>
                <w:rFonts w:ascii="Arial" w:cs="Arial" w:eastAsia="Arial" w:hAnsi="Arial"/>
                <w:sz w:val="26"/>
                <w:szCs w:val="26"/>
                <w:color w:val="auto"/>
                <w:vertAlign w:val="superscript"/>
              </w:rPr>
              <w:t>(3)</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right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Preferred shares, $0.0001 par value, 1,000,000 shares authorized; none issued and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outstanding, actual and as adjusted</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Class A ordinary shares, $0.0001 par value, 200,000,000 shares authorized; no shares issued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w w:val="94"/>
              </w:rPr>
              <w:t>and outstanding, actual; 1,273,001 shares issued and outstanding (excluding 23,726,999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shares subject to possible redemption), as adjusted</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Class B ordinary shares, $0.0001 par value; 20,000,000 shares authorized; 7,187,500 and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900" w:type="dxa"/>
            <w:vAlign w:val="bottom"/>
            <w:tcBorders>
              <w:right w:val="single" w:sz="8" w:color="CCEEFF"/>
            </w:tcBorders>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6,250,000 shares issued and outstanding, actual and as adjusted, respectively</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Additional paid-in capital</w:t>
            </w:r>
            <w:r>
              <w:rPr>
                <w:rFonts w:ascii="Arial" w:cs="Arial" w:eastAsia="Arial" w:hAnsi="Arial"/>
                <w:sz w:val="28"/>
                <w:szCs w:val="28"/>
                <w:color w:val="auto"/>
                <w:vertAlign w:val="superscript"/>
              </w:rPr>
              <w:t>(5)</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5,004,258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4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88,625</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251,020,000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140" w:hanging="347"/>
        <w:spacing w:after="0" w:line="312" w:lineRule="auto"/>
        <w:tabs>
          <w:tab w:leader="none" w:pos="3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w:t>
      </w:r>
    </w:p>
    <w:p>
      <w:pPr>
        <w:spacing w:after="0" w:line="43" w:lineRule="exact"/>
        <w:rPr>
          <w:rFonts w:ascii="Arial" w:cs="Arial" w:eastAsia="Arial" w:hAnsi="Arial"/>
          <w:sz w:val="13"/>
          <w:szCs w:val="13"/>
          <w:color w:val="auto"/>
        </w:rPr>
      </w:pPr>
    </w:p>
    <w:p>
      <w:pPr>
        <w:ind w:left="347" w:right="140" w:hanging="347"/>
        <w:spacing w:after="0" w:line="257"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the full forfeiture of 937,500 shares that are subject to forfeiture by our sponsor depending on the extent to which the underwriter’s over-allotment option is exercised. The proceeds of the sale of such shares will not be deposited into the trust account, the shares will not be eligible for redemption from the trust account nor will they be eligible to vote upon the initial business combination.</w:t>
      </w:r>
    </w:p>
    <w:p>
      <w:pPr>
        <w:spacing w:after="0" w:line="77" w:lineRule="exact"/>
        <w:rPr>
          <w:rFonts w:ascii="Arial" w:cs="Arial" w:eastAsia="Arial" w:hAnsi="Arial"/>
          <w:sz w:val="14"/>
          <w:szCs w:val="14"/>
          <w:color w:val="auto"/>
        </w:rPr>
      </w:pPr>
    </w:p>
    <w:p>
      <w:pPr>
        <w:ind w:left="347" w:right="60" w:hanging="347"/>
        <w:spacing w:after="0" w:line="266" w:lineRule="auto"/>
        <w:tabs>
          <w:tab w:leader="none" w:pos="3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shareholders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taxes payable), subject to the limitations described herein whereby our net tangible assets, after payment of the deferred underwriting commission, will be maintained at a minimum of $5,000,001 upon our initial business combination and any limitations (including, but not limited to, cash requirements) created by the terms of the proposed business combination. The “as adjusted” amount of Class A ordinary shares, subject to redemption equals the “as adjusted” total assets of $251,020,000, less the “as adjusted” total liabilities of $8,750,000, less the “as adjusted” total shareholder’s equity. The value of Class A ordinary shares that may be redeemed is equal to $10.00 per share (which is the assumed redemption price) multiplied by 23,726,999 Class A ordinary shares, which is the maximum number of Class A ordinary shares that may be redeemed for a $10.00 purchase price per share and still maintain at least $5,000,001 of net tangible assets.</w:t>
      </w:r>
    </w:p>
    <w:p>
      <w:pPr>
        <w:spacing w:after="0" w:line="75" w:lineRule="exact"/>
        <w:rPr>
          <w:rFonts w:ascii="Arial" w:cs="Arial" w:eastAsia="Arial" w:hAnsi="Arial"/>
          <w:sz w:val="13"/>
          <w:szCs w:val="13"/>
          <w:color w:val="auto"/>
        </w:rPr>
      </w:pPr>
    </w:p>
    <w:p>
      <w:pPr>
        <w:ind w:left="347" w:right="240" w:hanging="347"/>
        <w:spacing w:after="0" w:line="273"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Actual share amount is prior to any forfeiture of founder shares by our sponsor and as adjusted share amount assumes no exercise of the underwriter’s over-allotment option.</w:t>
      </w:r>
    </w:p>
    <w:p>
      <w:pPr>
        <w:spacing w:after="0" w:line="65" w:lineRule="exact"/>
        <w:rPr>
          <w:rFonts w:ascii="Arial" w:cs="Arial" w:eastAsia="Arial" w:hAnsi="Arial"/>
          <w:sz w:val="14"/>
          <w:szCs w:val="14"/>
          <w:color w:val="auto"/>
        </w:rPr>
      </w:pPr>
    </w:p>
    <w:p>
      <w:pPr>
        <w:ind w:left="347" w:right="440" w:hanging="347"/>
        <w:spacing w:after="0" w:line="273"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“as adjusted” additional paid-in capital calculation is equal to the “as adjusted” total shareholder’s equity of $5,000,010, minus Class A and Class B ordinary shares (par value) of $752, minus the accumulated deficit of $(5,000).</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warrants, our shares, debt or a combination of cash, shares and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17" w:lineRule="exact"/>
        <w:rPr>
          <w:sz w:val="20"/>
          <w:szCs w:val="20"/>
          <w:color w:val="auto"/>
        </w:rPr>
      </w:pPr>
    </w:p>
    <w:p>
      <w:pPr>
        <w:jc w:val="both"/>
        <w:ind w:left="700" w:right="12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of the Class B ordinary shares resulted in the issuance of Class A ordinary shares on a greater than one-to-one basis upon conversion of the Class B ordinary shares;</w:t>
      </w:r>
    </w:p>
    <w:p>
      <w:pPr>
        <w:spacing w:after="0" w:line="73"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62"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spacing w:after="0" w:line="73"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117" w:lineRule="exact"/>
        <w:rPr>
          <w:sz w:val="20"/>
          <w:szCs w:val="20"/>
          <w:color w:val="auto"/>
        </w:rPr>
      </w:pPr>
    </w:p>
    <w:p>
      <w:pPr>
        <w:ind w:left="700" w:right="38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73"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62" w:lineRule="exact"/>
        <w:rPr>
          <w:rFonts w:ascii="Arial" w:cs="Arial" w:eastAsia="Arial" w:hAnsi="Arial"/>
          <w:sz w:val="18"/>
          <w:szCs w:val="18"/>
          <w:color w:val="auto"/>
        </w:rPr>
      </w:pPr>
    </w:p>
    <w:p>
      <w:pPr>
        <w:ind w:left="700" w:right="34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As indicated in the accompanying financial statements, at June 30, 2019, we had deferred offering costs of approximately $315,281.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we expect to continue to incur significant costs in the pursuit of our acquisition plans.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our plans to raise capital or to complete our initial business combination will be successful.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liquidity needs have been satisfied prior to the completion of this offering from the availability of up to $250,000 in loans from our sponsor under an unsecured promissory note. As of June 30, 2019, we have borrowed $68,625 under the promissory note.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estimate that the net proceeds from (1) the sale of the units in this offering, after deducting offering expenses of approximately $1,000,000 and underwriting commissions of $5,000,000 ($5,750,000 if the underwriter’s over-allotment option is exercised in full) (excluding deferred underwriting commissions of $8,750,000 (or up to $10,062,500 if the underwriter’s over-allotment option is exercised in full)), and (2) the sale of the private placement warrants for a purchase price of $7,000,000 (or $7,750,000 if the underwriter’s over-allotment option is exercised in full), will be $251,000,000 (or $288,500,000 if the underwriter’s over-allotment option is exercised in full). Of this amount, $250,000,000 or $287,500,000 if the underwriter’s over-allotment option is exercised in full, including $8,750,000 (or up to $10,062,500 if the underwriter’s over-allotment option is exercised in full) in deferred underwriting commissions will be deposited into the trust account. The funds in the trust account will be invested only in U.S. government treasury bills with a maturity of 180 days or less or in money market funds investing solely in U.S. Treasuries. The remaining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(which interest shall be net of taxes payable and excluding deferred underwriting commissions) to complete our initial business combination. We may withdraw interest to pay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and franchise taxes, if any. To the extent that our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5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Prior to the completion of our initial business combination, we will have available to us $1,000,000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6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expect our primary liquidity requirements during that period to include approximately $450,000 for legal, accounting, due diligence, travel and other expenses in connection with any business combinations; $150,000 for legal and accounting fees related to regulatory reporting requirements; $75,000 for Nasdaq continued listing fees; $100,000 as a reserve for liquidation expenses and approximately $225,000 for general working capital that will be used for miscellaneous expenses, including overhead, and reserves net of estimated interest income.</w:t>
      </w:r>
    </w:p>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61"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2020. Only in the event that we are deemed to be a large accelerated filer or an accelerated filer, and no longer qualify as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8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54"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8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bills with a maturity of 180 days or less or in money market funds investing solely in U.S. Treasuries and meeting certain conditions under Rule 2a-7 under the Investment Company Act. Due to the short-term nature of these investments, we believe there will be no associated material exposure to interest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2019, our sponsor purchased 7,187,500 founder shares for an aggregate purchase price of $25,000, or $0.004 per share (assuming the over-allotment option is not exercised and the forfeiture by our sponsor of 937,500 founder shares). In connection with closing of this offering, our sponsor intends to grant sponsor LLC equity interests to our independent director nominees that collectively comprise approximately 1% of the outstanding equity interests in our sponsor. Our initial shareholders will collectively own 20% of our issued and outstanding shares after this offering (assuming our initial shareholders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7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w:t>
      </w:r>
    </w:p>
    <w:p>
      <w:pPr>
        <w:spacing w:after="0" w:line="73"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is no cap or ceiling on the reimbursement of out-of-pocket expenses incurred by such persons in connection with activities on our behalf.</w:t>
      </w:r>
    </w:p>
    <w:p>
      <w:pPr>
        <w:spacing w:after="0" w:line="7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sponsor has committed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The private placement warrants may also be exercised by our sponsor or its permitted transferees for cash or on a cashless basis and our sponsor and its permitted transferees will also have certain registration rights related to the private placement warrants, as described below. Otherwise, the private placement warrants have terms and provisions that are identical to those of the warrants being sold as part of the units in this offering.</w:t>
      </w:r>
    </w:p>
    <w:p>
      <w:pPr>
        <w:spacing w:after="0" w:line="6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Pursuant to a registration rights agreement that we will enter into with our initial shareholders on or prior to the closing of this offering, we may be required to register certain securities for sale under the Securities Act. These 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permit any registration statement filed under the Securities Act to become effective until the securities covered thereby are released from their lock-up restrictions, as described herein. We will bear the costs and expenses of filing any such registration statements. See “Principal Shareholders—Registration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June 30, 2019, we did not have any off-balance sheet arrangements as defined in Item 303(a)(4)(ii) of Regulation S-K and did not have any commitments or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BUSINESS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8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6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CBD businesses that are compliant with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18 months, we believe that legislative activity in certain jurisdictions will further broaden our opportunity set for eligible acquisitions.</w:t>
      </w:r>
    </w:p>
    <w:p>
      <w:pPr>
        <w:spacing w:after="0" w:line="7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order to succeed under the new legislative and regulatory frameworks, we believe that businesses will need strong management teams with deep operational expertise and financial acumen.</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8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Our acquisition plan is to leverage our management team’s networks of potential transaction sources where we believe a combination of our management team’s industry relationships, knowledge and experience could effect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8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46" w:lineRule="exact"/>
        <w:rPr>
          <w:sz w:val="20"/>
          <w:szCs w:val="20"/>
          <w:color w:val="auto"/>
        </w:rPr>
      </w:pPr>
    </w:p>
    <w:p>
      <w:pPr>
        <w:ind w:left="700" w:right="260" w:hanging="356"/>
        <w:spacing w:after="0" w:line="26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w:t>
      </w:r>
      <w:r>
        <w:rPr>
          <w:rFonts w:ascii="Arial" w:cs="Arial" w:eastAsia="Arial" w:hAnsi="Arial"/>
          <w:sz w:val="18"/>
          <w:szCs w:val="18"/>
          <w:b w:val="1"/>
          <w:bCs w:val="1"/>
          <w:color w:val="auto"/>
        </w:rPr>
        <w:t xml:space="preserve"> </w:t>
      </w:r>
      <w:r>
        <w:rPr>
          <w:rFonts w:ascii="Arial" w:cs="Arial" w:eastAsia="Arial" w:hAnsi="Arial"/>
          <w:sz w:val="18"/>
          <w:szCs w:val="18"/>
          <w:color w:val="auto"/>
        </w:rPr>
        <w:t>only has a leading competitive position, but also has the underlying infrastructure and operations to build a public platform;</w:t>
      </w:r>
    </w:p>
    <w:p>
      <w:pPr>
        <w:spacing w:after="0" w:line="68" w:lineRule="exact"/>
        <w:rPr>
          <w:rFonts w:ascii="Arial" w:cs="Arial" w:eastAsia="Arial" w:hAnsi="Arial"/>
          <w:sz w:val="18"/>
          <w:szCs w:val="18"/>
          <w:color w:val="auto"/>
        </w:rPr>
      </w:pPr>
    </w:p>
    <w:p>
      <w:pPr>
        <w:ind w:left="700" w:right="20" w:hanging="356"/>
        <w:spacing w:after="0" w:line="347"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have durable competitive advantages that are differentiated in the sector. </w:t>
      </w:r>
      <w:r>
        <w:rPr>
          <w:rFonts w:ascii="Arial" w:cs="Arial" w:eastAsia="Arial" w:hAnsi="Arial"/>
          <w:sz w:val="16"/>
          <w:szCs w:val="16"/>
          <w:color w:val="auto"/>
        </w:rPr>
        <w:t>We intend to acquire an asset that not only</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from secular tailwinds in the industry, but also exhibit hard-to-replicate competitive advantages amongst its peers;</w:t>
      </w:r>
    </w:p>
    <w:p>
      <w:pPr>
        <w:spacing w:after="0" w:line="8" w:lineRule="exact"/>
        <w:rPr>
          <w:rFonts w:ascii="Arial" w:cs="Arial" w:eastAsia="Arial" w:hAnsi="Arial"/>
          <w:sz w:val="16"/>
          <w:szCs w:val="16"/>
          <w:color w:val="auto"/>
        </w:rPr>
      </w:pPr>
    </w:p>
    <w:p>
      <w:pPr>
        <w:jc w:val="both"/>
        <w:ind w:left="700" w:hanging="356"/>
        <w:spacing w:after="0" w:line="26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w:t>
      </w:r>
      <w:r>
        <w:rPr>
          <w:rFonts w:ascii="Arial" w:cs="Arial" w:eastAsia="Arial" w:hAnsi="Arial"/>
          <w:sz w:val="18"/>
          <w:szCs w:val="18"/>
          <w:b w:val="1"/>
          <w:bCs w:val="1"/>
          <w:color w:val="auto"/>
        </w:rPr>
        <w:t xml:space="preserve"> </w:t>
      </w:r>
      <w:r>
        <w:rPr>
          <w:rFonts w:ascii="Arial" w:cs="Arial" w:eastAsia="Arial" w:hAnsi="Arial"/>
          <w:sz w:val="18"/>
          <w:szCs w:val="18"/>
          <w:color w:val="auto"/>
        </w:rPr>
        <w:t>a business that has historically exhibited profitability and strong cash flow generation. Our management team has a proven track record accelerating growth of companies with strong past performance;</w:t>
      </w:r>
    </w:p>
    <w:p>
      <w:pPr>
        <w:spacing w:after="0" w:line="68" w:lineRule="exact"/>
        <w:rPr>
          <w:rFonts w:ascii="Arial" w:cs="Arial" w:eastAsia="Arial" w:hAnsi="Arial"/>
          <w:sz w:val="18"/>
          <w:szCs w:val="18"/>
          <w:color w:val="auto"/>
        </w:rPr>
      </w:pPr>
    </w:p>
    <w:p>
      <w:pPr>
        <w:ind w:left="700" w:right="40" w:hanging="356"/>
        <w:spacing w:after="0" w:line="26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are at an inflection point, such as requiring additional capital to achieve a growth strategy. </w:t>
      </w:r>
      <w:r>
        <w:rPr>
          <w:rFonts w:ascii="Arial" w:cs="Arial" w:eastAsia="Arial" w:hAnsi="Arial"/>
          <w:sz w:val="18"/>
          <w:szCs w:val="18"/>
          <w:color w:val="auto"/>
        </w:rPr>
        <w:t>We intend to look for</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that have clear opportunities for long-term sustainable growth, but which require our capital or expertise to achieve a growth strategy;</w:t>
      </w:r>
    </w:p>
    <w:p>
      <w:pPr>
        <w:spacing w:after="0" w:line="68" w:lineRule="exact"/>
        <w:rPr>
          <w:rFonts w:ascii="Arial" w:cs="Arial" w:eastAsia="Arial" w:hAnsi="Arial"/>
          <w:sz w:val="18"/>
          <w:szCs w:val="18"/>
          <w:color w:val="auto"/>
        </w:rPr>
      </w:pPr>
    </w:p>
    <w:p>
      <w:pPr>
        <w:ind w:left="700" w:right="60" w:hanging="356"/>
        <w:spacing w:after="0" w:line="281"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have the potential to further improve their performance under our ownership. </w:t>
      </w:r>
      <w:r>
        <w:rPr>
          <w:rFonts w:ascii="Arial" w:cs="Arial" w:eastAsia="Arial" w:hAnsi="Arial"/>
          <w:sz w:val="17"/>
          <w:szCs w:val="17"/>
          <w:color w:val="auto"/>
        </w:rPr>
        <w:t>We intend to seek targets where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we can improve 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56" w:lineRule="exact"/>
        <w:rPr>
          <w:rFonts w:ascii="Arial" w:cs="Arial" w:eastAsia="Arial" w:hAnsi="Arial"/>
          <w:sz w:val="17"/>
          <w:szCs w:val="17"/>
          <w:color w:val="auto"/>
        </w:rPr>
      </w:pPr>
    </w:p>
    <w:p>
      <w:pPr>
        <w:ind w:left="700" w:right="120" w:hanging="356"/>
        <w:spacing w:after="0" w:line="26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may benefit from capital markets access. </w:t>
      </w:r>
      <w:r>
        <w:rPr>
          <w:rFonts w:ascii="Arial" w:cs="Arial" w:eastAsia="Arial" w:hAnsi="Arial"/>
          <w:sz w:val="18"/>
          <w:szCs w:val="18"/>
          <w:color w:val="auto"/>
        </w:rPr>
        <w:t>We intend to seek a target that may benefit from being, or has the potential to</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public company with an increased public profile, enhanced corporate governance and increased access to a more diversified pool of capital; and</w:t>
      </w:r>
    </w:p>
    <w:p>
      <w:pPr>
        <w:spacing w:after="0" w:line="68" w:lineRule="exact"/>
        <w:rPr>
          <w:rFonts w:ascii="Arial" w:cs="Arial" w:eastAsia="Arial" w:hAnsi="Arial"/>
          <w:sz w:val="18"/>
          <w:szCs w:val="18"/>
          <w:color w:val="auto"/>
        </w:rPr>
      </w:pPr>
    </w:p>
    <w:p>
      <w:pPr>
        <w:ind w:left="700" w:right="600" w:hanging="356"/>
        <w:spacing w:after="0" w:line="282"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undervalued by the marketplace based on our analysis and due diligence review.</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Process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7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 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9"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a Cayman Islands exempted company incorporated on June 7, 2019. Our executive offices are located at 1114 6th Ave, 41st Floor New York, New York, 10036 and our telephone number is (212) 905-4923.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target businesses an alternative to the traditional initial public offering through a merger, amalgamation, share exchange, asset acquisition, share purchase, reorganization or similar business combination. In this situation, the owners of the target business would exchange their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7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funds available for a business combination initially in the amount of $241,250,000 assuming no redemptions and after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payment of $8,750,000 of deferred underwriting fees (or $277,437,500 assuming no redemptions and after payment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$10,062,500 of deferred underwriting fees if the underwriter’s over-allotment option is exercised in full), we offer a target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variety of options such as creating a liquidity event for its owners, providing capital for the potential growth and expansion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or strengthening its balance sheet by reducing its debt ratio. Because we are able to complete our initial business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combination using our cash, debt or equity securities, or a combination of the foregoing, we have the flexibility to use the most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efficient combination that will allow us to tailor the consideration to be paid to the target business to fit its needs and desires.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However, we have not taken any steps to secure third-party financing and there can be no assurance it will be available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5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5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rules of Nasdaq require that our initial business combination occur with one or more target businesses that together have an aggregate fair market value of at least 80% of the assets held in the trust account (excluding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5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80" w:lineRule="exact"/>
        <w:rPr>
          <w:sz w:val="20"/>
          <w:szCs w:val="20"/>
          <w:color w:val="auto"/>
        </w:rPr>
      </w:pPr>
    </w:p>
    <w:p>
      <w:pPr>
        <w:ind w:left="700" w:right="280" w:hanging="356"/>
        <w:spacing w:after="0" w:line="342"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29" w:lineRule="exact"/>
        <w:rPr>
          <w:sz w:val="20"/>
          <w:szCs w:val="20"/>
          <w:color w:val="auto"/>
        </w:rPr>
      </w:pPr>
    </w:p>
    <w:p>
      <w:pPr>
        <w:ind w:left="70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shares or voting power of our ordinary shares then issued and outstanding (other than in a public offering);</w:t>
      </w:r>
    </w:p>
    <w:p>
      <w:pPr>
        <w:spacing w:after="0" w:line="62" w:lineRule="exact"/>
        <w:rPr>
          <w:rFonts w:ascii="Arial" w:cs="Arial" w:eastAsia="Arial" w:hAnsi="Arial"/>
          <w:sz w:val="18"/>
          <w:szCs w:val="18"/>
          <w:color w:val="auto"/>
        </w:rPr>
      </w:pPr>
    </w:p>
    <w:p>
      <w:pPr>
        <w:ind w:left="700" w:right="20" w:hanging="356"/>
        <w:spacing w:after="0" w:line="259"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common shares or voting power of 5% or more;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Companies Law and Cayman Islands law do not currently require, and we are not aware of any other applicable law that will require, shareholder approval of our initial business combination.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event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the event that our sponsor, directors, officers, advisors or any of their affiliates purchase public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purpose of such purchases could be to (1) vote such shares in favor of the business combination and thereby increase the likelihood of obtaining shareholder approval of our initial business combination or (2)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sponsor, officers, directors, advisors and/or any of their affiliates anticipate that they may identify the shareholders with whom our sponsor, officers, directors, advisors or any of their affiliates may pursue privately negotiated purchases by either the shareholders contacting us directly or by our receipt of redemption requests submitted by shareholders following our mailing of proxy materials in connection with our initial business combination. To the extent that our sponsor, officers, directors, advisors or any of their affiliates enter into a private purchase, they would identify and contact only potential selling shareholders who have expressed their election to redeem their shares for a pro rata share of the trust account or vote against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 or any of their affiliates will purchase shares only if such purchases comply with Regulation M under the Exchange Act and the other federal securities laws.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7" w:name="page98"/>
    <w:bookmarkEnd w:id="9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spacing w:after="0" w:line="273" w:lineRule="auto"/>
        <w:rPr>
          <w:sz w:val="20"/>
          <w:szCs w:val="20"/>
          <w:color w:val="auto"/>
        </w:rPr>
      </w:pPr>
      <w:r>
        <w:rPr>
          <w:rFonts w:ascii="Arial" w:cs="Arial" w:eastAsia="Arial" w:hAnsi="Arial"/>
          <w:sz w:val="17"/>
          <w:szCs w:val="17"/>
          <w:color w:val="auto"/>
        </w:rPr>
        <w:t>Any purchases by our sponsor, officers, directors and/or any of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affiliates will be restricted from making purchases of ordinary shares if such purchases would violate Section 9(a)(2) or Rule 10b-5 of the Exchange Act.</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121" w:lineRule="exact"/>
        <w:rPr>
          <w:sz w:val="20"/>
          <w:szCs w:val="20"/>
          <w:color w:val="auto"/>
        </w:rPr>
      </w:pPr>
    </w:p>
    <w:p>
      <w:pPr>
        <w:ind w:left="7"/>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Manner of Conducting Redemptions</w:t>
      </w:r>
    </w:p>
    <w:p>
      <w:pPr>
        <w:spacing w:after="0" w:line="121" w:lineRule="exact"/>
        <w:rPr>
          <w:sz w:val="20"/>
          <w:szCs w:val="20"/>
          <w:color w:val="auto"/>
        </w:rPr>
      </w:pPr>
    </w:p>
    <w:p>
      <w:pPr>
        <w:ind w:left="7" w:right="20"/>
        <w:spacing w:after="0" w:line="291"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w:t>
      </w:r>
    </w:p>
    <w:p>
      <w:pPr>
        <w:ind w:left="7" w:right="60" w:hanging="7"/>
        <w:spacing w:after="0" w:line="287" w:lineRule="auto"/>
        <w:tabs>
          <w:tab w:leader="none" w:pos="2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58" w:lineRule="exact"/>
        <w:rPr>
          <w:sz w:val="20"/>
          <w:szCs w:val="20"/>
          <w:color w:val="auto"/>
        </w:rPr>
      </w:pPr>
    </w:p>
    <w:p>
      <w:pPr>
        <w:ind w:left="7" w:right="60"/>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62" w:lineRule="exact"/>
        <w:rPr>
          <w:sz w:val="20"/>
          <w:szCs w:val="20"/>
          <w:color w:val="auto"/>
        </w:rPr>
      </w:pPr>
    </w:p>
    <w:p>
      <w:pPr>
        <w:ind w:left="707" w:right="300" w:hanging="356"/>
        <w:spacing w:after="0" w:line="277" w:lineRule="auto"/>
        <w:tabs>
          <w:tab w:leader="none" w:pos="7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62" w:lineRule="exact"/>
        <w:rPr>
          <w:rFonts w:ascii="Arial" w:cs="Arial" w:eastAsia="Arial" w:hAnsi="Arial"/>
          <w:sz w:val="18"/>
          <w:szCs w:val="18"/>
          <w:color w:val="auto"/>
        </w:rPr>
      </w:pPr>
    </w:p>
    <w:p>
      <w:pPr>
        <w:ind w:left="707" w:right="100" w:hanging="356"/>
        <w:spacing w:after="0" w:line="286" w:lineRule="auto"/>
        <w:tabs>
          <w:tab w:leader="none" w:pos="7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57" w:lineRule="exact"/>
        <w:rPr>
          <w:sz w:val="20"/>
          <w:szCs w:val="20"/>
          <w:color w:val="auto"/>
        </w:rPr>
      </w:pPr>
    </w:p>
    <w:p>
      <w:pPr>
        <w:ind w:left="7" w:right="200"/>
        <w:spacing w:after="0" w:line="286"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57" w:lineRule="exact"/>
        <w:rPr>
          <w:sz w:val="20"/>
          <w:szCs w:val="20"/>
          <w:color w:val="auto"/>
        </w:rPr>
      </w:pPr>
    </w:p>
    <w:p>
      <w:pPr>
        <w:ind w:left="7" w:right="80"/>
        <w:spacing w:after="0" w:line="27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5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73" w:lineRule="exact"/>
        <w:rPr>
          <w:sz w:val="20"/>
          <w:szCs w:val="20"/>
          <w:color w:val="auto"/>
        </w:rPr>
      </w:pPr>
    </w:p>
    <w:p>
      <w:pPr>
        <w:ind w:left="700" w:right="100" w:hanging="356"/>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6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 amount that would cause our net tangible assets, after payment of the deferred underwriting commissions, to be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$5,000,001 upon completion of our initial business combination (so that we do not then become subject to the SEC’s “penny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Redemptions of our public shares may also be subject to a higher net tangible asset test or cash requirement pursuant to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relating to our initial business combination. For example, the proposed business combination may require: (1)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consideration to be paid to the target or its owners; (2) cash to be transferred to the target for working capital or other general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or (3) the retention of cash to satisfy other conditions in accordance with the terms of the proposed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In the event the aggregate cash consideration we would be required to pay for all public shares that are validly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submitted for redemption plus any amount required to satisfy cash conditions pursuant to the terms of the proposed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exceed the aggregate amount of cash available to us, we will not complete such business combination or redeem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in connection therewith, and all public shares submitted for redemption will be returned to the holders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6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5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0" w:name="page101"/>
    <w:bookmarkEnd w:id="10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0"/>
        <w:spacing w:after="0" w:line="302" w:lineRule="auto"/>
        <w:rPr>
          <w:sz w:val="20"/>
          <w:szCs w:val="20"/>
          <w:color w:val="auto"/>
        </w:rPr>
      </w:pPr>
      <w:r>
        <w:rPr>
          <w:rFonts w:ascii="Arial" w:cs="Arial" w:eastAsia="Arial" w:hAnsi="Arial"/>
          <w:sz w:val="16"/>
          <w:szCs w:val="16"/>
          <w:color w:val="auto"/>
        </w:rPr>
        <w:t>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46" w:lineRule="exact"/>
        <w:rPr>
          <w:sz w:val="20"/>
          <w:szCs w:val="20"/>
          <w:color w:val="auto"/>
        </w:rPr>
      </w:pPr>
    </w:p>
    <w:p>
      <w:pPr>
        <w:ind w:left="7" w:right="20"/>
        <w:spacing w:after="0" w:line="273"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70" w:lineRule="exact"/>
        <w:rPr>
          <w:sz w:val="20"/>
          <w:szCs w:val="20"/>
          <w:color w:val="auto"/>
        </w:rPr>
      </w:pPr>
    </w:p>
    <w:p>
      <w:pPr>
        <w:ind w:left="7" w:right="20"/>
        <w:spacing w:after="0" w:line="286" w:lineRule="auto"/>
        <w:rPr>
          <w:sz w:val="20"/>
          <w:szCs w:val="20"/>
          <w:color w:val="auto"/>
        </w:rPr>
      </w:pPr>
      <w:r>
        <w:rPr>
          <w:rFonts w:ascii="Arial" w:cs="Arial" w:eastAsia="Arial" w:hAnsi="Arial"/>
          <w:sz w:val="17"/>
          <w:szCs w:val="17"/>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57" w:lineRule="exact"/>
        <w:rPr>
          <w:sz w:val="20"/>
          <w:szCs w:val="20"/>
          <w:color w:val="auto"/>
        </w:rPr>
      </w:pPr>
    </w:p>
    <w:p>
      <w:pPr>
        <w:ind w:left="7" w:right="30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18 months from the closing of this offering.</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21" w:lineRule="exact"/>
        <w:rPr>
          <w:sz w:val="20"/>
          <w:szCs w:val="20"/>
          <w:color w:val="auto"/>
        </w:rPr>
      </w:pPr>
    </w:p>
    <w:p>
      <w:pPr>
        <w:jc w:val="both"/>
        <w:ind w:left="7" w:right="200"/>
        <w:spacing w:after="0" w:line="291" w:lineRule="auto"/>
        <w:rPr>
          <w:sz w:val="20"/>
          <w:szCs w:val="20"/>
          <w:color w:val="auto"/>
        </w:rPr>
      </w:pPr>
      <w:r>
        <w:rPr>
          <w:rFonts w:ascii="Arial" w:cs="Arial" w:eastAsia="Arial" w:hAnsi="Arial"/>
          <w:sz w:val="16"/>
          <w:szCs w:val="16"/>
          <w:color w:val="auto"/>
        </w:rPr>
        <w:t>Our sponsor, officers and directors have agreed that we will have only 18 months from the closing of this offering to complete our initial business combination. If we are unable to complete our initial business combination within such 18-month period, we will:</w:t>
      </w:r>
    </w:p>
    <w:p>
      <w:pPr>
        <w:ind w:left="7" w:right="120" w:hanging="7"/>
        <w:spacing w:after="0" w:line="287" w:lineRule="auto"/>
        <w:tabs>
          <w:tab w:leader="none" w:pos="2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p>
    <w:p>
      <w:pPr>
        <w:spacing w:after="0" w:line="58"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18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18-month time frame.</w:t>
      </w:r>
    </w:p>
    <w:p>
      <w:pPr>
        <w:spacing w:after="0" w:line="80" w:lineRule="exact"/>
        <w:rPr>
          <w:sz w:val="20"/>
          <w:szCs w:val="20"/>
          <w:color w:val="auto"/>
        </w:rPr>
      </w:pPr>
    </w:p>
    <w:p>
      <w:pPr>
        <w:ind w:left="7"/>
        <w:spacing w:after="0" w:line="270"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70" w:lineRule="exact"/>
        <w:rPr>
          <w:sz w:val="20"/>
          <w:szCs w:val="20"/>
          <w:color w:val="auto"/>
        </w:rPr>
      </w:pPr>
    </w:p>
    <w:p>
      <w:pPr>
        <w:ind w:left="7" w:right="280"/>
        <w:spacing w:after="0" w:line="27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 of this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2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$1,000,000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8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(3) the redemption of our public shares if we are unable to complete our initial business combination within 18 months from the closing of this offering,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amended and restated memorandum and articles of association will contain certain requirements and restrictions relating to this offering that will apply to us until the completion of our initial business combination. Our amended and restated memorandum and articles of association contains a provision which provides that, if we seek to amend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we will provide public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shareholders with the opportunity to redeem their public shares in connection with any such amendment. Specifically, our amended and restated memorandum and articles of association will provide, among other things, that:</w:t>
      </w:r>
    </w:p>
    <w:p>
      <w:pPr>
        <w:spacing w:after="0" w:line="62" w:lineRule="exact"/>
        <w:rPr>
          <w:sz w:val="20"/>
          <w:szCs w:val="20"/>
          <w:color w:val="auto"/>
        </w:rPr>
      </w:pPr>
    </w:p>
    <w:p>
      <w:pPr>
        <w:ind w:left="700" w:hanging="356"/>
        <w:spacing w:after="0" w:line="253"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the completion of our initial business combination, we shall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89" w:lineRule="exact"/>
        <w:rPr>
          <w:rFonts w:ascii="Arial" w:cs="Arial" w:eastAsia="Arial" w:hAnsi="Arial"/>
          <w:sz w:val="18"/>
          <w:szCs w:val="18"/>
          <w:color w:val="auto"/>
        </w:rPr>
      </w:pPr>
    </w:p>
    <w:p>
      <w:pPr>
        <w:ind w:left="700" w:right="240" w:hanging="356"/>
        <w:spacing w:after="0" w:line="25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after payment of the deferred underwriting commissions, of at least $5,000,001 upon completion of our initial business combination and, solely if we seek shareholder approval, a majority of the issued and outstanding ordinary shares voted are voted in favor of the business combination;</w:t>
      </w:r>
    </w:p>
    <w:p>
      <w:pPr>
        <w:spacing w:after="0" w:line="78" w:lineRule="exact"/>
        <w:rPr>
          <w:rFonts w:ascii="Arial" w:cs="Arial" w:eastAsia="Arial" w:hAnsi="Arial"/>
          <w:sz w:val="18"/>
          <w:szCs w:val="18"/>
          <w:color w:val="auto"/>
        </w:rPr>
      </w:pPr>
    </w:p>
    <w:p>
      <w:pPr>
        <w:ind w:left="700" w:right="56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months from the closing of this offering, then our existence will terminate and we will distribute all amounts in the trust account; and</w:t>
      </w:r>
    </w:p>
    <w:p>
      <w:pPr>
        <w:spacing w:after="0" w:line="62" w:lineRule="exact"/>
        <w:rPr>
          <w:rFonts w:ascii="Arial" w:cs="Arial" w:eastAsia="Arial" w:hAnsi="Arial"/>
          <w:sz w:val="18"/>
          <w:szCs w:val="18"/>
          <w:color w:val="auto"/>
        </w:rPr>
      </w:pPr>
    </w:p>
    <w:p>
      <w:pPr>
        <w:ind w:left="700" w:right="60" w:hanging="356"/>
        <w:spacing w:after="0" w:line="291"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prior to our initial business combination, we may not issue additional shares that would entitle the holders thereof to (1) receive funds from the trust account or (2) vote as a class with our public shares (a) on any initial business combination or</w:t>
      </w:r>
    </w:p>
    <w:p>
      <w:pPr>
        <w:ind w:left="700" w:right="100"/>
        <w:spacing w:after="0" w:line="255" w:lineRule="auto"/>
        <w:rPr>
          <w:rFonts w:ascii="Arial" w:cs="Arial" w:eastAsia="Arial" w:hAnsi="Arial"/>
          <w:sz w:val="16"/>
          <w:szCs w:val="16"/>
          <w:color w:val="auto"/>
        </w:rPr>
      </w:pPr>
      <w:r>
        <w:rPr>
          <w:rFonts w:ascii="Arial" w:cs="Arial" w:eastAsia="Arial" w:hAnsi="Arial"/>
          <w:sz w:val="18"/>
          <w:szCs w:val="18"/>
          <w:color w:val="auto"/>
        </w:rPr>
        <w:t>(b) to approve an amendment to our amended and restated memorandum and articles of association to (x) extend the time we have to consummate a business combination beyond 18 months from the closing of this offering or (y) amend the foregoing provisions.</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provisions cannot be amended without the approval of holders of at least two-thirds of our ordinary shares. In the event we seek shareholder approval in connection with our initial business combination, our amended and restated memorandum and articles of association will provide that we may consummate our initial business combination only if approved by a majority of the ordinary shares voted by our shareholders at a duly held shareholders meeting.</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Additionally, our amended and restated memorandum and articles of association provides that, prior to our initial business combination, only holders of our founder shares will have the right to vote on the election of directors and that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7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18 months from the closing of this offering.</w:t>
      </w:r>
    </w:p>
    <w:p>
      <w:pPr>
        <w:sectPr>
          <w:pgSz w:w="11900" w:h="16838" w:orient="portrait"/>
          <w:cols w:equalWidth="0" w:num="1">
            <w:col w:w="9540"/>
          </w:cols>
          <w:pgMar w:left="1180" w:top="279" w:right="1179" w:bottom="144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Redemptions in Connection</w:t>
            </w:r>
          </w:p>
        </w:tc>
      </w:tr>
      <w:tr>
        <w:trPr>
          <w:trHeight w:val="162"/>
        </w:trPr>
        <w:tc>
          <w:tcPr>
            <w:tcW w:w="2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with our Initial Business</w:t>
            </w:r>
          </w:p>
        </w:tc>
      </w:tr>
      <w:tr>
        <w:trPr>
          <w:trHeight w:val="171"/>
        </w:trPr>
        <w:tc>
          <w:tcPr>
            <w:tcW w:w="226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Combination</w:t>
            </w:r>
          </w:p>
        </w:tc>
      </w:tr>
      <w:tr>
        <w:trPr>
          <w:trHeight w:val="218"/>
        </w:trPr>
        <w:tc>
          <w:tcPr>
            <w:tcW w:w="2260" w:type="dxa"/>
            <w:vAlign w:val="bottom"/>
          </w:tcPr>
          <w:p>
            <w:pPr>
              <w:spacing w:after="0"/>
              <w:rPr>
                <w:sz w:val="20"/>
                <w:szCs w:val="20"/>
                <w:color w:val="auto"/>
              </w:rPr>
            </w:pPr>
            <w:r>
              <w:rPr>
                <w:rFonts w:ascii="Arial" w:cs="Arial" w:eastAsia="Arial" w:hAnsi="Arial"/>
                <w:sz w:val="18"/>
                <w:szCs w:val="18"/>
                <w:b w:val="1"/>
                <w:bCs w:val="1"/>
                <w:color w:val="auto"/>
              </w:rPr>
              <w:t>Calculation of redemption</w:t>
            </w:r>
          </w:p>
        </w:tc>
        <w:tc>
          <w:tcPr>
            <w:tcW w:w="2380" w:type="dxa"/>
            <w:vAlign w:val="bottom"/>
          </w:tcPr>
          <w:p>
            <w:pPr>
              <w:ind w:left="40"/>
              <w:spacing w:after="0"/>
              <w:rPr>
                <w:sz w:val="20"/>
                <w:szCs w:val="20"/>
                <w:color w:val="auto"/>
              </w:rPr>
            </w:pPr>
            <w:r>
              <w:rPr>
                <w:rFonts w:ascii="Arial" w:cs="Arial" w:eastAsia="Arial" w:hAnsi="Arial"/>
                <w:sz w:val="18"/>
                <w:szCs w:val="18"/>
                <w:color w:val="auto"/>
                <w:w w:val="94"/>
              </w:rPr>
              <w:t>Redemptions at the time of our</w:t>
            </w:r>
          </w:p>
        </w:tc>
      </w:tr>
      <w:tr>
        <w:trPr>
          <w:trHeight w:val="220"/>
        </w:trPr>
        <w:tc>
          <w:tcPr>
            <w:tcW w:w="2260" w:type="dxa"/>
            <w:vAlign w:val="bottom"/>
          </w:tcPr>
          <w:p>
            <w:pPr>
              <w:spacing w:after="0"/>
              <w:rPr>
                <w:sz w:val="20"/>
                <w:szCs w:val="20"/>
                <w:color w:val="auto"/>
              </w:rPr>
            </w:pPr>
            <w:r>
              <w:rPr>
                <w:rFonts w:ascii="Arial" w:cs="Arial" w:eastAsia="Arial" w:hAnsi="Arial"/>
                <w:sz w:val="18"/>
                <w:szCs w:val="18"/>
                <w:b w:val="1"/>
                <w:bCs w:val="1"/>
                <w:color w:val="auto"/>
              </w:rPr>
              <w:t>price</w:t>
            </w:r>
          </w:p>
        </w:tc>
        <w:tc>
          <w:tcPr>
            <w:tcW w:w="2380" w:type="dxa"/>
            <w:vAlign w:val="bottom"/>
          </w:tcPr>
          <w:p>
            <w:pPr>
              <w:ind w:left="40"/>
              <w:spacing w:after="0"/>
              <w:rPr>
                <w:sz w:val="20"/>
                <w:szCs w:val="20"/>
                <w:color w:val="auto"/>
              </w:rPr>
            </w:pPr>
            <w:r>
              <w:rPr>
                <w:rFonts w:ascii="Arial" w:cs="Arial" w:eastAsia="Arial" w:hAnsi="Arial"/>
                <w:sz w:val="18"/>
                <w:szCs w:val="18"/>
                <w:color w:val="auto"/>
              </w:rPr>
              <w:t>initial business combination</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may be made pursuant to a</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tender offer or in connection</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with a shareholder vote. The</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redemption price will be the</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same whether we conduct</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redemptions pursuant to a</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tender offer or in connection</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with a shareholder vote. In</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either case, our public</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3"/>
              </w:rPr>
              <w:t>shareholders may redeem their</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5"/>
              </w:rPr>
              <w:t>public shares for cash equal to</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6"/>
              </w:rPr>
              <w:t>the aggregate amount then on</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6"/>
              </w:rPr>
              <w:t>deposit in the trust account as</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of two business days prior to</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5"/>
              </w:rPr>
              <w:t>the consummation of the initial</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3"/>
              </w:rPr>
              <w:t>business combination (which is</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initially anticipated to be</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$10.00 per share), including</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3"/>
              </w:rPr>
              <w:t>interest (which interest shall be</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9"/>
              </w:rPr>
              <w:t>net of taxes payable), divided</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9"/>
              </w:rPr>
              <w:t>by the number of then issued</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5"/>
              </w:rPr>
              <w:t>and outstanding public shares,</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5"/>
              </w:rPr>
              <w:t>subject to the limitation that no</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redemptions will take place if</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all of the redemptions would</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6"/>
              </w:rPr>
              <w:t>cause our net tangible assets,</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9"/>
              </w:rPr>
              <w:t>after payment of the deferred</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9"/>
              </w:rPr>
              <w:t>underwriting commissions, to</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7"/>
              </w:rPr>
              <w:t>be less than $5,000,001 upon</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completion of our initial</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5"/>
              </w:rPr>
              <w:t>business combination and any</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limitations (including, but not</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w w:val="98"/>
              </w:rPr>
              <w:t>limited to, cash requirements)</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agreed to in connection with</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the negotiation of terms of a</w:t>
            </w:r>
          </w:p>
        </w:tc>
      </w:tr>
      <w:tr>
        <w:trPr>
          <w:trHeight w:val="216"/>
        </w:trPr>
        <w:tc>
          <w:tcPr>
            <w:tcW w:w="226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proposed business</w:t>
            </w:r>
          </w:p>
        </w:tc>
      </w:tr>
      <w:tr>
        <w:trPr>
          <w:trHeight w:val="230"/>
        </w:trPr>
        <w:tc>
          <w:tcPr>
            <w:tcW w:w="2260" w:type="dxa"/>
            <w:vAlign w:val="bottom"/>
          </w:tcPr>
          <w:p>
            <w:pPr>
              <w:spacing w:after="0"/>
              <w:rPr>
                <w:sz w:val="20"/>
                <w:szCs w:val="20"/>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combination.</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40" w:right="200" w:firstLine="22"/>
        <w:spacing w:after="0" w:line="288" w:lineRule="auto"/>
        <w:rPr>
          <w:sz w:val="20"/>
          <w:szCs w:val="20"/>
          <w:color w:val="auto"/>
        </w:rPr>
      </w:pPr>
      <w:r>
        <w:rPr>
          <w:rFonts w:ascii="Arial" w:cs="Arial" w:eastAsia="Arial" w:hAnsi="Arial"/>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-15240</wp:posOffset>
            </wp:positionV>
            <wp:extent cx="15093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140"/>
        <w:spacing w:after="0" w:line="284"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any of their affiliates may purchase shares in privately negotiated transactions or in the open market either prior to or following the completion of our initial business combination. Such purchases will be prohibited except to the extent they are able to be made in compliance with Rule 10b-18, which is a safe harbor from liability for manipulation under Section 9(a)(2) and Rule 10b-5 of the Exchange Act. None of the funds in the trust account will be used to purchase shares in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297815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left="240" w:right="20"/>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-15875</wp:posOffset>
            </wp:positionV>
            <wp:extent cx="14751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67" w:lineRule="auto"/>
        <w:rPr>
          <w:sz w:val="20"/>
          <w:szCs w:val="20"/>
          <w:color w:val="auto"/>
        </w:rPr>
      </w:pPr>
      <w:r>
        <w:rPr>
          <w:rFonts w:ascii="Arial" w:cs="Arial" w:eastAsia="Arial" w:hAnsi="Arial"/>
          <w:sz w:val="17"/>
          <w:szCs w:val="17"/>
          <w:color w:val="auto"/>
        </w:rPr>
        <w:t>If we are unable to complete our initial business combination within 18 months from the closing of this offering, we will redeem all public shares at a per-share price, payable in cash, equal to the aggregate amount then on deposit in the trust account (which is initially anticipated to be $10.00 per share), including interest (less up to $100,000 of interest to pay dissolution expenses and which interest shall be net of taxes payable), divided by the number of then issued and outstanding public shares.</w:t>
      </w:r>
    </w:p>
    <w:p>
      <w:pPr>
        <w:sectPr>
          <w:pgSz w:w="11900" w:h="16838" w:orient="portrait"/>
          <w:cols w:equalWidth="0" w:num="3">
            <w:col w:w="4640" w:space="0"/>
            <w:col w:w="2420" w:space="220"/>
            <w:col w:w="2260"/>
          </w:cols>
          <w:pgMar w:left="1180" w:top="279" w:right="117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380" w:type="dxa"/>
            <w:vAlign w:val="bottom"/>
          </w:tcPr>
          <w:p>
            <w:pPr>
              <w:spacing w:after="0"/>
              <w:rPr>
                <w:sz w:val="14"/>
                <w:szCs w:val="14"/>
                <w:color w:val="auto"/>
              </w:rPr>
            </w:pPr>
          </w:p>
        </w:tc>
      </w:tr>
      <w:tr>
        <w:trPr>
          <w:trHeight w:val="295"/>
        </w:trPr>
        <w:tc>
          <w:tcPr>
            <w:tcW w:w="15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Redemptions in Connection</w:t>
            </w:r>
          </w:p>
        </w:tc>
      </w:tr>
      <w:tr>
        <w:trPr>
          <w:trHeight w:val="162"/>
        </w:trPr>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with our Initial Business</w:t>
            </w:r>
          </w:p>
        </w:tc>
      </w:tr>
      <w:tr>
        <w:trPr>
          <w:trHeight w:val="185"/>
        </w:trPr>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Combination</w:t>
            </w:r>
          </w:p>
        </w:tc>
      </w:tr>
      <w:tr>
        <w:trPr>
          <w:trHeight w:val="205"/>
        </w:trPr>
        <w:tc>
          <w:tcPr>
            <w:tcW w:w="22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Impact to remaining</w:t>
            </w:r>
          </w:p>
        </w:tc>
        <w:tc>
          <w:tcPr>
            <w:tcW w:w="2380" w:type="dxa"/>
            <w:vAlign w:val="bottom"/>
          </w:tcPr>
          <w:p>
            <w:pPr>
              <w:ind w:left="40"/>
              <w:spacing w:after="0" w:line="205" w:lineRule="exact"/>
              <w:rPr>
                <w:sz w:val="20"/>
                <w:szCs w:val="20"/>
                <w:color w:val="auto"/>
              </w:rPr>
            </w:pPr>
            <w:r>
              <w:rPr>
                <w:rFonts w:ascii="Arial" w:cs="Arial" w:eastAsia="Arial" w:hAnsi="Arial"/>
                <w:sz w:val="18"/>
                <w:szCs w:val="18"/>
                <w:color w:val="auto"/>
                <w:w w:val="94"/>
              </w:rPr>
              <w:t>The redemptions in connection</w:t>
            </w:r>
          </w:p>
        </w:tc>
      </w:tr>
      <w:tr>
        <w:trPr>
          <w:trHeight w:val="220"/>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shareholders</w:t>
            </w:r>
          </w:p>
        </w:tc>
        <w:tc>
          <w:tcPr>
            <w:tcW w:w="2380" w:type="dxa"/>
            <w:vAlign w:val="bottom"/>
          </w:tcPr>
          <w:p>
            <w:pPr>
              <w:ind w:left="40"/>
              <w:spacing w:after="0"/>
              <w:rPr>
                <w:sz w:val="20"/>
                <w:szCs w:val="20"/>
                <w:color w:val="auto"/>
              </w:rPr>
            </w:pPr>
            <w:r>
              <w:rPr>
                <w:rFonts w:ascii="Arial" w:cs="Arial" w:eastAsia="Arial" w:hAnsi="Arial"/>
                <w:sz w:val="18"/>
                <w:szCs w:val="18"/>
                <w:color w:val="auto"/>
              </w:rPr>
              <w:t>with our initial business</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combination will reduce the</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book value per share for our</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remaining shareholders, who</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will bear the burden of the</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deferred underwriting</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commissions and interest</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withdrawn in order to pay</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taxes (to the extent not paid</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from amounts accrued as</w:t>
            </w:r>
          </w:p>
        </w:tc>
      </w:tr>
      <w:tr>
        <w:trPr>
          <w:trHeight w:val="216"/>
        </w:trPr>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interest on the funds held in</w:t>
            </w:r>
          </w:p>
        </w:tc>
      </w:tr>
      <w:tr>
        <w:trPr>
          <w:trHeight w:val="230"/>
        </w:trPr>
        <w:tc>
          <w:tcPr>
            <w:tcW w:w="1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the trust account).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200" w:right="60" w:firstLine="22"/>
        <w:spacing w:after="0" w:line="288" w:lineRule="auto"/>
        <w:rPr>
          <w:sz w:val="20"/>
          <w:szCs w:val="20"/>
          <w:color w:val="auto"/>
        </w:rPr>
      </w:pPr>
      <w:r>
        <w:rPr>
          <w:rFonts w:ascii="Arial" w:cs="Arial" w:eastAsia="Arial" w:hAnsi="Arial"/>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-6985</wp:posOffset>
            </wp:positionV>
            <wp:extent cx="15093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73" w:lineRule="auto"/>
        <w:rPr>
          <w:sz w:val="20"/>
          <w:szCs w:val="20"/>
          <w:color w:val="auto"/>
        </w:rPr>
      </w:pPr>
      <w:r>
        <w:rPr>
          <w:rFonts w:ascii="Arial" w:cs="Arial" w:eastAsia="Arial" w:hAnsi="Arial"/>
          <w:sz w:val="17"/>
          <w:szCs w:val="17"/>
          <w:color w:val="auto"/>
        </w:rPr>
        <w:t>If the permitted purchases described above are made, there will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left="-119" w:right="120"/>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-6985</wp:posOffset>
            </wp:positionV>
            <wp:extent cx="14751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right="140"/>
        <w:spacing w:after="0" w:line="289"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pacing w:after="0" w:line="932" w:lineRule="exact"/>
        <w:rPr>
          <w:sz w:val="20"/>
          <w:szCs w:val="20"/>
          <w:color w:val="auto"/>
        </w:rPr>
      </w:pPr>
    </w:p>
    <w:p>
      <w:pPr>
        <w:sectPr>
          <w:pgSz w:w="11900" w:h="16838" w:orient="portrait"/>
          <w:cols w:equalWidth="0" w:num="3">
            <w:col w:w="4640" w:space="140"/>
            <w:col w:w="2140" w:space="360"/>
            <w:col w:w="2260"/>
          </w:cols>
          <w:pgMar w:left="1180" w:top="276" w:right="1179" w:bottom="1440" w:gutter="0" w:footer="0" w:header="0"/>
        </w:sectPr>
      </w:pPr>
    </w:p>
    <w:p>
      <w:pP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ectPr>
          <w:pgSz w:w="11900" w:h="16838" w:orient="portrait"/>
          <w:cols w:equalWidth="0" w:num="1">
            <w:col w:w="9540"/>
          </w:cols>
          <w:pgMar w:left="1180" w:top="276" w:right="117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31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r>
      <w:tr>
        <w:trPr>
          <w:trHeight w:val="209"/>
        </w:trPr>
        <w:tc>
          <w:tcPr>
            <w:tcW w:w="3120" w:type="dxa"/>
            <w:vAlign w:val="bottom"/>
          </w:tcPr>
          <w:p>
            <w:pPr>
              <w:spacing w:after="0"/>
              <w:rPr>
                <w:sz w:val="20"/>
                <w:szCs w:val="20"/>
                <w:color w:val="auto"/>
              </w:rPr>
            </w:pPr>
            <w:r>
              <w:rPr>
                <w:rFonts w:ascii="Arial" w:cs="Arial" w:eastAsia="Arial" w:hAnsi="Arial"/>
                <w:sz w:val="18"/>
                <w:szCs w:val="18"/>
                <w:b w:val="1"/>
                <w:bCs w:val="1"/>
                <w:color w:val="auto"/>
              </w:rPr>
              <w:t>Escrow of offering proceeds</w:t>
            </w:r>
          </w:p>
        </w:tc>
        <w:tc>
          <w:tcPr>
            <w:tcW w:w="3140" w:type="dxa"/>
            <w:vAlign w:val="bottom"/>
          </w:tcPr>
          <w:p>
            <w:pPr>
              <w:ind w:left="40"/>
              <w:spacing w:after="0"/>
              <w:rPr>
                <w:sz w:val="20"/>
                <w:szCs w:val="20"/>
                <w:color w:val="auto"/>
              </w:rPr>
            </w:pPr>
            <w:r>
              <w:rPr>
                <w:rFonts w:ascii="Arial" w:cs="Arial" w:eastAsia="Arial" w:hAnsi="Arial"/>
                <w:sz w:val="18"/>
                <w:szCs w:val="18"/>
                <w:color w:val="auto"/>
                <w:w w:val="95"/>
              </w:rPr>
              <w:t>$250,000,000 of the net proceeds of this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offering and the sale of the private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3"/>
              </w:rPr>
              <w:t>placement warrants will be deposited into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 U.S.-based trust account at with</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Continental Stock Transfer &amp; Trust</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Company acting as trustee</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20154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Approximately $212,625,000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0" w:lineRule="exact"/>
        <w:rPr>
          <w:sz w:val="20"/>
          <w:szCs w:val="20"/>
          <w:color w:val="auto"/>
        </w:rPr>
      </w:pPr>
    </w:p>
    <w:p>
      <w:pPr>
        <w:sectPr>
          <w:pgSz w:w="11900" w:h="16838" w:orient="portrait"/>
          <w:cols w:equalWidth="0" w:num="2">
            <w:col w:w="6260" w:space="160"/>
            <w:col w:w="3120"/>
          </w:cols>
          <w:pgMar w:left="1180" w:top="276" w:right="1179" w:bottom="1440" w:gutter="0" w:footer="0" w:header="0"/>
          <w:type w:val="continuous"/>
        </w:sectPr>
      </w:pPr>
    </w:p>
    <w:p>
      <w:pPr>
        <w:spacing w:after="0" w:line="19"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offering proceeds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and the sale of the private placement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warrants held in trust will be invested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only in U.S. government treasury bills</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with a maturity of 180 days or less or in</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money market funds investing solely in</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U.S. Treasuries and meeting certain</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conditions under Rule 2a-7 under the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Investment Company Act.</w:t>
      </w:r>
    </w:p>
    <w:p>
      <w:pPr>
        <w:spacing w:after="0" w:line="22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ectPr>
          <w:pgSz w:w="11900" w:h="16838" w:orient="portrait"/>
          <w:cols w:equalWidth="0" w:num="2">
            <w:col w:w="6180" w:space="240"/>
            <w:col w:w="3120"/>
          </w:cols>
          <w:pgMar w:left="1180" w:top="276" w:right="117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314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31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r>
      <w:tr>
        <w:trPr>
          <w:trHeight w:val="20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5"/>
              </w:rPr>
              <w:t>Receipt of interest on escrowed funds</w:t>
            </w:r>
          </w:p>
        </w:tc>
        <w:tc>
          <w:tcPr>
            <w:tcW w:w="3140" w:type="dxa"/>
            <w:vAlign w:val="bottom"/>
          </w:tcPr>
          <w:p>
            <w:pPr>
              <w:ind w:left="40"/>
              <w:spacing w:after="0"/>
              <w:rPr>
                <w:sz w:val="20"/>
                <w:szCs w:val="20"/>
                <w:color w:val="auto"/>
              </w:rPr>
            </w:pPr>
            <w:r>
              <w:rPr>
                <w:rFonts w:ascii="Arial" w:cs="Arial" w:eastAsia="Arial" w:hAnsi="Arial"/>
                <w:sz w:val="18"/>
                <w:szCs w:val="18"/>
                <w:color w:val="auto"/>
              </w:rPr>
              <w:t>Interest on proceeds from the trust</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account to be paid to shareholders is</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reduced by (1) any taxes paid or payable</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6"/>
              </w:rPr>
              <w:t>and (2) in the event of our liquidation for</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failure to complete our initial business</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combination within the allotted time, up</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to $100,000 of net interest that may be</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released to us should we have no or</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insufficient working capital to fund the</w:t>
            </w:r>
          </w:p>
        </w:tc>
      </w:tr>
      <w:tr>
        <w:trPr>
          <w:trHeight w:val="216"/>
        </w:trPr>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1"/>
              </w:rPr>
              <w:t>costs and expenses of our dissolution and</w:t>
            </w:r>
          </w:p>
        </w:tc>
      </w:tr>
      <w:tr>
        <w:trPr>
          <w:trHeight w:val="230"/>
        </w:trPr>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liquidation.</w:t>
            </w: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20154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271" w:lineRule="exact"/>
        <w:rPr>
          <w:sz w:val="20"/>
          <w:szCs w:val="20"/>
          <w:color w:val="auto"/>
        </w:rPr>
      </w:pPr>
    </w:p>
    <w:p>
      <w:pPr>
        <w:sectPr>
          <w:pgSz w:w="11900" w:h="16838" w:orient="portrait"/>
          <w:cols w:equalWidth="0" w:num="2">
            <w:col w:w="6260" w:space="160"/>
            <w:col w:w="3100"/>
          </w:cols>
          <w:pgMar w:left="1180" w:top="276" w:right="1199" w:bottom="1440" w:gutter="0" w:footer="0" w:header="0"/>
        </w:sectPr>
      </w:pPr>
    </w:p>
    <w:p>
      <w:pPr>
        <w:spacing w:after="0" w:line="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Notwithstanding the foregoing, if we are not then listed on Nasdaq for whatever reason, we would no longer be required to meet the foregoing 80% fair market value test.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586" w:lineRule="exact"/>
        <w:rPr>
          <w:sz w:val="20"/>
          <w:szCs w:val="20"/>
          <w:color w:val="auto"/>
        </w:rPr>
      </w:pPr>
    </w:p>
    <w:p>
      <w:pPr>
        <w:sectPr>
          <w:pgSz w:w="11900" w:h="16838" w:orient="portrait"/>
          <w:cols w:equalWidth="0" w:num="3">
            <w:col w:w="2820" w:space="340"/>
            <w:col w:w="3040" w:space="220"/>
            <w:col w:w="3100"/>
          </w:cols>
          <w:pgMar w:left="1180" w:top="276" w:right="1199" w:bottom="1440" w:gutter="0" w:footer="0" w:header="0"/>
          <w:type w:val="continuous"/>
        </w:sectPr>
      </w:pPr>
    </w:p>
    <w:p>
      <w:pPr>
        <w:spacing w:after="0" w:line="22"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will begin trading on or</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promptly after the date of this prospectus.</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The Class A ordinary shares and warrants</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constituting the units will begin separate</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trading on the 52nd day following the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date of this prospectus unless Credit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Suisse Securities (USA) LLC informs us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of its decision to allow earlier separate</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trading, subject to our having filed the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Current Report on Form 8-K described</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below and having issued a press release</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announcing when such separate trading</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will begin. We will file the Current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Report on Form 8-K promptly after the</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closing of this offering. If the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underwriter’s over-allotment option is</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exercised following the initial filing of</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such Current Report on Form 8-K, a</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second or amended Current Report on</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Form 8-K will be filed to</w:t>
      </w:r>
    </w:p>
    <w:p>
      <w:pPr>
        <w:spacing w:after="0" w:line="22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2">
            <w:col w:w="6180" w:space="240"/>
            <w:col w:w="3100"/>
          </w:cols>
          <w:pgMar w:left="1180" w:top="276" w:right="1199" w:bottom="1440" w:gutter="0" w:footer="0" w:header="0"/>
          <w:type w:val="continuous"/>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31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r>
      <w:tr>
        <w:trPr>
          <w:trHeight w:val="209"/>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provide updated financial information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reflect the exercise of the underwriter’s</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over-allotment option</w:t>
            </w:r>
          </w:p>
        </w:tc>
      </w:tr>
      <w:tr>
        <w:trPr>
          <w:trHeight w:val="472"/>
        </w:trPr>
        <w:tc>
          <w:tcPr>
            <w:tcW w:w="3120" w:type="dxa"/>
            <w:vAlign w:val="bottom"/>
          </w:tcPr>
          <w:p>
            <w:pPr>
              <w:spacing w:after="0"/>
              <w:rPr>
                <w:sz w:val="20"/>
                <w:szCs w:val="20"/>
                <w:color w:val="auto"/>
              </w:rPr>
            </w:pPr>
            <w:r>
              <w:rPr>
                <w:rFonts w:ascii="Arial" w:cs="Arial" w:eastAsia="Arial" w:hAnsi="Arial"/>
                <w:sz w:val="18"/>
                <w:szCs w:val="18"/>
                <w:b w:val="1"/>
                <w:bCs w:val="1"/>
                <w:color w:val="auto"/>
              </w:rPr>
              <w:t>Exercise of the warrants</w:t>
            </w:r>
          </w:p>
        </w:tc>
        <w:tc>
          <w:tcPr>
            <w:tcW w:w="3140" w:type="dxa"/>
            <w:vAlign w:val="bottom"/>
          </w:tcPr>
          <w:p>
            <w:pPr>
              <w:ind w:left="40"/>
              <w:spacing w:after="0"/>
              <w:rPr>
                <w:sz w:val="20"/>
                <w:szCs w:val="20"/>
                <w:color w:val="auto"/>
              </w:rPr>
            </w:pPr>
            <w:r>
              <w:rPr>
                <w:rFonts w:ascii="Arial" w:cs="Arial" w:eastAsia="Arial" w:hAnsi="Arial"/>
                <w:sz w:val="18"/>
                <w:szCs w:val="18"/>
                <w:color w:val="auto"/>
                <w:w w:val="99"/>
              </w:rPr>
              <w:t>The warrants cannot be exercised until</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the later of 30 days after the completion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of our initial business combination or 12</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months from the closing of this offering.</w:t>
            </w:r>
          </w:p>
        </w:tc>
      </w:tr>
      <w:tr>
        <w:trPr>
          <w:trHeight w:val="688"/>
        </w:trPr>
        <w:tc>
          <w:tcPr>
            <w:tcW w:w="3120" w:type="dxa"/>
            <w:vAlign w:val="bottom"/>
          </w:tcPr>
          <w:p>
            <w:pPr>
              <w:spacing w:after="0"/>
              <w:rPr>
                <w:sz w:val="20"/>
                <w:szCs w:val="20"/>
                <w:color w:val="auto"/>
              </w:rPr>
            </w:pPr>
            <w:r>
              <w:rPr>
                <w:rFonts w:ascii="Arial" w:cs="Arial" w:eastAsia="Arial" w:hAnsi="Arial"/>
                <w:sz w:val="18"/>
                <w:szCs w:val="18"/>
                <w:b w:val="1"/>
                <w:bCs w:val="1"/>
                <w:color w:val="auto"/>
              </w:rPr>
              <w:t>Election to remain an investor</w:t>
            </w:r>
          </w:p>
        </w:tc>
        <w:tc>
          <w:tcPr>
            <w:tcW w:w="3140" w:type="dxa"/>
            <w:vAlign w:val="bottom"/>
          </w:tcPr>
          <w:p>
            <w:pPr>
              <w:ind w:left="40"/>
              <w:spacing w:after="0"/>
              <w:rPr>
                <w:sz w:val="20"/>
                <w:szCs w:val="20"/>
                <w:color w:val="auto"/>
              </w:rPr>
            </w:pPr>
            <w:r>
              <w:rPr>
                <w:rFonts w:ascii="Arial" w:cs="Arial" w:eastAsia="Arial" w:hAnsi="Arial"/>
                <w:sz w:val="18"/>
                <w:szCs w:val="18"/>
                <w:color w:val="auto"/>
                <w:w w:val="98"/>
              </w:rPr>
              <w:t>We will provide our public shareholders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with the opportunity to redeem their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public shares for cash equal to their pro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rata share of the aggregate amount then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on deposit in the trust account as of two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business days prior to the completion of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our initial business combination,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including interest, which interest shall be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2"/>
              </w:rPr>
              <w:t>net of taxes payable, upon the completion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of our initial business combination,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subject to the limitations described</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herein. We may not be required by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3"/>
              </w:rPr>
              <w:t>applicable law or stock exchange rules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hold a shareholder vote. If we are not</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required by applicable law or stock</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exchange rules and do not otherwise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decide to hold a shareholder vote, we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will, pursuant to our amended and</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restated memorandum and articles of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association, conduct the redemptions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pursuant to the tender offer rules of the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SEC and file tender offer documents with</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the SEC which will contain substantially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6"/>
              </w:rPr>
              <w:t>the same financial and other information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2"/>
              </w:rPr>
              <w:t>about the initial business combination and</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2"/>
              </w:rPr>
              <w:t>the redemption rights as is required under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the SEC’s proxy rules. If, however, we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hold a shareholder vote, we will, like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many blank check companies, offer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redeem shares in conjunction with a</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proxy solicitation pursuant to the proxy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rules and not pursuant to the tender offer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rules. Pursuant to the tender offer rules,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the tender offer period will be not less</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than 20 business</w:t>
            </w:r>
          </w:p>
        </w:tc>
      </w:tr>
      <w:tr>
        <w:trPr>
          <w:trHeight w:val="446"/>
        </w:trPr>
        <w:tc>
          <w:tcPr>
            <w:tcW w:w="3120" w:type="dxa"/>
            <w:vAlign w:val="bottom"/>
          </w:tcPr>
          <w:p>
            <w:pPr>
              <w:spacing w:after="0"/>
              <w:rPr>
                <w:sz w:val="24"/>
                <w:szCs w:val="24"/>
                <w:color w:val="auto"/>
              </w:rPr>
            </w:pPr>
          </w:p>
        </w:tc>
        <w:tc>
          <w:tcPr>
            <w:tcW w:w="3140" w:type="dxa"/>
            <w:vAlign w:val="bottom"/>
          </w:tcPr>
          <w:p>
            <w:pPr>
              <w:ind w:left="1520"/>
              <w:spacing w:after="0"/>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20154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2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260" w:space="160"/>
            <w:col w:w="3120"/>
          </w:cols>
          <w:pgMar w:left="1180" w:top="279" w:right="117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31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r>
      <w:tr>
        <w:trPr>
          <w:trHeight w:val="209"/>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days and, in the case of a shareholder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vote, a final proxy statement would be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mailed to public shareholders at least 10</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days prior to the shareholder vote.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However, we expect that a draft proxy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statement would be made available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1"/>
              </w:rPr>
              <w:t>such shareholders well in advance of such</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time, providing additional notice of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redemption if we conduct redemptions in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conjunction with a proxy solicitation. If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we seek shareholder approval, we will</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3"/>
              </w:rPr>
              <w:t>complete our initial business combination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only if we receive an ordinary resolution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under Cayman Islands law, which</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requires the affirmative vote of a majority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of the shareholders who attend and vote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at a general meeting of the company.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Additionally, each public shareholder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may elect to redeem its public shares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without voting and, if they do vote,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irrespective of whether they vote for or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against the proposed business</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combination.</w:t>
            </w:r>
          </w:p>
        </w:tc>
      </w:tr>
      <w:tr>
        <w:trPr>
          <w:trHeight w:val="472"/>
        </w:trPr>
        <w:tc>
          <w:tcPr>
            <w:tcW w:w="312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3140" w:type="dxa"/>
            <w:vAlign w:val="bottom"/>
          </w:tcPr>
          <w:p>
            <w:pPr>
              <w:ind w:left="40"/>
              <w:spacing w:after="0"/>
              <w:rPr>
                <w:sz w:val="20"/>
                <w:szCs w:val="20"/>
                <w:color w:val="auto"/>
              </w:rPr>
            </w:pPr>
            <w:r>
              <w:rPr>
                <w:rFonts w:ascii="Arial" w:cs="Arial" w:eastAsia="Arial" w:hAnsi="Arial"/>
                <w:sz w:val="18"/>
                <w:szCs w:val="18"/>
                <w:color w:val="auto"/>
              </w:rPr>
              <w:t>If we are unable to complete an initial</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business combination within 18 months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from the closing of this offering, we will</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(1) cease all operations except for the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3"/>
              </w:rPr>
              <w:t>purpose of winding up, (2) as promptly as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3"/>
              </w:rPr>
              <w:t>reasonably possible but not more than 10</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1"/>
              </w:rPr>
              <w:t>business days thereafter, redeem 100% of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the public shares, at a per-share price,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7"/>
              </w:rPr>
              <w:t>payable in cash, equal to the aggregate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amount then on deposit in the trust</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account, including interest (less up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$100,000 of interest to pay dissolution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expenses and which interest shall be net</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of taxes payable), divided by the number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of then issued and outstanding public</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shares, which redemption will completely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6"/>
              </w:rPr>
              <w:t>extinguish public shareholders’ rights as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shareholders (including the right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receive further liquidating distributions, if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any) and (3) as promptly as reasonably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possible following such redemption,</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subject to the approval</w:t>
            </w:r>
          </w:p>
        </w:tc>
      </w:tr>
      <w:tr>
        <w:trPr>
          <w:trHeight w:val="446"/>
        </w:trPr>
        <w:tc>
          <w:tcPr>
            <w:tcW w:w="3120" w:type="dxa"/>
            <w:vAlign w:val="bottom"/>
          </w:tcPr>
          <w:p>
            <w:pPr>
              <w:spacing w:after="0"/>
              <w:rPr>
                <w:sz w:val="24"/>
                <w:szCs w:val="24"/>
                <w:color w:val="auto"/>
              </w:rPr>
            </w:pPr>
          </w:p>
        </w:tc>
        <w:tc>
          <w:tcPr>
            <w:tcW w:w="3140" w:type="dxa"/>
            <w:vAlign w:val="bottom"/>
          </w:tcPr>
          <w:p>
            <w:pPr>
              <w:ind w:left="1520"/>
              <w:spacing w:after="0"/>
              <w:rPr>
                <w:sz w:val="20"/>
                <w:szCs w:val="20"/>
                <w:color w:val="auto"/>
              </w:rPr>
            </w:pPr>
            <w:r>
              <w:rPr>
                <w:rFonts w:ascii="Arial" w:cs="Arial" w:eastAsia="Arial" w:hAnsi="Arial"/>
                <w:sz w:val="18"/>
                <w:szCs w:val="18"/>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20154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6260" w:space="160"/>
            <w:col w:w="3120"/>
          </w:cols>
          <w:pgMar w:left="1180" w:top="279" w:right="11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31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r>
      <w:tr>
        <w:trPr>
          <w:trHeight w:val="209"/>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of our remaining shareholders and our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4"/>
              </w:rPr>
              <w:t>board of directors, dissolve and liquidate,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subject in each case to our obligations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under Cayman Islands law to provide for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6"/>
              </w:rPr>
              <w:t>claims of creditors and the requirements</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of other applicable law.</w:t>
            </w:r>
          </w:p>
        </w:tc>
      </w:tr>
      <w:tr>
        <w:trPr>
          <w:trHeight w:val="472"/>
        </w:trPr>
        <w:tc>
          <w:tcPr>
            <w:tcW w:w="3120" w:type="dxa"/>
            <w:vAlign w:val="bottom"/>
          </w:tcPr>
          <w:p>
            <w:pPr>
              <w:spacing w:after="0"/>
              <w:rPr>
                <w:sz w:val="20"/>
                <w:szCs w:val="20"/>
                <w:color w:val="auto"/>
              </w:rPr>
            </w:pPr>
            <w:r>
              <w:rPr>
                <w:rFonts w:ascii="Arial" w:cs="Arial" w:eastAsia="Arial" w:hAnsi="Arial"/>
                <w:sz w:val="18"/>
                <w:szCs w:val="18"/>
                <w:b w:val="1"/>
                <w:bCs w:val="1"/>
                <w:color w:val="auto"/>
              </w:rPr>
              <w:t>Release of funds</w:t>
            </w:r>
          </w:p>
        </w:tc>
        <w:tc>
          <w:tcPr>
            <w:tcW w:w="3140" w:type="dxa"/>
            <w:vAlign w:val="bottom"/>
          </w:tcPr>
          <w:p>
            <w:pPr>
              <w:ind w:left="40"/>
              <w:spacing w:after="0"/>
              <w:rPr>
                <w:sz w:val="20"/>
                <w:szCs w:val="20"/>
                <w:color w:val="auto"/>
              </w:rPr>
            </w:pPr>
            <w:r>
              <w:rPr>
                <w:rFonts w:ascii="Arial" w:cs="Arial" w:eastAsia="Arial" w:hAnsi="Arial"/>
                <w:sz w:val="18"/>
                <w:szCs w:val="18"/>
                <w:color w:val="auto"/>
                <w:w w:val="94"/>
              </w:rPr>
              <w:t>Except with respect to interest earned 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the funds held in the trust account that</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3"/>
              </w:rPr>
              <w:t>may be released to us to pay our taxes, if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any, the funds held in the trust account</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2"/>
              </w:rPr>
              <w:t>will not be released from the trust account</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until the earliest to occur of: (1) the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completion of our initial business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combination; (2) the redemption of any</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public shares properly submitted in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connection with a shareholder vote to</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amend our amended and restated</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memorandum and articles of association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(A) to modify the substance or timing of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our obligation to redeem 100% of our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public shares if we do not complete our</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initial business combination within 18</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9"/>
              </w:rPr>
              <w:t>months from the closing of this offering</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or (B) with respect to any other provision</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relating to shareholders’ rights or pre-</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6"/>
              </w:rPr>
              <w:t>initial business combination activity; and</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5"/>
              </w:rPr>
              <w:t>(3) the redemption of our public shares if</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we are unable to complete our initial</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business combination within 18 months</w:t>
            </w:r>
          </w:p>
        </w:tc>
      </w:tr>
      <w:tr>
        <w:trPr>
          <w:trHeight w:val="216"/>
        </w:trPr>
        <w:tc>
          <w:tcPr>
            <w:tcW w:w="312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8"/>
              </w:rPr>
              <w:t>from the closing of this offering, subject</w:t>
            </w:r>
          </w:p>
        </w:tc>
      </w:tr>
      <w:tr>
        <w:trPr>
          <w:trHeight w:val="230"/>
        </w:trPr>
        <w:tc>
          <w:tcPr>
            <w:tcW w:w="3120" w:type="dxa"/>
            <w:vAlign w:val="bottom"/>
          </w:tcPr>
          <w:p>
            <w:pPr>
              <w:spacing w:after="0"/>
              <w:rPr>
                <w:sz w:val="20"/>
                <w:szCs w:val="20"/>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rPr>
              <w:t>to applicable law.</w:t>
            </w: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20154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4492" w:lineRule="exact"/>
        <w:rPr>
          <w:sz w:val="20"/>
          <w:szCs w:val="20"/>
          <w:color w:val="auto"/>
        </w:rPr>
      </w:pPr>
    </w:p>
    <w:p>
      <w:pPr>
        <w:sectPr>
          <w:pgSz w:w="11900" w:h="16838" w:orient="portrait"/>
          <w:cols w:equalWidth="0" w:num="2">
            <w:col w:w="6260" w:space="160"/>
            <w:col w:w="3140"/>
          </w:cols>
          <w:pgMar w:left="1180" w:top="279" w:right="1159" w:bottom="1440" w:gutter="0" w:footer="0" w:header="0"/>
        </w:sectPr>
      </w:pPr>
    </w:p>
    <w:p>
      <w:pPr>
        <w:spacing w:after="0" w:line="5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306705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2900" w:space="260"/>
            <w:col w:w="3020" w:space="240"/>
            <w:col w:w="3140"/>
          </w:cols>
          <w:pgMar w:left="1180" w:top="279" w:right="1159" w:bottom="1440" w:gutter="0" w:footer="0" w:header="0"/>
          <w:type w:val="continuous"/>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15240</wp:posOffset>
            </wp:positionV>
            <wp:extent cx="19983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redeeming its shares with respect Excess Shares (more than an aggregate of 15% of the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23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p>
      <w:pPr>
        <w:spacing w:after="0" w:line="200" w:lineRule="exact"/>
        <w:rPr>
          <w:sz w:val="20"/>
          <w:szCs w:val="20"/>
          <w:color w:val="auto"/>
        </w:rPr>
      </w:pPr>
    </w:p>
    <w:p>
      <w:pPr>
        <w:spacing w:after="0" w:line="22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306705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20154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shareholders to arrange for them to deliver their certificate to verify ownership.</w:t>
      </w:r>
    </w:p>
    <w:p>
      <w:pPr>
        <w:sectPr>
          <w:pgSz w:w="11900" w:h="16838" w:orient="portrait"/>
          <w:cols w:equalWidth="0" w:num="3">
            <w:col w:w="2520" w:space="640"/>
            <w:col w:w="3020" w:space="240"/>
            <w:col w:w="3120"/>
          </w:cols>
          <w:pgMar w:left="118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currently maintain our executive offices at 1114 6th Ave, 41st Floor New York, New York, 10036. The cost for the space is included in the up to $20,000 monthly fee that we will pay our sponsor for office space, administrative and support services. We consider our current office space adequate for our current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currently have four executive officers and do not intend to have any full-time employees prior to the completion of our initial business combination. Members of our management team are not obligated to devote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auditors.</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U.S. GAAP or IFRS, depending on the circumstances and the historical financial statements may be required to be audited in accordance with PCAOB standards.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2020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4"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completion of this offering, (b) in which we have total annual gross revenue of at least $1.07 billion, or (c) in which we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deemed to be a large accelerated filer, which means the market value of our ordinary shares that is held by non-affiliates exceeds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as of the end of the prior fiscal year’s second fiscal quarter, and (2) the date on which we have issued more than $1.00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in non-convertible debt securities during the prior three-year period. References herein to “emerging growth company”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 associated with it in the JOBS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500" w:type="dxa"/>
            <w:vAlign w:val="bottom"/>
            <w:gridSpan w:val="6"/>
          </w:tcPr>
          <w:p>
            <w:pPr>
              <w:ind w:left="40"/>
              <w:spacing w:after="0"/>
              <w:rPr>
                <w:sz w:val="20"/>
                <w:szCs w:val="20"/>
                <w:color w:val="auto"/>
              </w:rPr>
            </w:pPr>
            <w:r>
              <w:rPr>
                <w:rFonts w:ascii="Arial" w:cs="Arial" w:eastAsia="Arial" w:hAnsi="Arial"/>
                <w:sz w:val="18"/>
                <w:szCs w:val="18"/>
                <w:b w:val="1"/>
                <w:bCs w:val="1"/>
                <w:color w:val="auto"/>
              </w:rPr>
              <w:t>MANAGEMENT</w:t>
            </w:r>
          </w:p>
        </w:tc>
        <w:tc>
          <w:tcPr>
            <w:tcW w:w="0" w:type="dxa"/>
            <w:vAlign w:val="bottom"/>
          </w:tcPr>
          <w:p>
            <w:pPr>
              <w:spacing w:after="0"/>
              <w:rPr>
                <w:sz w:val="1"/>
                <w:szCs w:val="1"/>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w w:val="90"/>
              </w:rPr>
              <w:t>Directors, Director Nominees and Executive Officers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9"/>
                <w:szCs w:val="19"/>
                <w:color w:val="auto"/>
              </w:rPr>
            </w:pPr>
          </w:p>
        </w:tc>
        <w:tc>
          <w:tcPr>
            <w:tcW w:w="4500" w:type="dxa"/>
            <w:vAlign w:val="bottom"/>
            <w:gridSpan w:val="2"/>
          </w:tcPr>
          <w:p>
            <w:pPr>
              <w:ind w:left="210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Scott Gordon</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William Healy</w:t>
            </w:r>
          </w:p>
        </w:tc>
        <w:tc>
          <w:tcPr>
            <w:tcW w:w="8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56</w:t>
            </w: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President and Director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Gregory M. Gentile</w:t>
            </w:r>
          </w:p>
        </w:tc>
        <w:tc>
          <w:tcPr>
            <w:tcW w:w="82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9"/>
              </w:rPr>
              <w:t>42</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Mohammed Grimeh</w:t>
            </w:r>
          </w:p>
        </w:tc>
        <w:tc>
          <w:tcPr>
            <w:tcW w:w="8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52</w:t>
            </w: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Orrin Devinsky</w:t>
            </w:r>
          </w:p>
        </w:tc>
        <w:tc>
          <w:tcPr>
            <w:tcW w:w="82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9"/>
              </w:rPr>
              <w:t>62</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Richard M. Goldman</w:t>
            </w:r>
          </w:p>
        </w:tc>
        <w:tc>
          <w:tcPr>
            <w:tcW w:w="8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58</w:t>
            </w: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Kenneth H. Landis</w:t>
            </w:r>
          </w:p>
        </w:tc>
        <w:tc>
          <w:tcPr>
            <w:tcW w:w="82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9"/>
              </w:rPr>
              <w:t>68</w:t>
            </w: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directors, director nominees and executive officers are as follows: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Scott Gordon </w:t>
      </w:r>
      <w:r>
        <w:rPr>
          <w:rFonts w:ascii="Arial" w:cs="Arial" w:eastAsia="Arial" w:hAnsi="Arial"/>
          <w:sz w:val="17"/>
          <w:szCs w:val="17"/>
          <w:color w:val="auto"/>
        </w:rPr>
        <w:t>has been the Chairman of our board of directors and has served as our Chief Executive Officer since our inception.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7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William Healy </w:t>
      </w:r>
      <w:r>
        <w:rPr>
          <w:rFonts w:ascii="Arial" w:cs="Arial" w:eastAsia="Arial" w:hAnsi="Arial"/>
          <w:sz w:val="17"/>
          <w:szCs w:val="17"/>
          <w:color w:val="auto"/>
        </w:rPr>
        <w:t>has been a member of our board of directors and has served as our President since our inception. Since 1986,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7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Gregory M. Gentile </w:t>
      </w:r>
      <w:r>
        <w:rPr>
          <w:rFonts w:ascii="Arial" w:cs="Arial" w:eastAsia="Arial" w:hAnsi="Arial"/>
          <w:sz w:val="17"/>
          <w:szCs w:val="17"/>
          <w:color w:val="auto"/>
        </w:rPr>
        <w:t>has served as our Chief Financial Officer since our inception. From 2010 to 2018, Mr. Gentile was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GMG 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Mohammed Grimeh </w:t>
      </w:r>
      <w:r>
        <w:rPr>
          <w:rFonts w:ascii="Arial" w:cs="Arial" w:eastAsia="Arial" w:hAnsi="Arial"/>
          <w:sz w:val="18"/>
          <w:szCs w:val="18"/>
          <w:color w:val="auto"/>
        </w:rPr>
        <w:t>has served as our Chief Operating Officer since our inception. From 2016 to 2018, Mr. Grimeh was deputy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Head Fixed Income at Millennium Management, a global Alternative Asset Manager based in New York. From 2009 to 2016, Mr. Grimeh was Managing Director and head of Global Markets for Standard Chartered Bank, Americas. From 1998 to 2008, Mr. Grimeh was at Lehman Brothers where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he held various roles including managing director and global head Emerging Markets. Prior to that, he was a Managing Director at ING Barings from 1993 to 1998. He started his career at Societe Generale, a French Bank in 1990 and moved in 1992 to London to join Westpac banking Corporation. Mr. Grimeh graduated from Ecole Centrale in Paris in 1990.</w:t>
      </w:r>
    </w:p>
    <w:p>
      <w:pPr>
        <w:spacing w:after="0" w:line="5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 xml:space="preserve">Orrin Devinsky </w:t>
      </w:r>
      <w:r>
        <w:rPr>
          <w:rFonts w:ascii="Arial" w:cs="Arial" w:eastAsia="Arial" w:hAnsi="Arial"/>
          <w:sz w:val="17"/>
          <w:szCs w:val="17"/>
          <w:color w:val="auto"/>
        </w:rPr>
        <w:t>will be appointed as a member of our board of directors in connection with this offering. Since 1989, Dr. Devinsky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directed the 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Richard M. Goldman </w:t>
      </w:r>
      <w:r>
        <w:rPr>
          <w:rFonts w:ascii="Arial" w:cs="Arial" w:eastAsia="Arial" w:hAnsi="Arial"/>
          <w:sz w:val="17"/>
          <w:szCs w:val="17"/>
          <w:color w:val="auto"/>
        </w:rPr>
        <w:t>will be appointed as a member of our board of directors in connection with this offering. Since 2012,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Goldman has been the 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Kenneth H. Landis </w:t>
      </w:r>
      <w:r>
        <w:rPr>
          <w:rFonts w:ascii="Arial" w:cs="Arial" w:eastAsia="Arial" w:hAnsi="Arial"/>
          <w:sz w:val="17"/>
          <w:szCs w:val="17"/>
          <w:color w:val="auto"/>
        </w:rPr>
        <w:t>will be appointed as a member of our board of directors in connection with this offering. Since 2000, Mr. Landis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the CEO of Landis Capital, LLC, a provider of capital for seed, early stage and later 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 stage private companies and as a Trustee of Suffield Academy. Mr. Landis obtained a BS in Economics degree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our directors, director nominees and executive officers, the following individual will be advising us in making our initial business combination:</w:t>
      </w:r>
    </w:p>
    <w:p>
      <w:pPr>
        <w:spacing w:after="0" w:line="6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Rob Josephson </w:t>
      </w:r>
      <w:r>
        <w:rPr>
          <w:rFonts w:ascii="Arial" w:cs="Arial" w:eastAsia="Arial" w:hAnsi="Arial"/>
          <w:sz w:val="16"/>
          <w:szCs w:val="16"/>
          <w:color w:val="auto"/>
        </w:rPr>
        <w:t>has served as an investment consultant since our inception. From October 2017 to present Mr. Josephson has acted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CEO of Seed Capital, a merchant bank. From January 2014 to October 2017 Mr. Josephson acted as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Terms of Office and Election of Officers and Directors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five members. Our board of directors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None of our officers or directors have received or, prior to our initial business combination, will receive any cash compensation for services rendered to us. We will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this offering, our sponsor intends to grant sponsor LLC equity interests to our independent director nominees that collectively comprise approximately 1% of the outstanding equity interests in our sponsor. Our audit committee will review on a quarterly basis all payments that were made to our sponsor, officers, directors or our or any of their affiliates.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Pursuant to Nasdaq listing rules we will establish three standing committees - an audit committee in compliance with Section 3(a) (58)(A) of the Exchange Act, a compensation committee and a nominating committee, each comprised of independent directors. Under Nasdaq listing rule 5615(b)(1), a company listing in connection with its initial public offering is permitted to phase in its compliance with the independent committee requirements. We do not intend to rely on the phase-in schedules set forth in Nasdaq listing rule 5615(b)(1).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The members of our audit committee will be Orrin Devinsky, Richard Goldman and Kenneth Landis. Kenneth Landis will serve as chairman of the audit committee.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Kenneth Landis qualifies as an “audit committee financial expert” as defined in applicable SEC rules and has accounting or related financial management expertise.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will adopt an audit committee charter, which will detail the purpose and principal functions of the audit committee, including:</w:t>
      </w:r>
    </w:p>
    <w:p>
      <w:pPr>
        <w:spacing w:after="0" w:line="140" w:lineRule="exact"/>
        <w:rPr>
          <w:sz w:val="20"/>
          <w:szCs w:val="20"/>
          <w:color w:val="auto"/>
        </w:rPr>
      </w:pPr>
    </w:p>
    <w:p>
      <w:pPr>
        <w:ind w:left="700" w:right="100" w:hanging="356"/>
        <w:spacing w:after="0" w:line="26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73" w:lineRule="exact"/>
        <w:rPr>
          <w:rFonts w:ascii="Arial" w:cs="Arial" w:eastAsia="Arial" w:hAnsi="Arial"/>
          <w:sz w:val="18"/>
          <w:szCs w:val="18"/>
          <w:color w:val="auto"/>
        </w:rPr>
      </w:pPr>
    </w:p>
    <w:p>
      <w:pPr>
        <w:ind w:left="700" w:right="38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62"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117" w:lineRule="exact"/>
        <w:rPr>
          <w:rFonts w:ascii="Arial" w:cs="Arial" w:eastAsia="Arial" w:hAnsi="Arial"/>
          <w:sz w:val="18"/>
          <w:szCs w:val="18"/>
          <w:color w:val="auto"/>
        </w:rPr>
      </w:pPr>
    </w:p>
    <w:p>
      <w:pPr>
        <w:ind w:left="700" w:right="60" w:hanging="356"/>
        <w:spacing w:after="0" w:line="25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80"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73"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62" w:lineRule="exact"/>
        <w:rPr>
          <w:rFonts w:ascii="Arial" w:cs="Arial" w:eastAsia="Arial" w:hAnsi="Arial"/>
          <w:sz w:val="18"/>
          <w:szCs w:val="18"/>
          <w:color w:val="auto"/>
        </w:rPr>
      </w:pPr>
    </w:p>
    <w:p>
      <w:pPr>
        <w:ind w:left="700" w:right="40" w:hanging="356"/>
        <w:spacing w:after="0" w:line="25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Orrin Devinsky, Richard Goldman and Kenneth Landis. Richard Goldman will serve as chairman of the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committee. We will adopt a compensation committee charter, which will detail the purpose and responsibility of the compensation committee, including:</w:t>
      </w:r>
    </w:p>
    <w:p>
      <w:pPr>
        <w:spacing w:after="0" w:line="62" w:lineRule="exact"/>
        <w:rPr>
          <w:sz w:val="20"/>
          <w:szCs w:val="20"/>
          <w:color w:val="auto"/>
        </w:rPr>
      </w:pPr>
    </w:p>
    <w:p>
      <w:pPr>
        <w:ind w:left="700" w:hanging="356"/>
        <w:spacing w:after="0" w:line="286" w:lineRule="auto"/>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57" w:lineRule="exact"/>
        <w:rPr>
          <w:rFonts w:ascii="Arial" w:cs="Arial" w:eastAsia="Arial" w:hAnsi="Arial"/>
          <w:sz w:val="17"/>
          <w:szCs w:val="17"/>
          <w:color w:val="auto"/>
        </w:rPr>
      </w:pPr>
    </w:p>
    <w:p>
      <w:pPr>
        <w:ind w:left="700" w:right="300" w:hanging="356"/>
        <w:spacing w:after="0" w:line="308" w:lineRule="auto"/>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the compensation and any incentive-compensation and equity-based plans that are subject to board approval of all of our other officers;</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committee of the board of directors. The members of our nominating committee will be Orrin Devinsky, Richard Goldman and Kenneth Landis. Orrin Devinsky will serve as chair of the nominating committee. We will adopt a nominating committee charter, which will detail the purpose and responsibilities of the nominating committee, including:</w:t>
      </w:r>
    </w:p>
    <w:p>
      <w:pPr>
        <w:spacing w:after="0" w:line="79" w:lineRule="exact"/>
        <w:rPr>
          <w:sz w:val="20"/>
          <w:szCs w:val="20"/>
          <w:color w:val="auto"/>
        </w:rPr>
      </w:pPr>
    </w:p>
    <w:p>
      <w:pPr>
        <w:ind w:left="700" w:right="240" w:hanging="356"/>
        <w:spacing w:after="0" w:line="264"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73"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on a regular basis our overall corporate governance and recommending improvements as and when necessary.</w:t>
      </w:r>
    </w:p>
    <w:p>
      <w:pPr>
        <w:spacing w:after="0" w:line="14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charter will also provide that the nominating committee may, in their sole discretion, retain or obtain the advice of, and terminate, any search firm to be used to identify director candidates, and will be directly responsible for approving the search firm’s fees and other retention terms.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Prior to the effectiveness of the registration statement of which this prospectus is a part, we will have adopted a code of ethics applicable to our directors, officers and employees (our “Code of Ethics”). Our Code of Ethics will be available on our website upon the completion of this offering. Our Code of Ethics is a “code of ethics,” as defined in Item 406(b) of Regulation S-K. We will make any legally required disclosures regarding amendments to, or waivers of, provisions of our Code of Ethics on our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17"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117"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117" w:lineRule="exact"/>
        <w:rPr>
          <w:sz w:val="20"/>
          <w:szCs w:val="20"/>
          <w:color w:val="auto"/>
        </w:rPr>
      </w:pPr>
    </w:p>
    <w:p>
      <w:pPr>
        <w:ind w:left="700" w:right="58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62"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64" w:lineRule="auto"/>
        <w:rPr>
          <w:sz w:val="20"/>
          <w:szCs w:val="20"/>
          <w:color w:val="auto"/>
        </w:rPr>
      </w:pPr>
      <w:r>
        <w:rPr>
          <w:rFonts w:ascii="Arial" w:cs="Arial" w:eastAsia="Arial" w:hAnsi="Arial"/>
          <w:sz w:val="18"/>
          <w:szCs w:val="18"/>
          <w:color w:val="auto"/>
        </w:rPr>
        <w:t>other entities with which they are affiliated. Our management may have conflicts of interest in determining to which entity a particular business opportunity should be presented. For a complete description of our management’s other affiliations, see “—Directors, Director Nominees and Executive Officers.”</w:t>
      </w:r>
    </w:p>
    <w:p>
      <w:pPr>
        <w:spacing w:after="0" w:line="73" w:lineRule="exact"/>
        <w:rPr>
          <w:sz w:val="20"/>
          <w:szCs w:val="20"/>
          <w:color w:val="auto"/>
        </w:rPr>
      </w:pPr>
    </w:p>
    <w:p>
      <w:pPr>
        <w:ind w:left="700" w:right="20" w:hanging="356"/>
        <w:spacing w:after="0" w:line="284"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within 18 months after the closing of this offering. However, if our initial shareholders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this offering, our officers and directors may have a conflict of interest in determining whether a particular target business is an appropriate business with which to effectuate our initial business combination.</w:t>
      </w:r>
    </w:p>
    <w:p>
      <w:pPr>
        <w:spacing w:after="0" w:line="70" w:lineRule="exact"/>
        <w:rPr>
          <w:rFonts w:ascii="Arial" w:cs="Arial" w:eastAsia="Arial" w:hAnsi="Arial"/>
          <w:sz w:val="16"/>
          <w:szCs w:val="16"/>
          <w:color w:val="auto"/>
        </w:rPr>
      </w:pPr>
    </w:p>
    <w:p>
      <w:pPr>
        <w:ind w:left="700" w:right="40" w:hanging="356"/>
        <w:spacing w:after="0" w:line="25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78"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Accordingly, as a result of multiple business affiliations, our officers and directors have similar legal obligations relating to presenting business opportunities meeting the above-listed criteria to multiple entities. Below is a table summarizing the entities to which our officers, directors and director nominees currently have fiduciary duties or contractual obligations: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Individual</w:t>
            </w:r>
          </w:p>
        </w:tc>
        <w:tc>
          <w:tcPr>
            <w:tcW w:w="180" w:type="dxa"/>
            <w:vAlign w:val="bottom"/>
          </w:tcPr>
          <w:p>
            <w:pPr>
              <w:spacing w:after="0"/>
              <w:rPr>
                <w:sz w:val="16"/>
                <w:szCs w:val="16"/>
                <w:color w:val="auto"/>
              </w:rPr>
            </w:pPr>
          </w:p>
        </w:tc>
        <w:tc>
          <w:tcPr>
            <w:tcW w:w="22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Entity</w:t>
            </w:r>
          </w:p>
        </w:tc>
        <w:tc>
          <w:tcPr>
            <w:tcW w:w="180" w:type="dxa"/>
            <w:vAlign w:val="bottom"/>
          </w:tcPr>
          <w:p>
            <w:pPr>
              <w:spacing w:after="0"/>
              <w:rPr>
                <w:sz w:val="16"/>
                <w:szCs w:val="16"/>
                <w:color w:val="auto"/>
              </w:rPr>
            </w:pPr>
          </w:p>
        </w:tc>
        <w:tc>
          <w:tcPr>
            <w:tcW w:w="22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Entity’s Business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Affiliation</w:t>
            </w:r>
          </w:p>
        </w:tc>
        <w:tc>
          <w:tcPr>
            <w:tcW w:w="100" w:type="dxa"/>
            <w:vAlign w:val="bottom"/>
          </w:tcPr>
          <w:p>
            <w:pPr>
              <w:spacing w:after="0"/>
              <w:rPr>
                <w:sz w:val="16"/>
                <w:szCs w:val="16"/>
                <w:color w:val="auto"/>
              </w:rPr>
            </w:pPr>
          </w:p>
        </w:tc>
      </w:tr>
      <w:tr>
        <w:trPr>
          <w:trHeight w:val="156"/>
        </w:trPr>
        <w:tc>
          <w:tcPr>
            <w:tcW w:w="22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Scott Gordon</w:t>
            </w:r>
          </w:p>
        </w:tc>
        <w:tc>
          <w:tcPr>
            <w:tcW w:w="2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5"/>
                <w:szCs w:val="15"/>
                <w:color w:val="auto"/>
              </w:rPr>
              <w:t>Egg Rock Holdings (including</w:t>
            </w:r>
          </w:p>
        </w:tc>
        <w:tc>
          <w:tcPr>
            <w:tcW w:w="2480" w:type="dxa"/>
            <w:vAlign w:val="bottom"/>
            <w:gridSpan w:val="3"/>
            <w:shd w:val="clear" w:color="auto" w:fill="CCEEFF"/>
          </w:tcPr>
          <w:p>
            <w:pPr>
              <w:ind w:left="120"/>
              <w:spacing w:after="0" w:line="156" w:lineRule="exact"/>
              <w:rPr>
                <w:sz w:val="20"/>
                <w:szCs w:val="20"/>
                <w:color w:val="auto"/>
              </w:rPr>
            </w:pPr>
            <w:r>
              <w:rPr>
                <w:rFonts w:ascii="Arial" w:cs="Arial" w:eastAsia="Arial" w:hAnsi="Arial"/>
                <w:sz w:val="15"/>
                <w:szCs w:val="15"/>
                <w:color w:val="auto"/>
              </w:rPr>
              <w:t>Cannabis products, manufacturing,</w:t>
            </w:r>
          </w:p>
        </w:tc>
        <w:tc>
          <w:tcPr>
            <w:tcW w:w="2460" w:type="dxa"/>
            <w:vAlign w:val="bottom"/>
            <w:gridSpan w:val="3"/>
            <w:shd w:val="clear" w:color="auto" w:fill="CCEEFF"/>
          </w:tcPr>
          <w:p>
            <w:pPr>
              <w:ind w:left="60"/>
              <w:spacing w:after="0" w:line="156" w:lineRule="exact"/>
              <w:rPr>
                <w:sz w:val="20"/>
                <w:szCs w:val="20"/>
                <w:color w:val="auto"/>
              </w:rPr>
            </w:pPr>
            <w:r>
              <w:rPr>
                <w:rFonts w:ascii="Arial" w:cs="Arial" w:eastAsia="Arial" w:hAnsi="Arial"/>
                <w:sz w:val="15"/>
                <w:szCs w:val="15"/>
                <w:color w:val="auto"/>
              </w:rPr>
              <w:t>Co-founder and Chairman</w:t>
            </w:r>
          </w:p>
        </w:tc>
      </w:tr>
      <w:tr>
        <w:trPr>
          <w:trHeight w:val="162"/>
        </w:trPr>
        <w:tc>
          <w:tcPr>
            <w:tcW w:w="2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subsidiaries operating the Papa &amp;</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processing, and logistics; hemp-</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2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Barkley business line)</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derived CBD</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200" w:type="dxa"/>
            <w:vAlign w:val="bottom"/>
          </w:tcPr>
          <w:p>
            <w:pPr>
              <w:spacing w:after="0"/>
              <w:rPr>
                <w:sz w:val="14"/>
                <w:szCs w:val="14"/>
                <w:color w:val="auto"/>
              </w:rPr>
            </w:pP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Silver Spike Capital</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w w:val="97"/>
              </w:rPr>
              <w:t>Asset management fund focused on</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Manager, CEO</w:t>
            </w: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cannabis and related health &amp;</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wellness industries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William Healy</w:t>
            </w: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Silver Spike Capital</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w w:val="97"/>
              </w:rPr>
              <w:t>Asset management fund focused on</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rPr>
              <w:t>Manager</w:t>
            </w:r>
          </w:p>
        </w:tc>
      </w:tr>
      <w:tr>
        <w:trPr>
          <w:trHeight w:val="162"/>
        </w:trPr>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cannabis and related health &amp;</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wellness industries</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color w:val="auto"/>
              </w:rPr>
              <w:t>Greg Gentile</w:t>
            </w: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Silver Spike Capital</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w w:val="97"/>
              </w:rPr>
              <w:t>Asset management fund focused on</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Manager, CFO</w:t>
            </w: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cannabis and related health &amp;</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wellness industries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Mohammed Grimeh</w:t>
            </w: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Silver Spike Capital</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w w:val="97"/>
              </w:rPr>
              <w:t>Asset management fund focused on</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rPr>
              <w:t>Manager, COO</w:t>
            </w:r>
          </w:p>
        </w:tc>
      </w:tr>
      <w:tr>
        <w:trPr>
          <w:trHeight w:val="162"/>
        </w:trPr>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cannabis and related health &amp;</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wellness industries</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color w:val="auto"/>
              </w:rPr>
              <w:t>Orrin Devinsky</w:t>
            </w: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NYU Langone Comprehensive</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Medical center</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Director</w:t>
            </w:r>
          </w:p>
        </w:tc>
      </w:tr>
      <w:tr>
        <w:trPr>
          <w:trHeight w:val="189"/>
        </w:trPr>
        <w:tc>
          <w:tcPr>
            <w:tcW w:w="2200" w:type="dxa"/>
            <w:vAlign w:val="bottom"/>
          </w:tcPr>
          <w:p>
            <w:pPr>
              <w:spacing w:after="0"/>
              <w:rPr>
                <w:sz w:val="16"/>
                <w:szCs w:val="16"/>
                <w:color w:val="auto"/>
              </w:rPr>
            </w:pPr>
          </w:p>
        </w:tc>
        <w:tc>
          <w:tcPr>
            <w:tcW w:w="2420" w:type="dxa"/>
            <w:vAlign w:val="bottom"/>
            <w:gridSpan w:val="2"/>
          </w:tcPr>
          <w:p>
            <w:pPr>
              <w:ind w:left="120"/>
              <w:spacing w:after="0"/>
              <w:rPr>
                <w:sz w:val="20"/>
                <w:szCs w:val="20"/>
                <w:color w:val="auto"/>
              </w:rPr>
            </w:pPr>
            <w:r>
              <w:rPr>
                <w:rFonts w:ascii="Arial" w:cs="Arial" w:eastAsia="Arial" w:hAnsi="Arial"/>
                <w:sz w:val="15"/>
                <w:szCs w:val="15"/>
                <w:color w:val="auto"/>
              </w:rPr>
              <w:t>Epilepsy Center</w:t>
            </w: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NYU School of Medicine</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Medical school</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w w:val="92"/>
              </w:rPr>
              <w:t>Professor of Neurology, Neuroscience,</w:t>
            </w: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Psychiatry and Neurosurgery</w:t>
            </w:r>
          </w:p>
        </w:tc>
      </w:tr>
      <w:tr>
        <w:trPr>
          <w:trHeight w:val="189"/>
        </w:trPr>
        <w:tc>
          <w:tcPr>
            <w:tcW w:w="2200" w:type="dxa"/>
            <w:vAlign w:val="bottom"/>
          </w:tcPr>
          <w:p>
            <w:pPr>
              <w:spacing w:after="0"/>
              <w:rPr>
                <w:sz w:val="16"/>
                <w:szCs w:val="16"/>
                <w:color w:val="auto"/>
              </w:rPr>
            </w:pPr>
          </w:p>
        </w:tc>
        <w:tc>
          <w:tcPr>
            <w:tcW w:w="2420" w:type="dxa"/>
            <w:vAlign w:val="bottom"/>
            <w:gridSpan w:val="2"/>
          </w:tcPr>
          <w:p>
            <w:pPr>
              <w:ind w:left="120"/>
              <w:spacing w:after="0"/>
              <w:rPr>
                <w:sz w:val="20"/>
                <w:szCs w:val="20"/>
                <w:color w:val="auto"/>
              </w:rPr>
            </w:pPr>
            <w:r>
              <w:rPr>
                <w:rFonts w:ascii="Arial" w:cs="Arial" w:eastAsia="Arial" w:hAnsi="Arial"/>
                <w:sz w:val="15"/>
                <w:szCs w:val="15"/>
                <w:color w:val="auto"/>
              </w:rPr>
              <w:t>Tilray</w:t>
            </w: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Pharmaceutical and cannabis</w:t>
            </w:r>
          </w:p>
        </w:tc>
        <w:tc>
          <w:tcPr>
            <w:tcW w:w="2460" w:type="dxa"/>
            <w:vAlign w:val="bottom"/>
            <w:gridSpan w:val="3"/>
          </w:tcPr>
          <w:p>
            <w:pPr>
              <w:ind w:left="60"/>
              <w:spacing w:after="0"/>
              <w:rPr>
                <w:sz w:val="20"/>
                <w:szCs w:val="20"/>
                <w:color w:val="auto"/>
              </w:rPr>
            </w:pPr>
            <w:r>
              <w:rPr>
                <w:rFonts w:ascii="Arial" w:cs="Arial" w:eastAsia="Arial" w:hAnsi="Arial"/>
                <w:sz w:val="15"/>
                <w:szCs w:val="15"/>
                <w:color w:val="auto"/>
                <w:w w:val="99"/>
              </w:rPr>
              <w:t>Chair of the Medical Advisory Board</w:t>
            </w:r>
          </w:p>
        </w:tc>
      </w:tr>
      <w:tr>
        <w:trPr>
          <w:trHeight w:val="162"/>
        </w:trPr>
        <w:tc>
          <w:tcPr>
            <w:tcW w:w="2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Papa &amp; Barkley</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Cannabis products, manufacturing,</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rPr>
              <w:t>Member of the Scientific Advisory</w:t>
            </w:r>
          </w:p>
        </w:tc>
      </w:tr>
      <w:tr>
        <w:trPr>
          <w:trHeight w:val="162"/>
        </w:trPr>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processing, and logistics; hemp-</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rPr>
              <w:t>Board</w:t>
            </w: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derived CBD</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200" w:type="dxa"/>
            <w:vAlign w:val="bottom"/>
          </w:tcPr>
          <w:p>
            <w:pPr>
              <w:spacing w:after="0"/>
              <w:rPr>
                <w:sz w:val="14"/>
                <w:szCs w:val="14"/>
                <w:color w:val="auto"/>
              </w:rPr>
            </w:pP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Tevard</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Genetic therapy</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w w:val="93"/>
              </w:rPr>
              <w:t>Member of the Business and Scientific</w:t>
            </w:r>
          </w:p>
        </w:tc>
      </w:tr>
      <w:tr>
        <w:trPr>
          <w:trHeight w:val="189"/>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gridSpan w:val="3"/>
          </w:tcPr>
          <w:p>
            <w:pPr>
              <w:ind w:left="60"/>
              <w:spacing w:after="0"/>
              <w:rPr>
                <w:sz w:val="20"/>
                <w:szCs w:val="20"/>
                <w:color w:val="auto"/>
              </w:rPr>
            </w:pPr>
            <w:r>
              <w:rPr>
                <w:rFonts w:ascii="Arial" w:cs="Arial" w:eastAsia="Arial" w:hAnsi="Arial"/>
                <w:sz w:val="15"/>
                <w:szCs w:val="15"/>
                <w:color w:val="auto"/>
              </w:rPr>
              <w:t>Advisory Boards</w:t>
            </w:r>
          </w:p>
        </w:tc>
      </w:tr>
      <w:tr>
        <w:trPr>
          <w:trHeight w:val="162"/>
        </w:trPr>
        <w:tc>
          <w:tcPr>
            <w:tcW w:w="2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Engage Therapeutics</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Biopharmaceutical</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w w:val="93"/>
              </w:rPr>
              <w:t>Member of the Business and Scientific</w:t>
            </w: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Advisory Boards</w:t>
            </w:r>
          </w:p>
        </w:tc>
      </w:tr>
      <w:tr>
        <w:trPr>
          <w:trHeight w:val="162"/>
        </w:trPr>
        <w:tc>
          <w:tcPr>
            <w:tcW w:w="2200" w:type="dxa"/>
            <w:vAlign w:val="bottom"/>
          </w:tcPr>
          <w:p>
            <w:pPr>
              <w:spacing w:after="0"/>
              <w:rPr>
                <w:sz w:val="14"/>
                <w:szCs w:val="14"/>
                <w:color w:val="auto"/>
              </w:rPr>
            </w:pP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Receptor Life Sciences</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Cannabinoid medicine drug</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Chief Medical Officer</w:t>
            </w:r>
          </w:p>
        </w:tc>
      </w:tr>
      <w:tr>
        <w:trPr>
          <w:trHeight w:val="189"/>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development</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Empatica</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Seizure detection watch</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rPr>
              <w:t>Member of the Scientific Advisory</w:t>
            </w: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Board</w:t>
            </w:r>
          </w:p>
        </w:tc>
      </w:tr>
      <w:tr>
        <w:trPr>
          <w:trHeight w:val="162"/>
        </w:trPr>
        <w:tc>
          <w:tcPr>
            <w:tcW w:w="2200" w:type="dxa"/>
            <w:vAlign w:val="bottom"/>
          </w:tcPr>
          <w:p>
            <w:pPr>
              <w:spacing w:after="0"/>
              <w:rPr>
                <w:sz w:val="14"/>
                <w:szCs w:val="14"/>
                <w:color w:val="auto"/>
              </w:rPr>
            </w:pP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RETTCO</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Genetic therapy</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Member of the Scientific Advisory</w:t>
            </w:r>
          </w:p>
        </w:tc>
      </w:tr>
      <w:tr>
        <w:trPr>
          <w:trHeight w:val="189"/>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gridSpan w:val="3"/>
          </w:tcPr>
          <w:p>
            <w:pPr>
              <w:ind w:left="60"/>
              <w:spacing w:after="0"/>
              <w:rPr>
                <w:sz w:val="20"/>
                <w:szCs w:val="20"/>
                <w:color w:val="auto"/>
              </w:rPr>
            </w:pPr>
            <w:r>
              <w:rPr>
                <w:rFonts w:ascii="Arial" w:cs="Arial" w:eastAsia="Arial" w:hAnsi="Arial"/>
                <w:sz w:val="15"/>
                <w:szCs w:val="15"/>
                <w:color w:val="auto"/>
              </w:rPr>
              <w:t>Board</w:t>
            </w:r>
          </w:p>
        </w:tc>
      </w:tr>
      <w:tr>
        <w:trPr>
          <w:trHeight w:val="162"/>
        </w:trPr>
        <w:tc>
          <w:tcPr>
            <w:tcW w:w="2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Qstate Biosciences</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Genetic therapy</w:t>
            </w:r>
          </w:p>
        </w:tc>
        <w:tc>
          <w:tcPr>
            <w:tcW w:w="2460" w:type="dxa"/>
            <w:vAlign w:val="bottom"/>
            <w:gridSpan w:val="3"/>
            <w:shd w:val="clear" w:color="auto" w:fill="CCEEFF"/>
          </w:tcPr>
          <w:p>
            <w:pPr>
              <w:ind w:left="60"/>
              <w:spacing w:after="0" w:line="162" w:lineRule="exact"/>
              <w:rPr>
                <w:sz w:val="20"/>
                <w:szCs w:val="20"/>
                <w:color w:val="auto"/>
              </w:rPr>
            </w:pPr>
            <w:r>
              <w:rPr>
                <w:rFonts w:ascii="Arial" w:cs="Arial" w:eastAsia="Arial" w:hAnsi="Arial"/>
                <w:sz w:val="15"/>
                <w:szCs w:val="15"/>
                <w:color w:val="auto"/>
              </w:rPr>
              <w:t>Member of the Scientific Advisory</w:t>
            </w:r>
          </w:p>
        </w:tc>
      </w:tr>
      <w:tr>
        <w:trPr>
          <w:trHeight w:val="189"/>
        </w:trPr>
        <w:tc>
          <w:tcPr>
            <w:tcW w:w="2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Board</w:t>
            </w: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color w:val="auto"/>
              </w:rPr>
              <w:t>Richard Goldman</w:t>
            </w: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Becket Capital, LLC</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w w:val="95"/>
              </w:rPr>
              <w:t>Advisory services firm for investment</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Managing Member</w:t>
            </w:r>
          </w:p>
        </w:tc>
      </w:tr>
      <w:tr>
        <w:trPr>
          <w:trHeight w:val="189"/>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management companies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2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O’Shares Investments ETF Trust</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Exchange-traded investment fund</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Independent Director</w:t>
            </w:r>
          </w:p>
        </w:tc>
      </w:tr>
      <w:tr>
        <w:trPr>
          <w:trHeight w:val="189"/>
        </w:trPr>
        <w:tc>
          <w:tcPr>
            <w:tcW w:w="2200" w:type="dxa"/>
            <w:vAlign w:val="bottom"/>
          </w:tcPr>
          <w:p>
            <w:pPr>
              <w:spacing w:after="0"/>
              <w:rPr>
                <w:sz w:val="16"/>
                <w:szCs w:val="16"/>
                <w:color w:val="auto"/>
              </w:rPr>
            </w:pPr>
          </w:p>
        </w:tc>
        <w:tc>
          <w:tcPr>
            <w:tcW w:w="2420" w:type="dxa"/>
            <w:vAlign w:val="bottom"/>
            <w:gridSpan w:val="2"/>
          </w:tcPr>
          <w:p>
            <w:pPr>
              <w:ind w:left="120"/>
              <w:spacing w:after="0"/>
              <w:rPr>
                <w:sz w:val="20"/>
                <w:szCs w:val="20"/>
                <w:color w:val="auto"/>
              </w:rPr>
            </w:pPr>
            <w:r>
              <w:rPr>
                <w:rFonts w:ascii="Arial" w:cs="Arial" w:eastAsia="Arial" w:hAnsi="Arial"/>
                <w:sz w:val="15"/>
                <w:szCs w:val="15"/>
                <w:color w:val="auto"/>
              </w:rPr>
              <w:t>Harvest Volatility Edge Trust</w:t>
            </w: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Mutual fund investment trust</w:t>
            </w:r>
          </w:p>
        </w:tc>
        <w:tc>
          <w:tcPr>
            <w:tcW w:w="2460" w:type="dxa"/>
            <w:vAlign w:val="bottom"/>
            <w:gridSpan w:val="3"/>
          </w:tcPr>
          <w:p>
            <w:pPr>
              <w:ind w:left="60"/>
              <w:spacing w:after="0"/>
              <w:rPr>
                <w:sz w:val="20"/>
                <w:szCs w:val="20"/>
                <w:color w:val="auto"/>
              </w:rPr>
            </w:pPr>
            <w:r>
              <w:rPr>
                <w:rFonts w:ascii="Arial" w:cs="Arial" w:eastAsia="Arial" w:hAnsi="Arial"/>
                <w:sz w:val="15"/>
                <w:szCs w:val="15"/>
                <w:color w:val="auto"/>
                <w:w w:val="99"/>
              </w:rPr>
              <w:t>Independent Chairman of the Board</w:t>
            </w:r>
          </w:p>
        </w:tc>
      </w:tr>
      <w:tr>
        <w:trPr>
          <w:trHeight w:val="189"/>
        </w:trPr>
        <w:tc>
          <w:tcPr>
            <w:tcW w:w="22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Trinitas Capital Management</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Investment management firm</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Member of Board of Directors</w:t>
            </w:r>
          </w:p>
        </w:tc>
      </w:tr>
      <w:tr>
        <w:trPr>
          <w:trHeight w:val="162"/>
        </w:trPr>
        <w:tc>
          <w:tcPr>
            <w:tcW w:w="2200" w:type="dxa"/>
            <w:vAlign w:val="bottom"/>
          </w:tcPr>
          <w:p>
            <w:pPr>
              <w:spacing w:after="0"/>
              <w:rPr>
                <w:sz w:val="14"/>
                <w:szCs w:val="14"/>
                <w:color w:val="auto"/>
              </w:rPr>
            </w:pPr>
          </w:p>
        </w:tc>
        <w:tc>
          <w:tcPr>
            <w:tcW w:w="24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Axonic Alternative Income Interval</w:t>
            </w:r>
          </w:p>
        </w:tc>
        <w:tc>
          <w:tcPr>
            <w:tcW w:w="248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Mutual fund</w:t>
            </w:r>
          </w:p>
        </w:tc>
        <w:tc>
          <w:tcPr>
            <w:tcW w:w="24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Lead Independent Director</w:t>
            </w:r>
          </w:p>
        </w:tc>
      </w:tr>
      <w:tr>
        <w:trPr>
          <w:trHeight w:val="189"/>
        </w:trPr>
        <w:tc>
          <w:tcPr>
            <w:tcW w:w="2200" w:type="dxa"/>
            <w:vAlign w:val="bottom"/>
          </w:tcPr>
          <w:p>
            <w:pPr>
              <w:spacing w:after="0"/>
              <w:rPr>
                <w:sz w:val="16"/>
                <w:szCs w:val="16"/>
                <w:color w:val="auto"/>
              </w:rPr>
            </w:pPr>
          </w:p>
        </w:tc>
        <w:tc>
          <w:tcPr>
            <w:tcW w:w="2420" w:type="dxa"/>
            <w:vAlign w:val="bottom"/>
            <w:gridSpan w:val="2"/>
          </w:tcPr>
          <w:p>
            <w:pPr>
              <w:ind w:left="120"/>
              <w:spacing w:after="0"/>
              <w:rPr>
                <w:sz w:val="20"/>
                <w:szCs w:val="20"/>
                <w:color w:val="auto"/>
              </w:rPr>
            </w:pPr>
            <w:r>
              <w:rPr>
                <w:rFonts w:ascii="Arial" w:cs="Arial" w:eastAsia="Arial" w:hAnsi="Arial"/>
                <w:sz w:val="15"/>
                <w:szCs w:val="15"/>
                <w:color w:val="auto"/>
              </w:rPr>
              <w:t>Fund</w:t>
            </w: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Kenneth H. Landis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Landis Capital, LLC</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Venture capital</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Chief Executive Officer</w:t>
            </w:r>
          </w:p>
        </w:tc>
      </w:tr>
      <w:tr>
        <w:trPr>
          <w:trHeight w:val="189"/>
        </w:trPr>
        <w:tc>
          <w:tcPr>
            <w:tcW w:w="2200" w:type="dxa"/>
            <w:vAlign w:val="bottom"/>
          </w:tcPr>
          <w:p>
            <w:pPr>
              <w:spacing w:after="0"/>
              <w:rPr>
                <w:sz w:val="16"/>
                <w:szCs w:val="16"/>
                <w:color w:val="auto"/>
              </w:rPr>
            </w:pPr>
          </w:p>
        </w:tc>
        <w:tc>
          <w:tcPr>
            <w:tcW w:w="2420" w:type="dxa"/>
            <w:vAlign w:val="bottom"/>
            <w:gridSpan w:val="2"/>
          </w:tcPr>
          <w:p>
            <w:pPr>
              <w:ind w:left="120"/>
              <w:spacing w:after="0"/>
              <w:rPr>
                <w:sz w:val="20"/>
                <w:szCs w:val="20"/>
                <w:color w:val="auto"/>
              </w:rPr>
            </w:pPr>
            <w:r>
              <w:rPr>
                <w:rFonts w:ascii="Arial" w:cs="Arial" w:eastAsia="Arial" w:hAnsi="Arial"/>
                <w:sz w:val="15"/>
                <w:szCs w:val="15"/>
                <w:color w:val="auto"/>
              </w:rPr>
              <w:t>Suffield Academy</w:t>
            </w: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Preparatory school</w:t>
            </w:r>
          </w:p>
        </w:tc>
        <w:tc>
          <w:tcPr>
            <w:tcW w:w="2460" w:type="dxa"/>
            <w:vAlign w:val="bottom"/>
            <w:gridSpan w:val="3"/>
          </w:tcPr>
          <w:p>
            <w:pPr>
              <w:ind w:left="60"/>
              <w:spacing w:after="0"/>
              <w:rPr>
                <w:sz w:val="20"/>
                <w:szCs w:val="20"/>
                <w:color w:val="auto"/>
              </w:rPr>
            </w:pPr>
            <w:r>
              <w:rPr>
                <w:rFonts w:ascii="Arial" w:cs="Arial" w:eastAsia="Arial" w:hAnsi="Arial"/>
                <w:sz w:val="15"/>
                <w:szCs w:val="15"/>
                <w:color w:val="auto"/>
              </w:rPr>
              <w:t>Trustee</w:t>
            </w:r>
          </w:p>
        </w:tc>
      </w:tr>
      <w:tr>
        <w:trPr>
          <w:trHeight w:val="189"/>
        </w:trPr>
        <w:tc>
          <w:tcPr>
            <w:tcW w:w="22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TULA Life, INC</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Cosmetics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Member of Board of Directors</w:t>
            </w:r>
          </w:p>
        </w:tc>
      </w:tr>
      <w:tr>
        <w:trPr>
          <w:trHeight w:val="195"/>
        </w:trPr>
        <w:tc>
          <w:tcPr>
            <w:tcW w:w="2200" w:type="dxa"/>
            <w:vAlign w:val="bottom"/>
          </w:tcPr>
          <w:p>
            <w:pPr>
              <w:spacing w:after="0"/>
              <w:rPr>
                <w:sz w:val="16"/>
                <w:szCs w:val="16"/>
                <w:color w:val="auto"/>
              </w:rPr>
            </w:pPr>
          </w:p>
        </w:tc>
        <w:tc>
          <w:tcPr>
            <w:tcW w:w="2420" w:type="dxa"/>
            <w:vAlign w:val="bottom"/>
            <w:gridSpan w:val="2"/>
          </w:tcPr>
          <w:p>
            <w:pPr>
              <w:ind w:left="120"/>
              <w:spacing w:after="0"/>
              <w:rPr>
                <w:sz w:val="20"/>
                <w:szCs w:val="20"/>
                <w:color w:val="auto"/>
              </w:rPr>
            </w:pPr>
            <w:r>
              <w:rPr>
                <w:rFonts w:ascii="Arial" w:cs="Arial" w:eastAsia="Arial" w:hAnsi="Arial"/>
                <w:sz w:val="15"/>
                <w:szCs w:val="15"/>
                <w:color w:val="auto"/>
              </w:rPr>
              <w:t>AllWork, Inc.</w:t>
            </w: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rPr>
              <w:t>Human resources technology</w:t>
            </w:r>
          </w:p>
        </w:tc>
        <w:tc>
          <w:tcPr>
            <w:tcW w:w="2460" w:type="dxa"/>
            <w:vAlign w:val="bottom"/>
            <w:gridSpan w:val="3"/>
          </w:tcPr>
          <w:p>
            <w:pPr>
              <w:ind w:left="60"/>
              <w:spacing w:after="0"/>
              <w:rPr>
                <w:sz w:val="20"/>
                <w:szCs w:val="20"/>
                <w:color w:val="auto"/>
              </w:rPr>
            </w:pPr>
            <w:r>
              <w:rPr>
                <w:rFonts w:ascii="Arial" w:cs="Arial" w:eastAsia="Arial" w:hAnsi="Arial"/>
                <w:sz w:val="15"/>
                <w:szCs w:val="15"/>
                <w:color w:val="auto"/>
              </w:rPr>
              <w:t>Member of Board of Directors</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3" w:name="page124"/>
    <w:bookmarkEnd w:id="12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PRINCIPAL SHAREHOLDERS</w:t>
      </w:r>
    </w:p>
    <w:p>
      <w:pPr>
        <w:spacing w:after="0" w:line="121" w:lineRule="exact"/>
        <w:rPr>
          <w:sz w:val="20"/>
          <w:szCs w:val="20"/>
          <w:color w:val="auto"/>
        </w:rPr>
      </w:pPr>
    </w:p>
    <w:p>
      <w:pPr>
        <w:ind w:left="7" w:right="320"/>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73" w:lineRule="exact"/>
        <w:rPr>
          <w:sz w:val="20"/>
          <w:szCs w:val="20"/>
          <w:color w:val="auto"/>
        </w:rPr>
      </w:pPr>
    </w:p>
    <w:p>
      <w:pPr>
        <w:ind w:left="707" w:hanging="356"/>
        <w:spacing w:after="0"/>
        <w:tabs>
          <w:tab w:leader="none" w:pos="707"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128" w:lineRule="exact"/>
        <w:rPr>
          <w:rFonts w:ascii="Arial" w:cs="Arial" w:eastAsia="Arial" w:hAnsi="Arial"/>
          <w:sz w:val="17"/>
          <w:szCs w:val="17"/>
          <w:color w:val="auto"/>
        </w:rPr>
      </w:pPr>
    </w:p>
    <w:p>
      <w:pPr>
        <w:ind w:left="707" w:hanging="356"/>
        <w:spacing w:after="0"/>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our officers, directors and director nominees as a group.</w:t>
      </w:r>
    </w:p>
    <w:p>
      <w:pPr>
        <w:spacing w:after="0" w:line="117" w:lineRule="exact"/>
        <w:rPr>
          <w:sz w:val="20"/>
          <w:szCs w:val="20"/>
          <w:color w:val="auto"/>
        </w:rPr>
      </w:pPr>
    </w:p>
    <w:p>
      <w:pPr>
        <w:ind w:left="7" w:right="60"/>
        <w:spacing w:after="0" w:line="286"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prospectus.</w:t>
      </w:r>
    </w:p>
    <w:p>
      <w:pPr>
        <w:spacing w:after="0" w:line="57" w:lineRule="exact"/>
        <w:rPr>
          <w:sz w:val="20"/>
          <w:szCs w:val="20"/>
          <w:color w:val="auto"/>
        </w:rPr>
      </w:pPr>
    </w:p>
    <w:p>
      <w:pPr>
        <w:jc w:val="both"/>
        <w:ind w:left="7" w:right="40"/>
        <w:spacing w:after="0" w:line="329" w:lineRule="auto"/>
        <w:rPr>
          <w:sz w:val="20"/>
          <w:szCs w:val="20"/>
          <w:color w:val="auto"/>
        </w:rPr>
      </w:pPr>
      <w:r>
        <w:rPr>
          <w:rFonts w:ascii="Arial" w:cs="Arial" w:eastAsia="Arial" w:hAnsi="Arial"/>
          <w:sz w:val="16"/>
          <w:szCs w:val="16"/>
          <w:color w:val="auto"/>
        </w:rPr>
        <w:t>The post-offering ownership percentage column below assumes that the underwriter does not exercise its over-allotment option, that our sponsor forfeits 937,500 founder shares and that there are 31,250,000 ordinary shares issued and outstanding after this offering.</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28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Approximate Percentage of Issued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Class A Shares</w:t>
            </w:r>
          </w:p>
        </w:tc>
        <w:tc>
          <w:tcPr>
            <w:tcW w:w="2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8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and Outstanding Ordinary Shares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2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60" w:type="dxa"/>
            <w:vAlign w:val="bottom"/>
            <w:gridSpan w:val="2"/>
            <w:vMerge w:val="restart"/>
          </w:tcPr>
          <w:p>
            <w:pPr>
              <w:ind w:left="1300"/>
              <w:spacing w:after="0" w:line="236" w:lineRule="exact"/>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4"/>
                <w:szCs w:val="24"/>
                <w:b w:val="1"/>
                <w:bCs w:val="1"/>
                <w:color w:val="auto"/>
                <w:vertAlign w:val="superscript"/>
              </w:rPr>
              <w:t>(1)</w:t>
            </w:r>
          </w:p>
        </w:tc>
        <w:tc>
          <w:tcPr>
            <w:tcW w:w="180" w:type="dxa"/>
            <w:vAlign w:val="bottom"/>
            <w:vMerge w:val="restart"/>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bottom w:val="single" w:sz="8" w:color="auto"/>
            </w:tcBorders>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5"/>
              </w:rPr>
              <w:t>Owned</w:t>
            </w:r>
            <w:r>
              <w:rPr>
                <w:rFonts w:ascii="Arial" w:cs="Arial" w:eastAsia="Arial" w:hAnsi="Arial"/>
                <w:sz w:val="21"/>
                <w:szCs w:val="21"/>
                <w:b w:val="1"/>
                <w:bCs w:val="1"/>
                <w:color w:val="auto"/>
                <w:w w:val="95"/>
                <w:vertAlign w:val="superscript"/>
              </w:rPr>
              <w:t>(2)</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Before Offering</w:t>
            </w:r>
          </w:p>
        </w:tc>
        <w:tc>
          <w:tcPr>
            <w:tcW w:w="180" w:type="dxa"/>
            <w:vAlign w:val="bottom"/>
          </w:tcPr>
          <w:p>
            <w:pPr>
              <w:spacing w:after="0"/>
              <w:rPr>
                <w:sz w:val="17"/>
                <w:szCs w:val="17"/>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After Offering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Silver Spike Sponsor, LLC</w:t>
            </w:r>
          </w:p>
        </w:tc>
        <w:tc>
          <w:tcPr>
            <w:tcW w:w="12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17"/>
                <w:szCs w:val="17"/>
                <w:color w:val="auto"/>
              </w:rPr>
              <w:t>7,187,500</w:t>
            </w:r>
            <w:r>
              <w:rPr>
                <w:rFonts w:ascii="Arial" w:cs="Arial" w:eastAsia="Arial" w:hAnsi="Arial"/>
                <w:sz w:val="28"/>
                <w:szCs w:val="28"/>
                <w:color w:val="auto"/>
                <w:vertAlign w:val="superscript"/>
              </w:rPr>
              <w:t>(3)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Scott Gordon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Healy</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Gregory Gentile</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Mohammed Grimeh</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Orrin Devinsky</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Goldman</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Kenneth Landis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officers as a group (seven</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individuals)</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right="140" w:hanging="347"/>
        <w:spacing w:after="0" w:line="273" w:lineRule="auto"/>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1114 6th Ave, 41st Floor, New York, New York, 10036, United States of America.</w:t>
      </w:r>
    </w:p>
    <w:p>
      <w:pPr>
        <w:spacing w:after="0" w:line="65" w:lineRule="exact"/>
        <w:rPr>
          <w:rFonts w:ascii="Arial" w:cs="Arial" w:eastAsia="Arial" w:hAnsi="Arial"/>
          <w:sz w:val="14"/>
          <w:szCs w:val="14"/>
          <w:color w:val="auto"/>
        </w:rPr>
      </w:pPr>
    </w:p>
    <w:p>
      <w:pPr>
        <w:ind w:left="347" w:right="140" w:hanging="347"/>
        <w:spacing w:after="0" w:line="257" w:lineRule="auto"/>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Interests shown consist solely of founder shares, classified as Class B ordinary shares. Such shares will automatically convert into Class A ordinary shares on the first business day following our initial business combination on a one-for-one basis, subject to adjustment as described below adjacent to the caption “Description of Securities—Founder Shares.”</w:t>
      </w:r>
    </w:p>
    <w:p>
      <w:pPr>
        <w:spacing w:after="0" w:line="77" w:lineRule="exact"/>
        <w:rPr>
          <w:rFonts w:ascii="Arial" w:cs="Arial" w:eastAsia="Arial" w:hAnsi="Arial"/>
          <w:sz w:val="14"/>
          <w:szCs w:val="14"/>
          <w:color w:val="auto"/>
        </w:rPr>
      </w:pPr>
    </w:p>
    <w:p>
      <w:pPr>
        <w:ind w:left="347" w:right="160" w:hanging="347"/>
        <w:spacing w:after="0" w:line="249" w:lineRule="auto"/>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executive officers are the four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74" w:lineRule="exact"/>
        <w:rPr>
          <w:sz w:val="20"/>
          <w:szCs w:val="20"/>
          <w:color w:val="auto"/>
        </w:rPr>
      </w:pPr>
    </w:p>
    <w:p>
      <w:pPr>
        <w:ind w:left="7" w:right="80"/>
        <w:spacing w:after="0" w:line="270" w:lineRule="auto"/>
        <w:rPr>
          <w:sz w:val="20"/>
          <w:szCs w:val="20"/>
          <w:color w:val="auto"/>
        </w:rPr>
      </w:pPr>
      <w:r>
        <w:rPr>
          <w:rFonts w:ascii="Arial" w:cs="Arial" w:eastAsia="Arial" w:hAnsi="Arial"/>
          <w:sz w:val="17"/>
          <w:szCs w:val="17"/>
          <w:color w:val="auto"/>
        </w:rPr>
        <w:t>Immediately after this offering, our initial shareholders will beneficially own 20.0% of the then issued and outstanding ordinary shares (assuming our initial shareholders do not purchase any other units in this offering). Prior to our initial business combination, only holders of our founder shares will have the right to vote on the election of directors, and holders of a majority of our founder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sponsor has committed, pursuant to a written agreement,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The purchase price of the private placement warrants will be added to the proceeds from this offering to be held in the trust account. If we do not complete our initial business combination within 18 months from the closing of this offering,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7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sponsor and our officers and directors are deemed to be our “promoters” as such term is defined under the federal securities laws. See “Certain Relationships and Related Party Transactions” for additional information regarding our relationships with our promoters.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5" w:name="page126"/>
    <w:bookmarkEnd w:id="12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line="283" w:lineRule="auto"/>
        <w:rPr>
          <w:sz w:val="20"/>
          <w:szCs w:val="20"/>
          <w:color w:val="auto"/>
        </w:rPr>
      </w:pPr>
      <w:r>
        <w:rPr>
          <w:rFonts w:ascii="Arial" w:cs="Arial" w:eastAsia="Arial" w:hAnsi="Arial"/>
          <w:sz w:val="16"/>
          <w:szCs w:val="16"/>
          <w:color w:val="auto"/>
        </w:rPr>
        <w:t>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w:t>
      </w:r>
    </w:p>
    <w:p>
      <w:pPr>
        <w:spacing w:after="0" w:line="3" w:lineRule="exact"/>
        <w:rPr>
          <w:sz w:val="20"/>
          <w:szCs w:val="20"/>
          <w:color w:val="auto"/>
        </w:rPr>
      </w:pPr>
    </w:p>
    <w:p>
      <w:pPr>
        <w:ind w:left="7" w:right="60" w:hanging="7"/>
        <w:spacing w:after="0" w:line="255"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90"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June 2019, our sponsor purchased 7,187,500 founder shares for an aggregate purchase price of $25,000, or $0.004 per share (assuming the over-allotment option is not exercised and the forfeiture by our sponsor of 937,500 founder shares). In connection with closing of this offering, our sponsor intends to grant sponsor LLC equity interests to our independent director nominees that collectively comprise approximately 1% of the outstanding equity interests in our sponsor. Our initial shareholders will collectively own 20% of our issued and outstanding shares after this offering (assuming our initial shareholders do not purchase any other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sponsor has committed, pursuant to a written agreement, to purchase an aggregate of 7,000,000 (or 7,750,000 if the underwriter’s over-allotment option is exercised in full) private placement warrants for a purchase price of $1.00 per warrant in a private placement that will occur simultaneously with the closing of this offering.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more fully discussed in “Management—Conflicts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will enter into an Administrative Services Agreement pursuant to which we will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the maximum 18 months, our sponsor will be paid an aggregate of up to $360,000 ($20,000) per month for office space, administrative and support services and will be entitled to be reimbursed for any out-of-pocket expenses.</w:t>
      </w:r>
    </w:p>
    <w:p>
      <w:pPr>
        <w:spacing w:after="0" w:line="64"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is no cap or ceiling on the reimbursement of out-of-pocket expenses incurred by such persons in connection with activities on our behalf.</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sponsor has agreed to loan us up to $250,000 under an unsecured promissory note to be used for a portion of the expenses of this offering. As of June 30, 2019, we had borrowed $68,625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Shareholders— Registration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Prior to the consummation of this offering, we will adopt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to our sponsor, officers or directors, or our or any of their affiliates.</w:t>
      </w:r>
    </w:p>
    <w:p>
      <w:pPr>
        <w:spacing w:after="0" w:line="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63" w:lineRule="exact"/>
        <w:rPr>
          <w:sz w:val="20"/>
          <w:szCs w:val="20"/>
          <w:color w:val="auto"/>
        </w:rPr>
      </w:pPr>
    </w:p>
    <w:p>
      <w:pPr>
        <w:ind w:left="700" w:hanging="356"/>
        <w:spacing w:after="0" w:line="308" w:lineRule="auto"/>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Repayment of an aggregate of up to $250,000 in loans that may be made to us by our sponsor to cover offering-related and organizational expenses (as of June 30, 2019, we had borrowed $68,625 from our sponsor);</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to our sponsor of up to $20,000 per month for office space, administrative and support services;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60" w:hanging="356"/>
        <w:spacing w:after="0" w:line="279" w:lineRule="auto"/>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payments may be funded using the net proceeds of this offering and the sale of the private placement warrants not held in the trust account or, upon completion of the initial business combination, from any amounts remaining from the proceeds of the trust account released to us in connection therewith.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 Cayman Islands exempted company (company number 352066) and our affairs will be governed by our amended and restated memorandum and articles of association, the Companies Law and common law of the Cayman Islands. Pursuant to our amended and restated memorandum and articles of association which will be adopted upon the consummation of this offering, we will be authorized to issue ordinary shares, including 200,000,000 Class A ordinary shares, $0.0001 par value each, and 20,000,000 Class B ordinary shares, par value $0.0001 per share, as well as 1,000,000 undesignated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has an offering price of $10.00 and consists of one Class A ordinary share and one-half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which will include this audited balance sheet.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the date of this prospectus, there were 7,187,500 Class B ordinary shares issued and outstanding, all of which were held of record by our sponsor, so that our sponsor will own 20% of our issued and outstanding shares after this offering (assuming our initial shareholder does not purchase any units in this offering). Our sponsor will forfeit up to 937,500 Class B ordinary shares depending on the extent to which the underwriter’s over-allotment is not exercised. Upon the closing of this offering, 31,250,000 ordinary shares will be issued and outstanding (assuming no exercise of the underwriter’s over-allotment option and forfeiture of 937,500 Class B ordinary shares by our sponsor) including:</w:t>
      </w:r>
    </w:p>
    <w:p>
      <w:pPr>
        <w:spacing w:after="0" w:line="85" w:lineRule="exact"/>
        <w:rPr>
          <w:sz w:val="20"/>
          <w:szCs w:val="20"/>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25,000,000 Class A ordinary shares underlying the units being offered in this offering;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6,250,000 Class B ordinary shares held by our initial shareholders.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election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elected for a term of two years. There is no cumulative voting with respect to the election of directors, with the result that the holders of more than 50% of the founder shares voted for the election of directors can elect all of the directors prior to our initial business combination. Our shareholders are entitled to receive ratable dividends when, as and if declared by the board of directors out of funds legally available therefor.</w:t>
      </w:r>
    </w:p>
    <w:p>
      <w:pPr>
        <w:spacing w:after="0" w:line="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our amended and restated memorandum and articles of association will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 Additionally, each public shareholder may elect to redeem its public shares without voting and, if they do vote, irrespective of whether they vote for or against the proposed business combination.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 solicitation pursuant to the proxy rules and not pursuant to the tender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(as described in this prospectus), if any, could result in the approval of our initial business combination even if a majority of our 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this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7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amended and restated memorandum and articles of association, if we are unable to complete our initial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combination within 18 months from the closing of this offering, we will (1) cease all operations except for the purpose of winding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(2) as promptly as reasonably possible but not more than 10 business days thereafter, redeem 100% of the public shares, at a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price, payable in cash, equal to the aggregate amount then on deposit in the trust account, including interest (less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of interest to pay dissolution expenses and which interest shall be net of taxes payable), divided by the number of then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and outstanding public shares, which redemption will completely extinguish public shareholders’ rights as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the right to receive further liquidating distributions, if any) and (3) as promptly as reasonably possible following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redemption, subject to the approval of our remaining shareholders and our board of directors, dissolve and liquidate, subject in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to our obligations under Cayman Islands law to provide for claims of creditors and the requirements of other applicable law.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initial shareholders have entered into a letter agreement with us, pursuant to which they have agreed to waive their rights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liquidating distributions from the trust account with respect to their founder shares if we fail to complete our initial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within 18 months from the closing of this offering. However, if our initial shareholders acquire public shares after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offering, they will be entitled to liquidating distributions from the trust account with respect to such public shares if we fail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complete our initial business combination within the prescribed time period.</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2" w:name="page133"/>
    <w:bookmarkEnd w:id="13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spacing w:after="0" w:line="302" w:lineRule="auto"/>
        <w:rPr>
          <w:sz w:val="20"/>
          <w:szCs w:val="20"/>
          <w:color w:val="auto"/>
        </w:rPr>
      </w:pPr>
      <w:r>
        <w:rPr>
          <w:rFonts w:ascii="Arial" w:cs="Arial" w:eastAsia="Arial" w:hAnsi="Arial"/>
          <w:sz w:val="16"/>
          <w:szCs w:val="16"/>
          <w:color w:val="auto"/>
        </w:rPr>
        <w:t>over the ordinary shares. Our shareholders have no preemptive or other subscription rights. There are no sinking fund provisions applicable to the ordinary shares, except that we will provide our shareholders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7"/>
        <w:spacing w:after="0" w:line="283" w:lineRule="auto"/>
        <w:rPr>
          <w:sz w:val="20"/>
          <w:szCs w:val="20"/>
          <w:color w:val="auto"/>
        </w:rPr>
      </w:pPr>
      <w:r>
        <w:rPr>
          <w:rFonts w:ascii="Arial" w:cs="Arial" w:eastAsia="Arial" w:hAnsi="Arial"/>
          <w:sz w:val="16"/>
          <w:szCs w:val="16"/>
          <w:color w:val="auto"/>
        </w:rPr>
        <w:t>The founder shares are designated as Class B ordinary shares and are identical to the Class A ordinary shares included in the units being sold in this offering, and holders of founder shares have the same shareholder rights as public shareholders,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as described below and</w:t>
      </w:r>
    </w:p>
    <w:p>
      <w:pPr>
        <w:ind w:left="7" w:right="560" w:hanging="7"/>
        <w:spacing w:after="0" w:line="261" w:lineRule="auto"/>
        <w:tabs>
          <w:tab w:leader="none" w:pos="2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 In addition, our directors and officers have also entered into the letter agreement with respect to public shares acquired by them, if any.</w:t>
      </w:r>
    </w:p>
    <w:p>
      <w:pPr>
        <w:spacing w:after="0" w:line="76" w:lineRule="exact"/>
        <w:rPr>
          <w:sz w:val="20"/>
          <w:szCs w:val="20"/>
          <w:color w:val="auto"/>
        </w:rPr>
      </w:pPr>
    </w:p>
    <w:p>
      <w:pPr>
        <w:ind w:left="7" w:right="2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75" w:lineRule="exact"/>
        <w:rPr>
          <w:sz w:val="20"/>
          <w:szCs w:val="20"/>
          <w:color w:val="auto"/>
        </w:rPr>
      </w:pPr>
    </w:p>
    <w:p>
      <w:pPr>
        <w:ind w:left="7" w:right="20"/>
        <w:spacing w:after="0" w:line="288"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w:t>
      </w:r>
    </w:p>
    <w:p>
      <w:pPr>
        <w:ind w:left="7" w:right="20" w:hanging="7"/>
        <w:spacing w:after="0" w:line="252" w:lineRule="auto"/>
        <w:tabs>
          <w:tab w:leader="none" w:pos="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Up to 937,500 founder shares will be forfeited for no consideration by our sponsor depending on the exercise of the over-allotment option.</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we must keep a register of members and there shall be entered therein:</w:t>
      </w:r>
    </w:p>
    <w:p>
      <w:pPr>
        <w:spacing w:after="0" w:line="117" w:lineRule="exact"/>
        <w:rPr>
          <w:sz w:val="20"/>
          <w:szCs w:val="20"/>
          <w:color w:val="auto"/>
        </w:rPr>
      </w:pPr>
    </w:p>
    <w:p>
      <w:pPr>
        <w:ind w:left="700" w:right="320" w:hanging="356"/>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names and addresses of the members and a statement of the shares held by each member and of the amount paid or agreed to be considered as paid on the shares of each member;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public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amended and restated memorandum and articles of association will authorize 1,000,000 preferred shares and will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 No preferred shares are being issued or registered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Shareholders’ Redeemable Warrants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Notwithstanding the above,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warrants for redemption:</w:t>
      </w:r>
    </w:p>
    <w:p>
      <w:pPr>
        <w:spacing w:after="0" w:line="117" w:lineRule="exact"/>
        <w:rPr>
          <w:sz w:val="20"/>
          <w:szCs w:val="20"/>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62" w:lineRule="exact"/>
        <w:rPr>
          <w:rFonts w:ascii="Arial" w:cs="Arial" w:eastAsia="Arial" w:hAnsi="Arial"/>
          <w:sz w:val="18"/>
          <w:szCs w:val="18"/>
          <w:color w:val="auto"/>
        </w:rPr>
      </w:pPr>
    </w:p>
    <w:p>
      <w:pPr>
        <w:ind w:left="700" w:right="160" w:hanging="356"/>
        <w:spacing w:after="0" w:line="259"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warrant holders.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well as the $11.50 warrant exercise price after the redemption notice is issued.</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7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redeem 100% of our public shares if we do not complete our initial business combination within 18 months from the closing of this offering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6" w:name="page137"/>
    <w:bookmarkEnd w:id="13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91" w:lineRule="auto"/>
        <w:rPr>
          <w:sz w:val="20"/>
          <w:szCs w:val="20"/>
          <w:color w:val="auto"/>
        </w:rPr>
      </w:pPr>
      <w:r>
        <w:rPr>
          <w:rFonts w:ascii="Arial" w:cs="Arial" w:eastAsia="Arial" w:hAnsi="Arial"/>
          <w:sz w:val="16"/>
          <w:szCs w:val="16"/>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w:t>
      </w:r>
    </w:p>
    <w:p>
      <w:pPr>
        <w:ind w:left="7" w:right="800" w:hanging="7"/>
        <w:spacing w:after="0" w:line="255" w:lineRule="auto"/>
        <w:tabs>
          <w:tab w:leader="none" w:pos="2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82" w:lineRule="exact"/>
        <w:rPr>
          <w:sz w:val="20"/>
          <w:szCs w:val="20"/>
          <w:color w:val="auto"/>
        </w:rPr>
      </w:pPr>
    </w:p>
    <w:p>
      <w:pPr>
        <w:ind w:left="7"/>
        <w:spacing w:after="0" w:line="270"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70" w:lineRule="exact"/>
        <w:rPr>
          <w:sz w:val="20"/>
          <w:szCs w:val="20"/>
          <w:color w:val="auto"/>
        </w:rPr>
      </w:pPr>
    </w:p>
    <w:p>
      <w:pPr>
        <w:ind w:left="7"/>
        <w:spacing w:after="0" w:line="283" w:lineRule="auto"/>
        <w:rPr>
          <w:sz w:val="20"/>
          <w:szCs w:val="20"/>
          <w:color w:val="auto"/>
        </w:rPr>
      </w:pPr>
      <w:r>
        <w:rPr>
          <w:rFonts w:ascii="Arial" w:cs="Arial" w:eastAsia="Arial" w:hAnsi="Arial"/>
          <w:sz w:val="16"/>
          <w:szCs w:val="16"/>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w:t>
      </w:r>
    </w:p>
    <w:p>
      <w:pPr>
        <w:spacing w:after="0" w:line="19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 fractional warrants will be issued upon separation of the units and only whole warrants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Mergers and Similar Arrangements. </w:t>
      </w:r>
      <w:r>
        <w:rPr>
          <w:rFonts w:ascii="Arial" w:cs="Arial" w:eastAsia="Arial" w:hAnsi="Arial"/>
          <w:sz w:val="18"/>
          <w:szCs w:val="18"/>
          <w:color w:val="auto"/>
        </w:rPr>
        <w:t>In certain circumstances, the Companies Law allows for mergers or consolidations between two</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companies, or between a Cayman Islands exempted company and a company incorporated in another jurisdiction (provided that is facilitated by the laws of that other jurisdiction).</w:t>
      </w:r>
    </w:p>
    <w:p>
      <w:pPr>
        <w:spacing w:after="0" w:line="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(at least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5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7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spacing w:after="0" w:line="5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Companies Law provides for a right of dissenting shareholders to be paid a payment of the fair value of his or her shares upon their dissenting to the merger or consolidation in certain circumstances if they follow a prescribed procedure. In essence, where such rights apply,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spacing w:after="0" w:line="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73" w:lineRule="exact"/>
        <w:rPr>
          <w:sz w:val="20"/>
          <w:szCs w:val="20"/>
          <w:color w:val="auto"/>
        </w:rPr>
      </w:pPr>
    </w:p>
    <w:p>
      <w:pPr>
        <w:ind w:left="700" w:right="580" w:hanging="356"/>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6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Squeeze-out Provisions</w:t>
      </w:r>
      <w:r>
        <w:rPr>
          <w:rFonts w:ascii="Arial" w:cs="Arial" w:eastAsia="Arial" w:hAnsi="Arial"/>
          <w:sz w:val="17"/>
          <w:szCs w:val="17"/>
          <w:color w:val="auto"/>
        </w:rPr>
        <w:t>. When a takeover offer is made and accepted by holders of 90% of the shares to whom the offer relates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Our Cayman Islands counsel is not aware of any reported class action having been brought in a Cayman Islands</w:t>
      </w:r>
      <w:r>
        <w:rPr>
          <w:rFonts w:ascii="Arial" w:cs="Arial" w:eastAsia="Arial" w:hAnsi="Arial"/>
          <w:sz w:val="17"/>
          <w:szCs w:val="17"/>
          <w:i w:val="1"/>
          <w:iCs w:val="1"/>
          <w:color w:val="auto"/>
        </w:rPr>
        <w:t xml:space="preserve"> </w:t>
      </w:r>
      <w:r>
        <w:rPr>
          <w:rFonts w:ascii="Arial" w:cs="Arial" w:eastAsia="Arial" w:hAnsi="Arial"/>
          <w:sz w:val="17"/>
          <w:szCs w:val="17"/>
          <w:color w:val="auto"/>
        </w:rPr>
        <w:t>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70" w:lineRule="exact"/>
        <w:rPr>
          <w:sz w:val="20"/>
          <w:szCs w:val="20"/>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Enforcement of Civil Liabilitie</w:t>
      </w:r>
      <w:r>
        <w:rPr>
          <w:rFonts w:ascii="Arial" w:cs="Arial" w:eastAsia="Arial" w:hAnsi="Arial"/>
          <w:sz w:val="18"/>
          <w:szCs w:val="18"/>
          <w:color w:val="auto"/>
        </w:rPr>
        <w:t>s. The Cayman Islands has a different body of securities laws as compared to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less protection to investors. Additionally, Cayman Islands companies may not have standing to sue before the federal courts of the United States.</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70" w:lineRule="exact"/>
        <w:rPr>
          <w:sz w:val="20"/>
          <w:szCs w:val="20"/>
          <w:color w:val="auto"/>
        </w:rPr>
      </w:pPr>
    </w:p>
    <w:p>
      <w:pPr>
        <w:ind w:left="700" w:right="760" w:hanging="356"/>
        <w:spacing w:after="0" w:line="342"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62" w:lineRule="exact"/>
        <w:rPr>
          <w:rFonts w:ascii="Arial" w:cs="Arial" w:eastAsia="Arial" w:hAnsi="Arial"/>
          <w:sz w:val="18"/>
          <w:szCs w:val="18"/>
          <w:color w:val="auto"/>
        </w:rPr>
      </w:pPr>
    </w:p>
    <w:p>
      <w:pPr>
        <w:ind w:left="700" w:right="420" w:hanging="356"/>
        <w:spacing w:after="0" w:line="27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memorandum and articles of association will contain certain requirements and restrictions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spacing w:after="0" w:line="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initial shareholders, who collectively will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63" w:lineRule="exact"/>
        <w:rPr>
          <w:sz w:val="20"/>
          <w:szCs w:val="20"/>
          <w:color w:val="auto"/>
        </w:rPr>
      </w:pPr>
    </w:p>
    <w:p>
      <w:pPr>
        <w:ind w:left="700" w:hanging="356"/>
        <w:spacing w:after="0"/>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within 18 months from the closing of this offering, we will:</w:t>
      </w:r>
    </w:p>
    <w:p>
      <w:pPr>
        <w:spacing w:after="0" w:line="46" w:lineRule="exact"/>
        <w:rPr>
          <w:rFonts w:ascii="Arial" w:cs="Arial" w:eastAsia="Arial" w:hAnsi="Arial"/>
          <w:sz w:val="16"/>
          <w:szCs w:val="16"/>
          <w:color w:val="auto"/>
        </w:rPr>
      </w:pPr>
    </w:p>
    <w:p>
      <w:pPr>
        <w:ind w:left="700" w:right="100"/>
        <w:spacing w:after="0" w:line="295" w:lineRule="auto"/>
        <w:rPr>
          <w:rFonts w:ascii="Arial" w:cs="Arial" w:eastAsia="Arial" w:hAnsi="Arial"/>
          <w:sz w:val="16"/>
          <w:szCs w:val="16"/>
          <w:color w:val="auto"/>
        </w:rPr>
      </w:pPr>
      <w:r>
        <w:rPr>
          <w:rFonts w:ascii="Arial" w:cs="Arial" w:eastAsia="Arial" w:hAnsi="Arial"/>
          <w:sz w:val="16"/>
          <w:szCs w:val="16"/>
          <w:color w:val="auto"/>
        </w:rPr>
        <w:t>(1)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40"/>
        <w:spacing w:after="0" w:line="257" w:lineRule="auto"/>
        <w:rPr>
          <w:sz w:val="20"/>
          <w:szCs w:val="20"/>
          <w:color w:val="auto"/>
        </w:rPr>
      </w:pPr>
      <w:r>
        <w:rPr>
          <w:rFonts w:ascii="Arial" w:cs="Arial" w:eastAsia="Arial" w:hAnsi="Arial"/>
          <w:sz w:val="18"/>
          <w:szCs w:val="18"/>
          <w:color w:val="auto"/>
        </w:rPr>
        <w:t>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80" w:lineRule="exact"/>
        <w:rPr>
          <w:sz w:val="20"/>
          <w:szCs w:val="20"/>
          <w:color w:val="auto"/>
        </w:rPr>
      </w:pPr>
    </w:p>
    <w:p>
      <w:pPr>
        <w:ind w:left="700" w:right="60" w:hanging="356"/>
        <w:spacing w:after="0" w:line="291"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prior to our initial business combination, we may not issue additional shares that would entitle the holders thereof to (1) receive funds from the trust account or (2) vote as a class with our public shares (a) on any initial business combination or</w:t>
      </w:r>
    </w:p>
    <w:p>
      <w:pPr>
        <w:ind w:left="700" w:right="100"/>
        <w:spacing w:after="0" w:line="255" w:lineRule="auto"/>
        <w:rPr>
          <w:rFonts w:ascii="Arial" w:cs="Arial" w:eastAsia="Arial" w:hAnsi="Arial"/>
          <w:sz w:val="16"/>
          <w:szCs w:val="16"/>
          <w:color w:val="auto"/>
        </w:rPr>
      </w:pPr>
      <w:r>
        <w:rPr>
          <w:rFonts w:ascii="Arial" w:cs="Arial" w:eastAsia="Arial" w:hAnsi="Arial"/>
          <w:sz w:val="18"/>
          <w:szCs w:val="18"/>
          <w:color w:val="auto"/>
        </w:rPr>
        <w:t>(b) to approve an amendment to our amended and restated memorandum and articles of association to (x) extend the time we have to consummate a business combination beyond 18 months from the closing of this offering or (y) amend the foregoing provisions;</w:t>
      </w:r>
    </w:p>
    <w:p>
      <w:pPr>
        <w:spacing w:after="0" w:line="82" w:lineRule="exact"/>
        <w:rPr>
          <w:rFonts w:ascii="Arial" w:cs="Arial" w:eastAsia="Arial" w:hAnsi="Arial"/>
          <w:sz w:val="16"/>
          <w:szCs w:val="16"/>
          <w:color w:val="auto"/>
        </w:rPr>
      </w:pPr>
    </w:p>
    <w:p>
      <w:pPr>
        <w:ind w:left="700" w:right="80" w:hanging="356"/>
        <w:spacing w:after="0" w:line="279"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event we enter into a business combination with a target business that is affiliated with our sponsor, our directors or our officers (which we currently do not intend to do), we, or a committee of independent and disinterested directors, will obtain an opinion from an independent investment banking firm, or from an independent accounting firm, that such a business combination is fair to our company from a financial point of view;</w:t>
      </w:r>
    </w:p>
    <w:p>
      <w:pPr>
        <w:spacing w:after="0" w:line="63" w:lineRule="exact"/>
        <w:rPr>
          <w:rFonts w:ascii="Arial" w:cs="Arial" w:eastAsia="Arial" w:hAnsi="Arial"/>
          <w:sz w:val="17"/>
          <w:szCs w:val="17"/>
          <w:color w:val="auto"/>
        </w:rPr>
      </w:pPr>
    </w:p>
    <w:p>
      <w:pPr>
        <w:ind w:left="700" w:right="20" w:hanging="356"/>
        <w:spacing w:after="0" w:line="276"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64" w:lineRule="exact"/>
        <w:rPr>
          <w:rFonts w:ascii="Arial" w:cs="Arial" w:eastAsia="Arial" w:hAnsi="Arial"/>
          <w:sz w:val="17"/>
          <w:szCs w:val="17"/>
          <w:color w:val="auto"/>
        </w:rPr>
      </w:pPr>
    </w:p>
    <w:p>
      <w:pPr>
        <w:ind w:left="700" w:hanging="356"/>
        <w:spacing w:after="0" w:line="259"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p>
      <w:pPr>
        <w:spacing w:after="0" w:line="78" w:lineRule="exact"/>
        <w:rPr>
          <w:rFonts w:ascii="Arial" w:cs="Arial" w:eastAsia="Arial" w:hAnsi="Arial"/>
          <w:sz w:val="18"/>
          <w:szCs w:val="18"/>
          <w:color w:val="auto"/>
        </w:rPr>
      </w:pPr>
    </w:p>
    <w:p>
      <w:pPr>
        <w:jc w:val="both"/>
        <w:ind w:left="700" w:right="240" w:hanging="356"/>
        <w:spacing w:after="0" w:line="25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(x) in the event we enter into a business combination with a target business in the cannabis industry, we must determine that such target business is compliant with all applicable laws and regulations within the jurisdictions in which they are located or operate, and (y) we will not invest in, or consummate a business combination with, a target business that we determine has been operating, or whose business plan is to operate, in violation of U.S. federal laws, including the U.S. Controlled Substances Act;</w:t>
      </w:r>
    </w:p>
    <w:p>
      <w:pPr>
        <w:spacing w:after="0" w:line="80" w:lineRule="exact"/>
        <w:rPr>
          <w:rFonts w:ascii="Arial" w:cs="Arial" w:eastAsia="Arial" w:hAnsi="Arial"/>
          <w:sz w:val="18"/>
          <w:szCs w:val="18"/>
          <w:color w:val="auto"/>
        </w:rPr>
      </w:pPr>
    </w:p>
    <w:p>
      <w:pPr>
        <w:ind w:left="700" w:right="20" w:hanging="356"/>
        <w:spacing w:after="0" w:line="291"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to modify the substance or timing of our obligation to redeem 100% of our public shares if we do not complete our initial business combination within 18 months from the closing of this offering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59" w:lineRule="exact"/>
        <w:rPr>
          <w:rFonts w:ascii="Arial" w:cs="Arial" w:eastAsia="Arial" w:hAnsi="Arial"/>
          <w:sz w:val="16"/>
          <w:szCs w:val="16"/>
          <w:color w:val="auto"/>
        </w:rPr>
      </w:pPr>
    </w:p>
    <w:p>
      <w:pPr>
        <w:ind w:left="700" w:right="44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6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addition, our amended and restated memorandum and articles of association will provide that under no circumstances will we redeem our public shares in an amount that would cause our net tangible assets, after payment of the deferred underwriting commissions, to be less than $5,000,001 upon completion of our initial business combination.</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our proposed offering, structure and business plan which are contained in our amended and restated memorandum and articles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4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(2018 Revision) of the Cayman Islands, as amended and revised from time to time (the “Regulations”). Depending on the circumstances of each application, a detailed verification of identity might not be required where:</w:t>
      </w:r>
    </w:p>
    <w:p>
      <w:pPr>
        <w:spacing w:after="0" w:line="46" w:lineRule="exact"/>
        <w:rPr>
          <w:sz w:val="20"/>
          <w:szCs w:val="20"/>
          <w:color w:val="auto"/>
        </w:rPr>
      </w:pPr>
    </w:p>
    <w:p>
      <w:pPr>
        <w:ind w:left="700" w:right="440" w:hanging="356"/>
        <w:spacing w:after="0" w:line="277"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subscriber makes the payment for their investment from an account held in the subscriber’s name at a recognized financial institution;</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subscriber is regulated by a recognized regulatory authority and is based or incorporated in, or formed under the law of, a recognized jurisdiction; or</w:t>
      </w:r>
    </w:p>
    <w:p>
      <w:pPr>
        <w:spacing w:after="0" w:line="62" w:lineRule="exact"/>
        <w:rPr>
          <w:rFonts w:ascii="Arial" w:cs="Arial" w:eastAsia="Arial" w:hAnsi="Arial"/>
          <w:sz w:val="18"/>
          <w:szCs w:val="18"/>
          <w:color w:val="auto"/>
        </w:rPr>
      </w:pPr>
    </w:p>
    <w:p>
      <w:pPr>
        <w:ind w:left="700" w:right="60" w:hanging="356"/>
        <w:spacing w:after="0" w:line="26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Immediately after this offering we will have 31,250,000 (or 35,937,500 if the underwriter’s over-allotment option is exercised in full) ordinary shares issued and outstanding. Of these shares, the 25,000,000 Class A ordinary shares (or 28,750,000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6,250,000 (or 7,187,500 if the underwriter’s over-allotment option is exercised in full) founder shares and all 7,000,000 (or 7,750,000 if the underwriter’s over-allotment option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57" w:lineRule="exact"/>
        <w:rPr>
          <w:sz w:val="20"/>
          <w:szCs w:val="20"/>
          <w:color w:val="auto"/>
        </w:rPr>
      </w:pPr>
    </w:p>
    <w:p>
      <w:pPr>
        <w:ind w:left="700" w:right="80" w:hanging="356"/>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which will equal 312,500 shares immediately after this offering (or 359,375 if the underwriter exercises its over-allotment option in full); or</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3" w:lineRule="exact"/>
        <w:rPr>
          <w:sz w:val="20"/>
          <w:szCs w:val="20"/>
          <w:color w:val="auto"/>
        </w:rPr>
      </w:pPr>
    </w:p>
    <w:p>
      <w:pPr>
        <w:ind w:left="700" w:hanging="3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17" w:lineRule="exact"/>
        <w:rPr>
          <w:rFonts w:ascii="Arial" w:cs="Arial" w:eastAsia="Arial" w:hAnsi="Arial"/>
          <w:sz w:val="18"/>
          <w:szCs w:val="18"/>
          <w:color w:val="auto"/>
        </w:rPr>
      </w:pPr>
    </w:p>
    <w:p>
      <w:pPr>
        <w:ind w:left="700" w:right="300" w:hanging="356"/>
        <w:spacing w:after="0" w:line="26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73"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a result, our initial shareholders will be able to sell their founder shares and our sponsor will be able to sell its private placement warrants, pursuant to Rule 144 without registration, one year after we have completed our initial business combination.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5" w:name="page146"/>
    <w:bookmarkEnd w:id="14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60"/>
        <w:spacing w:after="0" w:line="283" w:lineRule="auto"/>
        <w:rPr>
          <w:sz w:val="20"/>
          <w:szCs w:val="20"/>
          <w:color w:val="auto"/>
        </w:rPr>
      </w:pPr>
      <w:r>
        <w:rPr>
          <w:rFonts w:ascii="Arial" w:cs="Arial" w:eastAsia="Arial" w:hAnsi="Arial"/>
          <w:sz w:val="16"/>
          <w:szCs w:val="16"/>
          <w:color w:val="auto"/>
        </w:rPr>
        <w:t>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w:t>
      </w:r>
    </w:p>
    <w:p>
      <w:pPr>
        <w:spacing w:after="0" w:line="3" w:lineRule="exact"/>
        <w:rPr>
          <w:sz w:val="20"/>
          <w:szCs w:val="20"/>
          <w:color w:val="auto"/>
        </w:rPr>
      </w:pPr>
    </w:p>
    <w:p>
      <w:pPr>
        <w:ind w:left="7" w:right="120" w:hanging="7"/>
        <w:spacing w:after="0" w:line="255" w:lineRule="auto"/>
        <w:tabs>
          <w:tab w:leader="none" w:pos="2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7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7"/>
        <w:spacing w:after="0" w:line="257" w:lineRule="auto"/>
        <w:rPr>
          <w:sz w:val="20"/>
          <w:szCs w:val="20"/>
          <w:color w:val="auto"/>
        </w:rPr>
      </w:pPr>
      <w:r>
        <w:rPr>
          <w:rFonts w:ascii="Arial" w:cs="Arial" w:eastAsia="Arial" w:hAnsi="Arial"/>
          <w:sz w:val="18"/>
          <w:szCs w:val="18"/>
          <w:color w:val="auto"/>
        </w:rPr>
        <w:t>We intend to apply to list our units, Class A ordinary shares and warrants on Nasdaq under the symbols “SSPKU,” “SSPK” and “SSPKW,” respectively. We expect that our units will be listed on Nasdaq promptly on or after the effective date of the registration statement. Following the date the Class A ordinary shares and warrants are eligible to trade separately, we anticipate that the Class A ordinary shares and warrants will be listed separately and as a unit on Nasdaq. We cannot guarantee that our securities will be approved for listing on Nasdaq.</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CONSIDERATIONS</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following summary of certain Cayman Islands and U.S. federal income tax considerations relevant to an investment in our units, Class A ordinary shares and warrants is based upon laws and relevant interpretations thereof in effect as of the date of this prospectus, all of which are subject to change. This summary does not deal with all possible tax consequences relating to an investment in our ordinary shares and warrants, such as the tax consequences under state, local and other tax laws.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securities under the laws of their country of citizenship, residence or domicile.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No stamp duty is payable in respect of the issue of our securities or on an instrument of transfer in respect of our securities.</w:t>
      </w:r>
    </w:p>
    <w:p>
      <w:pPr>
        <w:spacing w:after="0" w:line="1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Tax Concessions Law</w:t>
      </w:r>
    </w:p>
    <w:p>
      <w:pPr>
        <w:jc w:val="center"/>
        <w:spacing w:after="0" w:line="221" w:lineRule="auto"/>
        <w:rPr>
          <w:sz w:val="20"/>
          <w:szCs w:val="20"/>
          <w:color w:val="auto"/>
        </w:rPr>
      </w:pPr>
      <w:r>
        <w:rPr>
          <w:rFonts w:ascii="Arial" w:cs="Arial" w:eastAsia="Arial" w:hAnsi="Arial"/>
          <w:sz w:val="18"/>
          <w:szCs w:val="18"/>
          <w:b w:val="1"/>
          <w:bCs w:val="1"/>
          <w:color w:val="auto"/>
        </w:rPr>
        <w:t>(2018 Revision)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as to Tax Concessions</w:t>
      </w:r>
    </w:p>
    <w:p>
      <w:pPr>
        <w:spacing w:after="0" w:line="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(2018 Revision), the Financial Secretary undertakes with Silver Spike Acquisition Corp. (“the Company”).</w:t>
      </w:r>
    </w:p>
    <w:p>
      <w:pPr>
        <w:spacing w:after="0" w:line="62" w:lineRule="exact"/>
        <w:rPr>
          <w:sz w:val="20"/>
          <w:szCs w:val="20"/>
          <w:color w:val="auto"/>
        </w:rPr>
      </w:pPr>
    </w:p>
    <w:p>
      <w:pPr>
        <w:ind w:left="700" w:right="220" w:hanging="356"/>
        <w:spacing w:after="0" w:line="277"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the Company or its operations; and</w:t>
      </w:r>
    </w:p>
    <w:p>
      <w:pPr>
        <w:spacing w:after="0" w:line="62"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6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2.1  on or in respect of the shares, debentures or other obligations of the Company;</w:t>
      </w:r>
    </w:p>
    <w:p>
      <w:pPr>
        <w:spacing w:after="0" w:line="11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17" w:lineRule="exact"/>
        <w:rPr>
          <w:rFonts w:ascii="Arial" w:cs="Arial" w:eastAsia="Arial" w:hAnsi="Arial"/>
          <w:sz w:val="18"/>
          <w:szCs w:val="18"/>
          <w:color w:val="auto"/>
        </w:rPr>
      </w:pPr>
    </w:p>
    <w:p>
      <w:pPr>
        <w:ind w:left="1060" w:right="880" w:hanging="351"/>
        <w:spacing w:after="0" w:line="277" w:lineRule="auto"/>
        <w:rPr>
          <w:rFonts w:ascii="Arial" w:cs="Arial" w:eastAsia="Arial" w:hAnsi="Arial"/>
          <w:sz w:val="18"/>
          <w:szCs w:val="18"/>
          <w:color w:val="auto"/>
        </w:rPr>
      </w:pPr>
      <w:r>
        <w:rPr>
          <w:rFonts w:ascii="Arial" w:cs="Arial" w:eastAsia="Arial" w:hAnsi="Arial"/>
          <w:sz w:val="18"/>
          <w:szCs w:val="18"/>
          <w:color w:val="auto"/>
        </w:rPr>
        <w:t>2.2 by way of the withholding in whole or part, of any relevant payment as defined in Section 6(3) of the Tax Concessions Law (2018 Revision).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concessions shall be for a period of 30 years from the date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discussion summarizes certain United States federal income tax considerations generally applicable to the acquisition, ownership and disposition of our units (each consisting of one Class A ordinary share and one-half of one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p>
      <w:pPr>
        <w:spacing w:after="0" w:line="59" w:lineRule="exact"/>
        <w:rPr>
          <w:sz w:val="20"/>
          <w:szCs w:val="20"/>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sponsor;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 or ten percent or more of the total value of our shares;</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6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The price allocated to each Class A ordinary share and one-half of one warrant should be the shareholder’s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warrant based on their respective relative fair market values. The separation of the Class A ordinary share and the one-half of one warrant constituting a unit should not be a taxable event for United States federal income tax purposes.</w:t>
      </w:r>
    </w:p>
    <w:p>
      <w:pPr>
        <w:spacing w:after="0" w:line="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Subject to the passive foreign investment company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With respect to non-corporate U.S. Holders, under tax laws currently in effect,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are met, including that we are not classified as a PFIC during the taxable year in which the dividend is paid or the preceding taxable year. U.S. Holders should consult their tax advisors regarding the availability of such lower rate for any dividends paid with respect to our Class A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or Lapse of a Warrant” below for a discussion regarding a U.S. Holder’s basis in a Class A ordinary share acquired pursuant to the exercise of a warrant. The deduction of capital losses is subject to certain limitations.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the treatment of the transaction for United States federal income tax purposes will depend on whether the redemption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 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w:t>
      </w:r>
    </w:p>
    <w:p>
      <w:pPr>
        <w:spacing w:after="0" w:line="7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or Lapse of a Warrant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7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U.S. Holders’ proportionate interest in our assets or earnings and profits (e.g., through an increase in the number of Class A ordinary shares that would be obtained upon exercise) as a result of a distribution of cash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ending December 31, 2019.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Although subject to uncertainty, we may qualify for the startup exception for 2019, and, accordingly, we would not be treated as a PFIC for 2019. The applicability of the startup exception to us will not be known until after the close of our current taxable year ending December 31, 2019 and, perhaps, until after the close of the first two taxable years following our startup year (within the meaning of the startup exception). Although subject to uncertainty, it is possible that we could be treated as a PFIC for a taxable year prior to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ending December 31, 2019. Our actual PFIC status for our current taxable year or any subsequent taxable year will not be determinable until after the end of such taxable year. Accordingly, there can be no assurance with respect to our status as a PFIC for our current taxable year ending December 31, 2019 or any future taxable year.</w:t>
      </w:r>
    </w:p>
    <w:p>
      <w:pPr>
        <w:spacing w:after="0" w:line="2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our PFIC status is determined annually, an initial determination that our company is a PFIC will generally apply for subsequent years to a U.S. Holder who held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Under these rules:</w:t>
      </w:r>
    </w:p>
    <w:p>
      <w:pPr>
        <w:spacing w:after="0" w:line="117" w:lineRule="exact"/>
        <w:rPr>
          <w:sz w:val="20"/>
          <w:szCs w:val="20"/>
          <w:color w:val="auto"/>
        </w:rPr>
      </w:pPr>
    </w:p>
    <w:p>
      <w:pPr>
        <w:ind w:left="700" w:right="160" w:hanging="356"/>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62"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73"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62"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5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6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Reporting</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Persons who are required to report specified foreign financial assets and fail to do so may be subject to substantial penalties. Potential investors are urged to consult their tax advisers regarding the foreign financial asset and other reporting obligations and their application to an investment in our Class A ordinary shares and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that is for U.S. federal income tax purposes:</w:t>
      </w:r>
    </w:p>
    <w:p>
      <w:pPr>
        <w:spacing w:after="0" w:line="62" w:lineRule="exact"/>
        <w:rPr>
          <w:sz w:val="20"/>
          <w:szCs w:val="20"/>
          <w:color w:val="auto"/>
        </w:rPr>
      </w:pPr>
    </w:p>
    <w:p>
      <w:pPr>
        <w:ind w:left="700" w:right="140" w:hanging="356"/>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United States federal income tax treatment of a Non-U.S. Holder’s exercise of a warrant, or the lapse of a warrant held by a Non-U.S. Holder, generally will correspond to the United States federal income tax treatment of the exercise or lapse of a warrant by a U.S. Holder, as described under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56" w:name="page157"/>
    <w:bookmarkEnd w:id="15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7" w:right="340"/>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we have agreed to sell to the underwriter named below the following respective numbers of units: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 of Units</w:t>
            </w:r>
          </w:p>
        </w:tc>
      </w:tr>
      <w:tr>
        <w:trPr>
          <w:trHeight w:val="243"/>
        </w:trPr>
        <w:tc>
          <w:tcPr>
            <w:tcW w:w="20" w:type="dxa"/>
            <w:vAlign w:val="bottom"/>
          </w:tcPr>
          <w:p>
            <w:pPr>
              <w:spacing w:after="0"/>
              <w:rPr>
                <w:sz w:val="21"/>
                <w:szCs w:val="21"/>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9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color w:val="auto"/>
        </w:rPr>
        <w:t>The underwriting agreement provides that the underwriter is obligated to purchase all the units in this offering if any are purchased, other than those units covered by the over-allotment option described below.</w:t>
      </w:r>
    </w:p>
    <w:p>
      <w:pPr>
        <w:spacing w:after="0" w:line="62" w:lineRule="exact"/>
        <w:rPr>
          <w:sz w:val="20"/>
          <w:szCs w:val="20"/>
          <w:color w:val="auto"/>
        </w:rPr>
      </w:pPr>
    </w:p>
    <w:p>
      <w:pPr>
        <w:ind w:left="7" w:right="380"/>
        <w:spacing w:after="0" w:line="264" w:lineRule="auto"/>
        <w:rPr>
          <w:sz w:val="20"/>
          <w:szCs w:val="20"/>
          <w:color w:val="auto"/>
        </w:rPr>
      </w:pPr>
      <w:r>
        <w:rPr>
          <w:rFonts w:ascii="Arial" w:cs="Arial" w:eastAsia="Arial" w:hAnsi="Arial"/>
          <w:sz w:val="18"/>
          <w:szCs w:val="18"/>
          <w:color w:val="auto"/>
        </w:rPr>
        <w:t>We have granted to the underwriter a 45-day option to purchase on a pro rata basis up to 3,750,000 additional units at the initial public offering price, less the underwriting discounts and commissions. The option may be exercised only to cover any over-allotments of units.</w:t>
      </w:r>
    </w:p>
    <w:p>
      <w:pPr>
        <w:spacing w:after="0" w:line="73" w:lineRule="exact"/>
        <w:rPr>
          <w:sz w:val="20"/>
          <w:szCs w:val="20"/>
          <w:color w:val="auto"/>
        </w:rPr>
      </w:pPr>
    </w:p>
    <w:p>
      <w:pPr>
        <w:ind w:left="7" w:right="260"/>
        <w:spacing w:after="0" w:line="277" w:lineRule="auto"/>
        <w:rPr>
          <w:sz w:val="20"/>
          <w:szCs w:val="20"/>
          <w:color w:val="auto"/>
        </w:rPr>
      </w:pPr>
      <w:r>
        <w:rPr>
          <w:rFonts w:ascii="Arial" w:cs="Arial" w:eastAsia="Arial" w:hAnsi="Arial"/>
          <w:sz w:val="18"/>
          <w:szCs w:val="18"/>
          <w:color w:val="auto"/>
        </w:rPr>
        <w:t>The underwriter proposes to offer the units initially at the public offering price on the cover page of this prospectus and to selling group members at that price less a selling concession of $ per unit.</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summarizes the compensation and estimated expenses we will pay:</w:t>
      </w:r>
    </w:p>
    <w:tbl>
      <w:tblPr>
        <w:tblLayout w:type="fixed"/>
        <w:tblInd w:w="7"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spacing w:after="0" w:line="253"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24"/>
                <w:szCs w:val="24"/>
                <w:b w:val="1"/>
                <w:bCs w:val="1"/>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240" w:type="dxa"/>
            <w:vAlign w:val="bottom"/>
            <w:tcBorders>
              <w:bottom w:val="single" w:sz="8" w:color="auto"/>
            </w:tcBorders>
            <w:gridSpan w:val="3"/>
          </w:tcPr>
          <w:p>
            <w:pPr>
              <w:ind w:left="920"/>
              <w:spacing w:after="0" w:line="253"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4"/>
                <w:szCs w:val="24"/>
                <w:b w:val="1"/>
                <w:bCs w:val="1"/>
                <w:color w:val="auto"/>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center"/>
              <w:ind w:right="219"/>
              <w:spacing w:after="0"/>
              <w:rPr>
                <w:sz w:val="20"/>
                <w:szCs w:val="20"/>
                <w:color w:val="auto"/>
              </w:rPr>
            </w:pPr>
            <w:r>
              <w:rPr>
                <w:rFonts w:ascii="Arial" w:cs="Arial" w:eastAsia="Arial" w:hAnsi="Arial"/>
                <w:sz w:val="14"/>
                <w:szCs w:val="14"/>
                <w:b w:val="1"/>
                <w:bCs w:val="1"/>
                <w:color w:val="auto"/>
              </w:rPr>
              <w:t>With</w:t>
            </w: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5"/>
                <w:szCs w:val="15"/>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Over-allotment</w:t>
            </w:r>
          </w:p>
        </w:tc>
        <w:tc>
          <w:tcPr>
            <w:tcW w:w="1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Over-Allotment</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Over-allotment</w:t>
            </w:r>
          </w:p>
        </w:tc>
        <w:tc>
          <w:tcPr>
            <w:tcW w:w="1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Over-Allotment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13,750,000</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4"/>
              </w:rPr>
              <w:t>$  15,812,500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40" w:hanging="347"/>
        <w:spacing w:after="0" w:line="252" w:lineRule="auto"/>
        <w:tabs>
          <w:tab w:leader="none" w:pos="347"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$0.35 per unit, or $8,750,000 (or $10,062,500 if the over-allotment option is exercised in full) in the aggregate, payable to the underwriter for deferred underwriting commissions to be placed in a trust account located in the United States as described herein. The deferred commissions will be released to the underwriter only on completion of an initial business combination, in an amount equal to $0.35 multiplied by the number of Class A ordinary shares sold as part of the units in this offering, as described in this prospectus.</w:t>
      </w:r>
    </w:p>
    <w:p>
      <w:pPr>
        <w:spacing w:after="0" w:line="71" w:lineRule="exact"/>
        <w:rPr>
          <w:sz w:val="20"/>
          <w:szCs w:val="20"/>
          <w:color w:val="auto"/>
        </w:rPr>
      </w:pPr>
    </w:p>
    <w:p>
      <w:pPr>
        <w:ind w:left="7" w:right="100"/>
        <w:spacing w:after="0" w:line="308" w:lineRule="auto"/>
        <w:rPr>
          <w:sz w:val="20"/>
          <w:szCs w:val="20"/>
          <w:color w:val="auto"/>
        </w:rPr>
      </w:pPr>
      <w:r>
        <w:rPr>
          <w:rFonts w:ascii="Arial" w:cs="Arial" w:eastAsia="Arial" w:hAnsi="Arial"/>
          <w:sz w:val="17"/>
          <w:szCs w:val="17"/>
          <w:color w:val="auto"/>
        </w:rPr>
        <w:t>We estimate that our non-reimbursed out-of-pocket expenses for this offering will be approximately $1,000,000. We have agreed to pay for the FINRA-related fees and expenses of the underwriter’s legal counsel, not to exceed $25,000.</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underwriter has informed us that the underwriter does not intend to make sales to discretionary accounts.</w:t>
      </w:r>
    </w:p>
    <w:p>
      <w:pPr>
        <w:spacing w:after="0" w:line="117" w:lineRule="exact"/>
        <w:rPr>
          <w:sz w:val="20"/>
          <w:szCs w:val="20"/>
          <w:color w:val="auto"/>
        </w:rPr>
      </w:pPr>
    </w:p>
    <w:p>
      <w:pPr>
        <w:ind w:left="7"/>
        <w:spacing w:after="0" w:line="286" w:lineRule="auto"/>
        <w:rPr>
          <w:sz w:val="20"/>
          <w:szCs w:val="20"/>
          <w:color w:val="auto"/>
        </w:rPr>
      </w:pPr>
      <w:r>
        <w:rPr>
          <w:rFonts w:ascii="Arial" w:cs="Arial" w:eastAsia="Arial" w:hAnsi="Arial"/>
          <w:sz w:val="16"/>
          <w:szCs w:val="16"/>
          <w:color w:val="auto"/>
        </w:rPr>
        <w:t>We, our sponsor and our officers and directors have agreed that we will not offer, sell, contract to sell, pledge or otherwise dispose of, directly or indirectly, without the prior written consent of Credit Suisse Securities (USA) LLC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Credit Suisse Securities (USA) LLC in its sole discretion may release any of the securities subject to these lock-up agreements at any time without notice.</w:t>
      </w:r>
    </w:p>
    <w:p>
      <w:pPr>
        <w:spacing w:after="0" w:line="67" w:lineRule="exact"/>
        <w:rPr>
          <w:sz w:val="20"/>
          <w:szCs w:val="20"/>
          <w:color w:val="auto"/>
        </w:rPr>
      </w:pPr>
    </w:p>
    <w:p>
      <w:pPr>
        <w:ind w:left="7" w:right="40"/>
        <w:spacing w:after="0" w:line="255" w:lineRule="auto"/>
        <w:rPr>
          <w:sz w:val="20"/>
          <w:szCs w:val="20"/>
          <w:color w:val="auto"/>
        </w:rPr>
      </w:pPr>
      <w:r>
        <w:rPr>
          <w:rFonts w:ascii="Arial" w:cs="Arial" w:eastAsia="Arial" w:hAnsi="Arial"/>
          <w:sz w:val="18"/>
          <w:szCs w:val="18"/>
          <w:color w:val="auto"/>
        </w:rPr>
        <w:t>Our initial shareholders have agreed not to transfer, assign or sell any of their founder shares and any Class A ordinary shares issued upon conversion thereof until the earlier to occur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spacing w:after="0" w:line="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under the Securities Act, or contribute to payments that the underwriter may be required to make in that respect.</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expect our units to be listed on Nasdaq, under the symbol “SSPKU” and, once the Class A ordinary shares and warrants begin separate trading, to have our Class A ordinary shares and warrants listed on Nasdaq under the symbols “SSPK” and “SSPKW,” respectively.</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underwriter.</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do not complete our initial business combination within the period provided in our amended and restated memorandum and articles of association, the underwriter has agreed that: (1) it will forfeit any rights or claims to its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8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connection with this offering, the underwriter may engage in stabilizing transactions, over-allotment transactions, syndicate covering transactions and penalty bids in accordance with Regulation M under the Exchange Act.</w:t>
      </w:r>
    </w:p>
    <w:p>
      <w:pPr>
        <w:spacing w:after="0" w:line="38" w:lineRule="exact"/>
        <w:rPr>
          <w:sz w:val="20"/>
          <w:szCs w:val="20"/>
          <w:color w:val="auto"/>
        </w:rPr>
      </w:pPr>
    </w:p>
    <w:p>
      <w:pPr>
        <w:ind w:left="700" w:right="380" w:hanging="356"/>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700" w:right="20" w:hanging="356"/>
        <w:spacing w:after="0" w:line="273" w:lineRule="auto"/>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Over-allotment involves sales by the underwriter of units in excess of the number of units the underwriter is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 may close out any covered short position by either exercising its over-allotment option and/or purchasing units in the open market.</w:t>
      </w:r>
    </w:p>
    <w:p>
      <w:pPr>
        <w:spacing w:after="0" w:line="70" w:lineRule="exact"/>
        <w:rPr>
          <w:rFonts w:ascii="Arial" w:cs="Arial" w:eastAsia="Arial" w:hAnsi="Arial"/>
          <w:sz w:val="17"/>
          <w:szCs w:val="17"/>
          <w:color w:val="auto"/>
        </w:rPr>
      </w:pPr>
    </w:p>
    <w:p>
      <w:pPr>
        <w:ind w:left="700" w:hanging="356"/>
        <w:spacing w:after="0" w:line="255"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units in the open market after the distribution has been completed in order to cover syndicate short positions. In determining the source of units to close out the short position, the underwriter will consider, among other things, the price of units available for purchase in the open market as compared to the price at which they may purchase units through the over-allotment option. If the underwriter sells more units than could be covered by the over-allotment option, a naked short position, the position can only be closed out by buying units in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360"/>
        <w:spacing w:after="0" w:line="264" w:lineRule="auto"/>
        <w:rPr>
          <w:sz w:val="20"/>
          <w:szCs w:val="20"/>
          <w:color w:val="auto"/>
        </w:rPr>
      </w:pPr>
      <w:r>
        <w:rPr>
          <w:rFonts w:ascii="Arial" w:cs="Arial" w:eastAsia="Arial" w:hAnsi="Arial"/>
          <w:sz w:val="18"/>
          <w:szCs w:val="18"/>
          <w:color w:val="auto"/>
        </w:rPr>
        <w:t>open market. A naked short position is more likely to be created if the underwriter is concerned that there could be downward pressure on the price of the units in the open market after pricing that could adversely affect investors who purchase in this offering.</w:t>
      </w:r>
    </w:p>
    <w:p>
      <w:pPr>
        <w:spacing w:after="0" w:line="73" w:lineRule="exact"/>
        <w:rPr>
          <w:sz w:val="20"/>
          <w:szCs w:val="20"/>
          <w:color w:val="auto"/>
        </w:rPr>
      </w:pPr>
    </w:p>
    <w:p>
      <w:pPr>
        <w:ind w:left="700" w:right="160" w:hanging="356"/>
        <w:spacing w:after="0" w:line="264"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7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not under any contractual obligation to engage the underwriter to provide any services for us after this offering and have no present intent to do so. However, the underwriter may introduce us to potential target businesses or assist us in raising additional capital in the future.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they are affiliated, a finder’s fee or other compensation for services rendered to us in connection with the completion of a business combination.</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underwriter and its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prospectus in electronic format may be made available on the websites maintained by the underwriter, or selling group members, if any, participating in this offering and the underwriter participating in this offering may distribute prospectuses electronically. The underwriter may allocate a number of units for sale to its online brokerage account holders. Internet distributions will be allocated by the underwriter that will make internet distributions on the same basis as other allocations.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underwriter has represented and agreed that it has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79" w:lineRule="exact"/>
        <w:rPr>
          <w:sz w:val="20"/>
          <w:szCs w:val="20"/>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00" w:hanging="356"/>
        <w:spacing w:after="0" w:line="264"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severally represents, warrants and agrees as follows:</w:t>
      </w:r>
    </w:p>
    <w:p>
      <w:pPr>
        <w:spacing w:after="0" w:line="117" w:lineRule="exact"/>
        <w:rPr>
          <w:sz w:val="20"/>
          <w:szCs w:val="20"/>
          <w:color w:val="auto"/>
        </w:rPr>
      </w:pPr>
    </w:p>
    <w:p>
      <w:pPr>
        <w:ind w:left="700" w:right="140" w:hanging="356"/>
        <w:spacing w:after="0" w:line="25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80"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units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underwriter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underwriter and each of its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0" w:name="page161"/>
    <w:bookmarkEnd w:id="16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rPr>
          <w:sz w:val="20"/>
          <w:szCs w:val="20"/>
          <w:color w:val="auto"/>
        </w:rPr>
      </w:pPr>
      <w:r>
        <w:rPr>
          <w:rFonts w:ascii="Arial" w:cs="Arial" w:eastAsia="Arial" w:hAnsi="Arial"/>
          <w:sz w:val="16"/>
          <w:szCs w:val="16"/>
          <w:color w:val="auto"/>
        </w:rPr>
        <w:t>units be circulated or distributed, whether directly or indirectly, to the public or any member of the public in Singapore other than</w:t>
      </w:r>
    </w:p>
    <w:p>
      <w:pPr>
        <w:spacing w:after="0" w:line="46" w:lineRule="exact"/>
        <w:rPr>
          <w:sz w:val="20"/>
          <w:szCs w:val="20"/>
          <w:color w:val="auto"/>
        </w:rPr>
      </w:pPr>
    </w:p>
    <w:p>
      <w:pPr>
        <w:ind w:left="7" w:right="120" w:hanging="7"/>
        <w:spacing w:after="0" w:line="277" w:lineRule="auto"/>
        <w:tabs>
          <w:tab w:leader="none" w:pos="2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Residents of Germany</w:t>
      </w:r>
    </w:p>
    <w:p>
      <w:pPr>
        <w:spacing w:after="0" w:line="121" w:lineRule="exact"/>
        <w:rPr>
          <w:sz w:val="20"/>
          <w:szCs w:val="20"/>
          <w:color w:val="auto"/>
        </w:rPr>
      </w:pPr>
    </w:p>
    <w:p>
      <w:pPr>
        <w:ind w:left="7"/>
        <w:spacing w:after="0" w:line="297" w:lineRule="auto"/>
        <w:rPr>
          <w:sz w:val="20"/>
          <w:szCs w:val="20"/>
          <w:color w:val="auto"/>
        </w:rPr>
      </w:pPr>
      <w:r>
        <w:rPr>
          <w:rFonts w:ascii="Arial" w:cs="Arial" w:eastAsia="Arial" w:hAnsi="Arial"/>
          <w:sz w:val="16"/>
          <w:szCs w:val="16"/>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the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Residents of France</w:t>
      </w:r>
    </w:p>
    <w:p>
      <w:pPr>
        <w:spacing w:after="0" w:line="121" w:lineRule="exact"/>
        <w:rPr>
          <w:sz w:val="20"/>
          <w:szCs w:val="20"/>
          <w:color w:val="auto"/>
        </w:rPr>
      </w:pPr>
    </w:p>
    <w:p>
      <w:pPr>
        <w:ind w:left="7" w:right="160"/>
        <w:spacing w:after="0" w:line="255" w:lineRule="auto"/>
        <w:rPr>
          <w:sz w:val="20"/>
          <w:szCs w:val="20"/>
          <w:color w:val="auto"/>
        </w:rPr>
      </w:pPr>
      <w:r>
        <w:rPr>
          <w:rFonts w:ascii="Arial" w:cs="Arial" w:eastAsia="Arial" w:hAnsi="Arial"/>
          <w:sz w:val="18"/>
          <w:szCs w:val="18"/>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121" w:lineRule="exact"/>
        <w:rPr>
          <w:sz w:val="20"/>
          <w:szCs w:val="20"/>
          <w:color w:val="auto"/>
        </w:rPr>
      </w:pPr>
    </w:p>
    <w:p>
      <w:pPr>
        <w:ind w:left="7"/>
        <w:spacing w:after="0" w:line="269"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7"/>
          <w:szCs w:val="17"/>
          <w:color w:val="auto"/>
        </w:rPr>
        <w:t>No invitation, whether directly or indirectly, may be made to the public in the Cayman Islands to subscribe for our securities.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7" w:right="80"/>
        <w:spacing w:after="0" w:line="273" w:lineRule="auto"/>
        <w:rPr>
          <w:sz w:val="20"/>
          <w:szCs w:val="20"/>
          <w:color w:val="auto"/>
        </w:rPr>
      </w:pPr>
      <w:r>
        <w:rPr>
          <w:rFonts w:ascii="Arial" w:cs="Arial" w:eastAsia="Arial" w:hAnsi="Arial"/>
          <w:sz w:val="17"/>
          <w:szCs w:val="17"/>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62" w:lineRule="exact"/>
        <w:rPr>
          <w:sz w:val="20"/>
          <w:szCs w:val="20"/>
          <w:color w:val="auto"/>
        </w:rPr>
      </w:pPr>
    </w:p>
    <w:p>
      <w:pPr>
        <w:ind w:left="700" w:right="120" w:hanging="356"/>
        <w:spacing w:after="0" w:line="264"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units without the benefit of a prospectus qualified under those securities laws as it is an “accredited investor” as defined under National Instrument 45-106—Prospectus Exemptions;</w:t>
      </w:r>
    </w:p>
    <w:p>
      <w:pPr>
        <w:spacing w:after="0" w:line="73"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Canadian purchasers are hereby notified that Credit Suisse Securities (USA) LLC is relying on the exemption set out in section 3A.3 or 3A.4, if applicable, of National Instrument 33-105—Underwriting Conflicts from having to provide certain conflict of interest disclosure in this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Skadden, Arps, Slate, Meagher &amp; Flom LLP, Los Angeles, California, is acting as counsel to the underwriter.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financial statements of Silver Spike Acquisition Corp. as of June 11, 2019 and for the period from June 7, 2019 (inception) through June 11, 2019 appearing in this prospectus have been audited by Marcum LLP, independent registered public accounting firm, as set forth in their report thereon (which contains an explanatory paragraph relating to substantial doubt about the ability of Silver Spike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5"/>
            <w:shd w:val="clear" w:color="auto" w:fill="CCEEFF"/>
          </w:tcPr>
          <w:p>
            <w:pPr>
              <w:spacing w:after="0" w:line="189"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REPORT OF INDEPENDENT REGISTERED PUBLIC ACCOUNTING FIRM</w:t>
              </w:r>
            </w:hyperlink>
          </w:p>
        </w:tc>
        <w:tc>
          <w:tcPr>
            <w:tcW w:w="3080" w:type="dxa"/>
            <w:vAlign w:val="bottom"/>
            <w:gridSpan w:val="8"/>
            <w:shd w:val="clear" w:color="auto" w:fill="CCEEFF"/>
          </w:tcPr>
          <w:p>
            <w:pPr>
              <w:spacing w:after="0"/>
              <w:rPr>
                <w:sz w:val="19"/>
                <w:szCs w:val="19"/>
                <w:color w:val="auto"/>
              </w:rPr>
            </w:pPr>
          </w:p>
        </w:tc>
        <w:tc>
          <w:tcPr>
            <w:tcW w:w="680" w:type="dxa"/>
            <w:vAlign w:val="bottom"/>
            <w:gridSpan w:val="3"/>
            <w:shd w:val="clear" w:color="auto" w:fill="CCEEFF"/>
          </w:tcPr>
          <w:p>
            <w:pPr>
              <w:ind w:left="340"/>
              <w:spacing w:after="0" w:line="189" w:lineRule="exact"/>
              <w:rPr>
                <w:rFonts w:ascii="Arial" w:cs="Arial" w:eastAsia="Arial" w:hAnsi="Arial"/>
                <w:sz w:val="18"/>
                <w:szCs w:val="18"/>
                <w:color w:val="0000EE"/>
              </w:rPr>
            </w:pPr>
            <w:hyperlink w:anchor="page165">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230"/>
        </w:trPr>
        <w:tc>
          <w:tcPr>
            <w:tcW w:w="20" w:type="dxa"/>
            <w:vAlign w:val="bottom"/>
            <w:tcBorders>
              <w:top w:val="single" w:sz="8" w:color="0000EE"/>
            </w:tcBorders>
          </w:tcPr>
          <w:p>
            <w:pPr>
              <w:spacing w:after="0"/>
              <w:rPr>
                <w:sz w:val="20"/>
                <w:szCs w:val="20"/>
                <w:color w:val="auto"/>
              </w:rPr>
            </w:pPr>
          </w:p>
        </w:tc>
        <w:tc>
          <w:tcPr>
            <w:tcW w:w="57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3080" w:type="dxa"/>
            <w:vAlign w:val="bottom"/>
            <w:tcBorders>
              <w:top w:val="single" w:sz="8" w:color="CCEEFF"/>
            </w:tcBorders>
            <w:gridSpan w:val="8"/>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gridSpan w:val="6"/>
            <w:shd w:val="clear" w:color="auto" w:fill="CCEEFF"/>
          </w:tcPr>
          <w:p>
            <w:pPr>
              <w:spacing w:after="0" w:line="201" w:lineRule="exact"/>
              <w:rPr>
                <w:rFonts w:ascii="Arial" w:cs="Arial" w:eastAsia="Arial" w:hAnsi="Arial"/>
                <w:sz w:val="18"/>
                <w:szCs w:val="18"/>
                <w:color w:val="0000EE"/>
                <w:w w:val="95"/>
              </w:rPr>
            </w:pPr>
            <w:hyperlink w:anchor="page166">
              <w:r>
                <w:rPr>
                  <w:rFonts w:ascii="Arial" w:cs="Arial" w:eastAsia="Arial" w:hAnsi="Arial"/>
                  <w:sz w:val="18"/>
                  <w:szCs w:val="18"/>
                  <w:color w:val="0000EE"/>
                  <w:w w:val="95"/>
                </w:rPr>
                <w:t>BALANCE SHEETS AS OF JUNE 30, 2019 (UNAUDITED) AND JUNE 11, 2019 (AUDITED)</w:t>
              </w:r>
            </w:hyperlink>
          </w:p>
        </w:tc>
        <w:tc>
          <w:tcPr>
            <w:tcW w:w="1840" w:type="dxa"/>
            <w:vAlign w:val="bottom"/>
            <w:gridSpan w:val="7"/>
            <w:shd w:val="clear" w:color="auto" w:fill="CCEEFF"/>
          </w:tcPr>
          <w:p>
            <w:pPr>
              <w:spacing w:after="0"/>
              <w:rPr>
                <w:sz w:val="17"/>
                <w:szCs w:val="17"/>
                <w:color w:val="auto"/>
              </w:rPr>
            </w:pPr>
          </w:p>
        </w:tc>
        <w:tc>
          <w:tcPr>
            <w:tcW w:w="680" w:type="dxa"/>
            <w:vAlign w:val="bottom"/>
            <w:gridSpan w:val="3"/>
            <w:shd w:val="clear" w:color="auto" w:fill="CCEEFF"/>
          </w:tcPr>
          <w:p>
            <w:pPr>
              <w:ind w:left="340"/>
              <w:spacing w:after="0" w:line="201" w:lineRule="exact"/>
              <w:rPr>
                <w:rFonts w:ascii="Arial" w:cs="Arial" w:eastAsia="Arial" w:hAnsi="Arial"/>
                <w:sz w:val="18"/>
                <w:szCs w:val="18"/>
                <w:color w:val="0000EE"/>
              </w:rPr>
            </w:pPr>
            <w:hyperlink w:anchor="page166">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0000EE"/>
            </w:tcBorders>
            <w:vMerge w:val="continue"/>
          </w:tcPr>
          <w:p>
            <w:pPr>
              <w:spacing w:after="0"/>
              <w:rPr>
                <w:sz w:val="16"/>
                <w:szCs w:val="16"/>
                <w:color w:val="auto"/>
              </w:rPr>
            </w:pPr>
          </w:p>
        </w:tc>
        <w:tc>
          <w:tcPr>
            <w:tcW w:w="8440" w:type="dxa"/>
            <w:vAlign w:val="bottom"/>
            <w:tcBorders>
              <w:bottom w:val="single" w:sz="8" w:color="0000EE"/>
            </w:tcBorders>
            <w:gridSpan w:val="11"/>
          </w:tcPr>
          <w:p>
            <w:pPr>
              <w:spacing w:after="0" w:line="189" w:lineRule="exact"/>
              <w:rPr>
                <w:rFonts w:ascii="Arial" w:cs="Arial" w:eastAsia="Arial" w:hAnsi="Arial"/>
                <w:sz w:val="18"/>
                <w:szCs w:val="18"/>
                <w:color w:val="0000EE"/>
                <w:w w:val="93"/>
              </w:rPr>
            </w:pPr>
            <w:hyperlink w:anchor="page167">
              <w:r>
                <w:rPr>
                  <w:rFonts w:ascii="Arial" w:cs="Arial" w:eastAsia="Arial" w:hAnsi="Arial"/>
                  <w:sz w:val="18"/>
                  <w:szCs w:val="18"/>
                  <w:color w:val="0000EE"/>
                  <w:w w:val="93"/>
                </w:rPr>
                <w:t>STATEMENTS OF OPERATIONS FOR THE PERIOD FROM JUNE 7, 2019 (INCEPTION) THROUGH JUNE 30,</w:t>
              </w:r>
            </w:hyperlink>
          </w:p>
        </w:tc>
        <w:tc>
          <w:tcPr>
            <w:tcW w:w="42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2019 (UNAUDITED) AND FOR THE PERIOD FROM JUNE 7, 2019 (INCEPTION) THROUGH JUNE 11, 2019</w:t>
              </w:r>
            </w:hyperlink>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gridSpan w:val="1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(AUDITED)</w:t>
              </w:r>
            </w:hyperlink>
          </w:p>
        </w:tc>
        <w:tc>
          <w:tcPr>
            <w:tcW w:w="680" w:type="dxa"/>
            <w:vAlign w:val="bottom"/>
            <w:gridSpan w:val="3"/>
          </w:tcPr>
          <w:p>
            <w:pPr>
              <w:ind w:left="340"/>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0000EE"/>
            </w:tcBorders>
            <w:vMerge w:val="continue"/>
          </w:tcPr>
          <w:p>
            <w:pPr>
              <w:spacing w:after="0"/>
              <w:rPr>
                <w:sz w:val="16"/>
                <w:szCs w:val="16"/>
                <w:color w:val="auto"/>
              </w:rPr>
            </w:pPr>
          </w:p>
        </w:tc>
        <w:tc>
          <w:tcPr>
            <w:tcW w:w="7840" w:type="dxa"/>
            <w:vAlign w:val="bottom"/>
            <w:tcBorders>
              <w:bottom w:val="single" w:sz="8" w:color="0000EE"/>
            </w:tcBorders>
            <w:gridSpan w:val="7"/>
            <w:shd w:val="clear" w:color="auto" w:fill="CCEEFF"/>
          </w:tcPr>
          <w:p>
            <w:pPr>
              <w:spacing w:after="0" w:line="189"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STATEMENTS OF CHANGES IN SHAREHOLDER'S EQUITY FOR THE PERIOD FROM JUNE 7, 2019</w:t>
              </w:r>
            </w:hyperlink>
          </w:p>
        </w:tc>
        <w:tc>
          <w:tcPr>
            <w:tcW w:w="1020" w:type="dxa"/>
            <w:vAlign w:val="bottom"/>
            <w:tcBorders>
              <w:bottom w:val="single" w:sz="8" w:color="CCEEFF"/>
            </w:tcBorders>
            <w:gridSpan w:val="6"/>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5"/>
              </w:rPr>
            </w:pPr>
            <w:hyperlink w:anchor="page168">
              <w:r>
                <w:rPr>
                  <w:rFonts w:ascii="Arial" w:cs="Arial" w:eastAsia="Arial" w:hAnsi="Arial"/>
                  <w:sz w:val="18"/>
                  <w:szCs w:val="18"/>
                  <w:color w:val="0000EE"/>
                  <w:w w:val="95"/>
                </w:rPr>
                <w:t>(INCEPTION) THROUGH JUNE 30, 2019 (UNAUDITED) AND FOR THE PERIOD FROM JUNE 7, 2019</w:t>
              </w:r>
            </w:hyperlink>
          </w:p>
        </w:tc>
        <w:tc>
          <w:tcPr>
            <w:tcW w:w="780" w:type="dxa"/>
            <w:vAlign w:val="bottom"/>
            <w:tcBorders>
              <w:bottom w:val="single" w:sz="8" w:color="CCEEFF"/>
            </w:tcBorders>
            <w:gridSpan w:val="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00" w:type="dxa"/>
            <w:vAlign w:val="bottom"/>
            <w:gridSpan w:val="12"/>
            <w:shd w:val="clear" w:color="auto" w:fill="CCEEFF"/>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(INCEPTION) THROUGH JUNE 11, 2019 (AUDITED)</w:t>
              </w:r>
            </w:hyperlink>
          </w:p>
        </w:tc>
        <w:tc>
          <w:tcPr>
            <w:tcW w:w="680" w:type="dxa"/>
            <w:vAlign w:val="bottom"/>
            <w:gridSpan w:val="3"/>
            <w:shd w:val="clear" w:color="auto" w:fill="CCEEFF"/>
          </w:tcPr>
          <w:p>
            <w:pPr>
              <w:ind w:left="34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3"/>
          </w:tcPr>
          <w:p>
            <w:pPr>
              <w:spacing w:after="0" w:line="189" w:lineRule="exact"/>
              <w:rPr>
                <w:rFonts w:ascii="Arial" w:cs="Arial" w:eastAsia="Arial" w:hAnsi="Arial"/>
                <w:sz w:val="18"/>
                <w:szCs w:val="18"/>
                <w:color w:val="0000EE"/>
                <w:w w:val="99"/>
              </w:rPr>
            </w:pPr>
            <w:hyperlink w:anchor="page169">
              <w:r>
                <w:rPr>
                  <w:rFonts w:ascii="Arial" w:cs="Arial" w:eastAsia="Arial" w:hAnsi="Arial"/>
                  <w:sz w:val="18"/>
                  <w:szCs w:val="18"/>
                  <w:color w:val="0000EE"/>
                  <w:w w:val="99"/>
                </w:rPr>
                <w:t>STATEMENT OF CASH FLOWS FOR THE PERIOD FROM JUNE 7, 2019 (INCEPTION) THROUGH JUNE 30,</w:t>
              </w:r>
            </w:hyperlink>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0" w:type="dxa"/>
            <w:vAlign w:val="bottom"/>
            <w:tcBorders>
              <w:top w:val="single" w:sz="8" w:color="0000EE"/>
            </w:tcBorders>
            <w:gridSpan w:val="9"/>
          </w:tcPr>
          <w:p>
            <w:pPr>
              <w:spacing w:after="0" w:line="196" w:lineRule="exact"/>
              <w:rPr>
                <w:rFonts w:ascii="Arial" w:cs="Arial" w:eastAsia="Arial" w:hAnsi="Arial"/>
                <w:sz w:val="18"/>
                <w:szCs w:val="18"/>
                <w:color w:val="0000EE"/>
                <w:w w:val="98"/>
              </w:rPr>
            </w:pPr>
            <w:hyperlink w:anchor="page169">
              <w:r>
                <w:rPr>
                  <w:rFonts w:ascii="Arial" w:cs="Arial" w:eastAsia="Arial" w:hAnsi="Arial"/>
                  <w:sz w:val="18"/>
                  <w:szCs w:val="18"/>
                  <w:color w:val="0000EE"/>
                  <w:w w:val="98"/>
                </w:rPr>
                <w:t>2019 (UNAUDITED) FOR THE PERIOD FROM JUNE 7, 2019 (INCEPTION) THROUGH JUNE 11, 2019</w:t>
              </w:r>
            </w:hyperlink>
          </w:p>
        </w:tc>
        <w:tc>
          <w:tcPr>
            <w:tcW w:w="50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(AUDITED)</w:t>
              </w:r>
            </w:hyperlink>
          </w:p>
        </w:tc>
        <w:tc>
          <w:tcPr>
            <w:tcW w:w="820" w:type="dxa"/>
            <w:vAlign w:val="bottom"/>
            <w:gridSpan w:val="5"/>
          </w:tcPr>
          <w:p>
            <w:pPr>
              <w:spacing w:after="0"/>
              <w:rPr>
                <w:sz w:val="17"/>
                <w:szCs w:val="17"/>
                <w:color w:val="auto"/>
              </w:rPr>
            </w:pPr>
          </w:p>
        </w:tc>
        <w:tc>
          <w:tcPr>
            <w:tcW w:w="680" w:type="dxa"/>
            <w:vAlign w:val="bottom"/>
            <w:gridSpan w:val="3"/>
          </w:tcPr>
          <w:p>
            <w:pPr>
              <w:ind w:left="340"/>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13"/>
            <w:shd w:val="clear" w:color="auto" w:fill="CCEEFF"/>
          </w:tcPr>
          <w:p>
            <w:pPr>
              <w:spacing w:after="0" w:line="189" w:lineRule="exact"/>
              <w:rPr>
                <w:rFonts w:ascii="Arial" w:cs="Arial" w:eastAsia="Arial" w:hAnsi="Arial"/>
                <w:sz w:val="18"/>
                <w:szCs w:val="18"/>
                <w:color w:val="0000EE"/>
              </w:rPr>
            </w:pPr>
            <w:hyperlink w:anchor="page170">
              <w:r>
                <w:rPr>
                  <w:rFonts w:ascii="Arial" w:cs="Arial" w:eastAsia="Arial" w:hAnsi="Arial"/>
                  <w:sz w:val="18"/>
                  <w:szCs w:val="18"/>
                  <w:color w:val="0000EE"/>
                </w:rPr>
                <w:t>NOTES TO FINANCIAL STATEMENTS</w:t>
              </w:r>
            </w:hyperlink>
          </w:p>
        </w:tc>
        <w:tc>
          <w:tcPr>
            <w:tcW w:w="680" w:type="dxa"/>
            <w:vAlign w:val="bottom"/>
            <w:gridSpan w:val="3"/>
            <w:shd w:val="clear" w:color="auto" w:fill="CCEEFF"/>
          </w:tcPr>
          <w:p>
            <w:pPr>
              <w:ind w:left="340"/>
              <w:spacing w:after="0" w:line="189" w:lineRule="exact"/>
              <w:rPr>
                <w:rFonts w:ascii="Arial" w:cs="Arial" w:eastAsia="Arial" w:hAnsi="Arial"/>
                <w:sz w:val="18"/>
                <w:szCs w:val="18"/>
                <w:color w:val="0000EE"/>
              </w:rPr>
            </w:pPr>
            <w:hyperlink w:anchor="page170">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32"/>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4600" w:type="dxa"/>
            <w:vAlign w:val="bottom"/>
            <w:tcBorders>
              <w:top w:val="single" w:sz="8" w:color="CCEEFF"/>
            </w:tcBorders>
            <w:gridSpan w:val="9"/>
          </w:tcPr>
          <w:p>
            <w:pPr>
              <w:ind w:left="360"/>
              <w:spacing w:after="0"/>
              <w:rPr>
                <w:sz w:val="20"/>
                <w:szCs w:val="20"/>
                <w:color w:val="auto"/>
              </w:rPr>
            </w:pPr>
            <w:r>
              <w:rPr>
                <w:rFonts w:ascii="Arial" w:cs="Arial" w:eastAsia="Arial" w:hAnsi="Arial"/>
                <w:sz w:val="18"/>
                <w:szCs w:val="18"/>
                <w:color w:val="auto"/>
              </w:rPr>
              <w:t>F-1</w:t>
            </w: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9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balance sheet of Silver Spike Acquisition Corp. (the “Company”) as of June 11, 2019 and the related statements of operations, changes in shareholder's equity and cash flows for the period from June 7, 2019 (inception) through June 11, 2019 and the related notes (collectively referred to as the “financial statements”). In our opinion, the financial statements present fairly, in all material respects, the financial position of the Company as of June 11, 2019 and the results of its operations and its cash flows for the period from June 7, 2019 (inception) through June 11, 2019,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business plan is dependent on the completion of a financing and the Company's cash and working capital as of June 11, 2019 are not sufficient to complete its planned activities. These conditions raise substantial doubt about the Company's ability to continue as a going concern. Management's plans in regard to these matters are also described in Note 1 and 3 to the financial statements. The financial statements do not include any adjustments that might result from the outcome of this uncertainty.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5" w:name="page166"/>
    <w:bookmarkEnd w:id="16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BALANCE SHEETS</w:t>
      </w:r>
    </w:p>
    <w:p>
      <w:pPr>
        <w:spacing w:after="0" w:line="5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June 11,</w:t>
            </w:r>
          </w:p>
        </w:tc>
      </w:tr>
      <w:tr>
        <w:trPr>
          <w:trHeight w:val="17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96"/>
        </w:trPr>
        <w:tc>
          <w:tcPr>
            <w:tcW w:w="7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i w:val="1"/>
                <w:iCs w:val="1"/>
                <w:color w:val="auto"/>
                <w:w w:val="98"/>
              </w:rPr>
              <w:t>(Unaudited)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4"/>
              </w:rPr>
              <w:t>(Audited)</w:t>
            </w:r>
          </w:p>
        </w:tc>
      </w:tr>
      <w:tr>
        <w:trPr>
          <w:trHeight w:val="243"/>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315,281</w:t>
            </w:r>
          </w:p>
        </w:tc>
        <w:tc>
          <w:tcPr>
            <w:tcW w:w="16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20"/>
                <w:szCs w:val="20"/>
                <w:color w:val="auto"/>
              </w:rPr>
            </w:pPr>
          </w:p>
        </w:tc>
      </w:tr>
      <w:tr>
        <w:trPr>
          <w:trHeight w:val="27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315,281</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567"/>
          </w:cols>
          <w:pgMar w:left="1173" w:top="279" w:right="1159" w:bottom="1440" w:gutter="0" w:footer="0" w:header="0"/>
        </w:sectPr>
      </w:pPr>
    </w:p>
    <w:p>
      <w:pPr>
        <w:spacing w:after="0" w:line="3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07187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20" w:lineRule="exact"/>
        <w:rPr>
          <w:sz w:val="20"/>
          <w:szCs w:val="20"/>
          <w:color w:val="auto"/>
        </w:rPr>
      </w:pPr>
    </w:p>
    <w:p>
      <w:pPr>
        <w:ind w:left="7"/>
        <w:spacing w:after="0"/>
        <w:rPr>
          <w:sz w:val="20"/>
          <w:szCs w:val="20"/>
          <w:color w:val="auto"/>
        </w:rPr>
      </w:pPr>
      <w:r>
        <w:rPr>
          <w:rFonts w:ascii="Arial" w:cs="Arial" w:eastAsia="Arial" w:hAnsi="Arial"/>
          <w:sz w:val="18"/>
          <w:szCs w:val="18"/>
          <w:color w:val="auto"/>
        </w:rPr>
        <w:t>Current liabilities</w:t>
      </w:r>
    </w:p>
    <w:p>
      <w:pPr>
        <w:spacing w:after="0" w:line="36" w:lineRule="exact"/>
        <w:rPr>
          <w:sz w:val="20"/>
          <w:szCs w:val="20"/>
          <w:color w:val="auto"/>
        </w:rPr>
      </w:pPr>
    </w:p>
    <w:p>
      <w:pPr>
        <w:ind w:left="187"/>
        <w:spacing w:after="0"/>
        <w:rPr>
          <w:sz w:val="20"/>
          <w:szCs w:val="20"/>
          <w:color w:val="auto"/>
        </w:rPr>
      </w:pPr>
      <w:r>
        <w:rPr>
          <w:rFonts w:ascii="Arial" w:cs="Arial" w:eastAsia="Arial" w:hAnsi="Arial"/>
          <w:sz w:val="18"/>
          <w:szCs w:val="18"/>
          <w:color w:val="auto"/>
        </w:rPr>
        <w:t>Accrued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30" w:lineRule="exact"/>
        <w:rPr>
          <w:sz w:val="20"/>
          <w:szCs w:val="20"/>
          <w:color w:val="auto"/>
        </w:rPr>
      </w:pPr>
    </w:p>
    <w:p>
      <w:pPr>
        <w:ind w:left="187"/>
        <w:spacing w:after="0"/>
        <w:rPr>
          <w:sz w:val="20"/>
          <w:szCs w:val="20"/>
          <w:color w:val="auto"/>
        </w:rPr>
      </w:pPr>
      <w:r>
        <w:rPr>
          <w:rFonts w:ascii="Arial" w:cs="Arial" w:eastAsia="Arial" w:hAnsi="Arial"/>
          <w:sz w:val="18"/>
          <w:szCs w:val="18"/>
          <w:color w:val="auto"/>
        </w:rPr>
        <w:t>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07187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tabs>
          <w:tab w:leader="none" w:pos="340" w:val="left"/>
          <w:tab w:leader="none" w:pos="1780" w:val="left"/>
        </w:tabs>
        <w:rPr>
          <w:sz w:val="20"/>
          <w:szCs w:val="20"/>
          <w:color w:val="auto"/>
        </w:rPr>
      </w:pPr>
      <w:r>
        <w:rPr>
          <w:rFonts w:ascii="Arial" w:cs="Arial" w:eastAsia="Arial" w:hAnsi="Arial"/>
          <w:sz w:val="18"/>
          <w:szCs w:val="18"/>
          <w:color w:val="auto"/>
        </w:rPr>
        <w:t>$</w:t>
        <w:tab/>
        <w:t>226,656</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both"/>
        <w:ind w:left="440"/>
        <w:spacing w:after="0"/>
        <w:tabs>
          <w:tab w:leader="none" w:pos="1460" w:val="left"/>
        </w:tabs>
        <w:rPr>
          <w:sz w:val="20"/>
          <w:szCs w:val="20"/>
          <w:color w:val="auto"/>
        </w:rPr>
      </w:pPr>
      <w:r>
        <w:rPr>
          <w:rFonts w:ascii="Arial" w:cs="Arial" w:eastAsia="Arial" w:hAnsi="Arial"/>
          <w:sz w:val="18"/>
          <w:szCs w:val="18"/>
          <w:color w:val="auto"/>
        </w:rPr>
        <w:t>68,625</w:t>
      </w:r>
      <w:r>
        <w:rPr>
          <w:sz w:val="20"/>
          <w:szCs w:val="20"/>
          <w:color w:val="auto"/>
        </w:rPr>
        <w:tab/>
      </w:r>
      <w:r>
        <w:rPr>
          <w:rFonts w:ascii="Arial" w:cs="Arial" w:eastAsia="Arial" w:hAnsi="Arial"/>
          <w:sz w:val="18"/>
          <w:szCs w:val="18"/>
          <w:color w:val="auto"/>
        </w:rPr>
        <w:t>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14605</wp:posOffset>
            </wp:positionV>
            <wp:extent cx="12865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0" w:lineRule="exact"/>
        <w:rPr>
          <w:sz w:val="20"/>
          <w:szCs w:val="20"/>
          <w:color w:val="auto"/>
        </w:rPr>
      </w:pPr>
    </w:p>
    <w:p>
      <w:pPr>
        <w:jc w:val="both"/>
        <w:ind w:left="360"/>
        <w:spacing w:after="0"/>
        <w:tabs>
          <w:tab w:leader="none" w:pos="1460" w:val="left"/>
        </w:tabs>
        <w:rPr>
          <w:sz w:val="20"/>
          <w:szCs w:val="20"/>
          <w:color w:val="auto"/>
        </w:rPr>
      </w:pPr>
      <w:r>
        <w:rPr>
          <w:rFonts w:ascii="Arial" w:cs="Arial" w:eastAsia="Arial" w:hAnsi="Arial"/>
          <w:sz w:val="18"/>
          <w:szCs w:val="18"/>
          <w:color w:val="auto"/>
        </w:rPr>
        <w:t>295,281</w:t>
      </w:r>
      <w:r>
        <w:rPr>
          <w:sz w:val="20"/>
          <w:szCs w:val="20"/>
          <w:color w:val="auto"/>
        </w:rPr>
        <w:tab/>
      </w:r>
      <w:r>
        <w:rPr>
          <w:rFonts w:ascii="Arial" w:cs="Arial" w:eastAsia="Arial" w:hAnsi="Arial"/>
          <w:sz w:val="18"/>
          <w:szCs w:val="18"/>
          <w:color w:val="auto"/>
        </w:rPr>
        <w:t>12,500</w:t>
      </w:r>
    </w:p>
    <w:p>
      <w:pPr>
        <w:spacing w:after="0" w:line="209" w:lineRule="exact"/>
        <w:rPr>
          <w:sz w:val="20"/>
          <w:szCs w:val="20"/>
          <w:color w:val="auto"/>
        </w:rPr>
      </w:pPr>
    </w:p>
    <w:p>
      <w:pPr>
        <w:sectPr>
          <w:pgSz w:w="11900" w:h="16838" w:orient="portrait"/>
          <w:cols w:equalWidth="0" w:num="2">
            <w:col w:w="6767" w:space="720"/>
            <w:col w:w="2080"/>
          </w:cols>
          <w:pgMar w:left="1173" w:top="279" w:right="1159" w:bottom="1440" w:gutter="0" w:footer="0" w:header="0"/>
          <w:type w:val="continuous"/>
        </w:sectPr>
      </w:pPr>
    </w:p>
    <w:p>
      <w:pPr>
        <w:spacing w:after="0" w:line="84"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w w:val="92"/>
              </w:rPr>
              <w:t>Preference shares, $0.0001 par value; 1,000,000 shares authorized; none issued and outstanding</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Class A ordinary shares, $0.0001 par value; 200,000,000 shares authorized; none issued and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gridSpan w:val="2"/>
          </w:tcPr>
          <w:p>
            <w:pPr>
              <w:ind w:left="160"/>
              <w:spacing w:after="0" w:line="206" w:lineRule="exact"/>
              <w:rPr>
                <w:sz w:val="20"/>
                <w:szCs w:val="20"/>
                <w:color w:val="auto"/>
              </w:rPr>
            </w:pPr>
            <w:r>
              <w:rPr>
                <w:rFonts w:ascii="Arial" w:cs="Arial" w:eastAsia="Arial" w:hAnsi="Arial"/>
                <w:sz w:val="18"/>
                <w:szCs w:val="18"/>
                <w:color w:val="auto"/>
                <w:w w:val="90"/>
              </w:rPr>
              <w:t>Class B ordinary shares, $0.0001 par value; 20,000,000 shares authorized; 7,187,500 shares issued</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20" w:type="dxa"/>
            <w:vAlign w:val="bottom"/>
            <w:gridSpan w:val="2"/>
          </w:tcPr>
          <w:p>
            <w:pPr>
              <w:ind w:left="340"/>
              <w:spacing w:after="0" w:line="253" w:lineRule="exact"/>
              <w:rPr>
                <w:sz w:val="20"/>
                <w:szCs w:val="20"/>
                <w:color w:val="auto"/>
              </w:rPr>
            </w:pPr>
            <w:r>
              <w:rPr>
                <w:rFonts w:ascii="Arial" w:cs="Arial" w:eastAsia="Arial" w:hAnsi="Arial"/>
                <w:sz w:val="18"/>
                <w:szCs w:val="18"/>
                <w:color w:val="auto"/>
              </w:rPr>
              <w:t>and outstanding</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315,281</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Includes an aggregate of up to 937,500 shares subject to forfeiture if the over-allotment option is not exercised in full or in part by the underwriter (see Note 6).</w:t>
      </w: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66" w:name="page167"/>
    <w:bookmarkEnd w:id="16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STATEMENTS OF OPERATIONS</w:t>
      </w:r>
    </w:p>
    <w:p>
      <w:pPr>
        <w:spacing w:after="0" w:line="52"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For the Period from</w:t>
      </w:r>
    </w:p>
    <w:p>
      <w:pPr>
        <w:spacing w:after="0" w:line="17"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June 7, 2019</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(Inception)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-3175</wp:posOffset>
            </wp:positionV>
            <wp:extent cx="15862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11,</w:t>
            </w:r>
          </w:p>
        </w:tc>
      </w:tr>
      <w:tr>
        <w:trPr>
          <w:trHeight w:val="171"/>
        </w:trPr>
        <w:tc>
          <w:tcPr>
            <w:tcW w:w="1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96"/>
        </w:trPr>
        <w:tc>
          <w:tcPr>
            <w:tcW w:w="14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i w:val="1"/>
                <w:iCs w:val="1"/>
                <w:color w:val="auto"/>
                <w:w w:val="95"/>
              </w:rPr>
              <w:t>(Unaudited)</w:t>
            </w:r>
          </w:p>
        </w:tc>
        <w:tc>
          <w:tcPr>
            <w:tcW w:w="2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(Audited)</w:t>
            </w:r>
          </w:p>
        </w:tc>
      </w:tr>
      <w:tr>
        <w:trPr>
          <w:trHeight w:val="237"/>
        </w:trPr>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69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8"/>
        </w:trPr>
        <w:tc>
          <w:tcPr>
            <w:tcW w:w="1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1"/>
                <w:szCs w:val="21"/>
                <w:color w:val="auto"/>
              </w:rPr>
            </w:pPr>
          </w:p>
        </w:tc>
        <w:tc>
          <w:tcPr>
            <w:tcW w:w="5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6960" w:type="dxa"/>
            <w:vAlign w:val="bottom"/>
            <w:gridSpan w:val="2"/>
          </w:tcPr>
          <w:p>
            <w:pPr>
              <w:spacing w:after="0" w:line="230" w:lineRule="exact"/>
              <w:rPr>
                <w:sz w:val="20"/>
                <w:szCs w:val="20"/>
                <w:color w:val="auto"/>
              </w:rPr>
            </w:pPr>
            <w:r>
              <w:rPr>
                <w:rFonts w:ascii="Arial" w:cs="Arial" w:eastAsia="Arial" w:hAnsi="Arial"/>
                <w:sz w:val="16"/>
                <w:szCs w:val="16"/>
                <w:color w:val="auto"/>
              </w:rPr>
              <w:t>Weighted average shares outstanding, basic and diluted</w:t>
            </w:r>
            <w:r>
              <w:rPr>
                <w:rFonts w:ascii="Arial" w:cs="Arial" w:eastAsia="Arial" w:hAnsi="Arial"/>
                <w:sz w:val="26"/>
                <w:szCs w:val="26"/>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1"/>
                <w:szCs w:val="21"/>
                <w:color w:val="auto"/>
              </w:rPr>
            </w:pPr>
          </w:p>
        </w:tc>
        <w:tc>
          <w:tcPr>
            <w:tcW w:w="5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1"/>
        </w:trPr>
        <w:tc>
          <w:tcPr>
            <w:tcW w:w="1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180" w:hanging="347"/>
        <w:spacing w:after="0" w:line="273" w:lineRule="auto"/>
        <w:tabs>
          <w:tab w:leader="none" w:pos="347"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Excludes an aggregate of up to 937,500 shares subject to forfeiture if the over-allotment option is not exercised in full or in part by the underwriter (see Note 6).</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67" w:name="page168"/>
    <w:bookmarkEnd w:id="16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5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Ordinary Shares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38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5"/>
                <w:szCs w:val="5"/>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5"/>
                <w:szCs w:val="5"/>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7,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spacing w:after="0" w:line="243" w:lineRule="exact"/>
              <w:rPr>
                <w:sz w:val="20"/>
                <w:szCs w:val="20"/>
                <w:color w:val="auto"/>
              </w:rPr>
            </w:pPr>
            <w:r>
              <w:rPr>
                <w:rFonts w:ascii="Arial" w:cs="Arial" w:eastAsia="Arial" w:hAnsi="Arial"/>
                <w:sz w:val="17"/>
                <w:szCs w:val="17"/>
                <w:color w:val="auto"/>
              </w:rPr>
              <w:t>Issuance of Class B ordinary shares to Sponsor</w:t>
            </w:r>
            <w:r>
              <w:rPr>
                <w:rFonts w:ascii="Arial" w:cs="Arial" w:eastAsia="Arial" w:hAnsi="Arial"/>
                <w:sz w:val="28"/>
                <w:szCs w:val="28"/>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7,187,500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719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24,281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vMerge w:val="continue"/>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 June 11, 2019 (audited)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7,187,500</w:t>
            </w:r>
          </w:p>
        </w:tc>
        <w:tc>
          <w:tcPr>
            <w:tcW w:w="1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719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24,281</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Balance – June 30, 2019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7,187,500</w:t>
            </w:r>
          </w:p>
        </w:tc>
        <w:tc>
          <w:tcPr>
            <w:tcW w:w="4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Includes an aggregate of up to 937,500 shares subject to forfeiture if the over-allotment option is not exercised in full or in part by the underwriter (see Note 6).</w:t>
      </w: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SILVER SPIKE ACQUISITION CORP.</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CASH FLOWS</w:t>
      </w:r>
    </w:p>
    <w:p>
      <w:pPr>
        <w:spacing w:after="0" w:line="52"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For the Period from</w:t>
      </w:r>
    </w:p>
    <w:p>
      <w:pPr>
        <w:spacing w:after="0" w:line="17"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June 7, 2019</w:t>
      </w:r>
    </w:p>
    <w:p>
      <w:pPr>
        <w:spacing w:after="0" w:line="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(Inception)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-3175</wp:posOffset>
            </wp:positionV>
            <wp:extent cx="15862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 w:lineRule="exact"/>
        <w:rPr>
          <w:sz w:val="20"/>
          <w:szCs w:val="20"/>
          <w:color w:val="auto"/>
        </w:rPr>
      </w:pPr>
    </w:p>
    <w:tbl>
      <w:tblPr>
        <w:tblLayout w:type="fixed"/>
        <w:tblInd w:w="6960" w:type="dxa"/>
        <w:tblCellMar>
          <w:top w:w="0" w:type="dxa"/>
          <w:left w:w="0" w:type="dxa"/>
          <w:bottom w:w="0" w:type="dxa"/>
          <w:right w:w="0" w:type="dxa"/>
        </w:tblCellMar>
      </w:tblPr>
      <w:tr>
        <w:trPr>
          <w:trHeight w:val="162"/>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4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June 11,</w:t>
            </w:r>
          </w:p>
        </w:tc>
      </w:tr>
      <w:tr>
        <w:trPr>
          <w:trHeight w:val="171"/>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(Unaudited)</w:t>
            </w:r>
          </w:p>
        </w:tc>
        <w:tc>
          <w:tcPr>
            <w:tcW w:w="1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center"/>
              <w:ind w:left="68"/>
              <w:spacing w:after="0"/>
              <w:rPr>
                <w:sz w:val="20"/>
                <w:szCs w:val="20"/>
                <w:color w:val="auto"/>
              </w:rPr>
            </w:pPr>
            <w:r>
              <w:rPr>
                <w:rFonts w:ascii="Arial" w:cs="Arial" w:eastAsia="Arial" w:hAnsi="Arial"/>
                <w:sz w:val="14"/>
                <w:szCs w:val="14"/>
                <w:i w:val="1"/>
                <w:iCs w:val="1"/>
                <w:color w:val="auto"/>
                <w:w w:val="94"/>
              </w:rPr>
              <w:t>(Audited)</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07187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07187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74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(5,000)  $</w:t>
      </w:r>
      <w:r>
        <w:rPr>
          <w:sz w:val="20"/>
          <w:szCs w:val="20"/>
          <w:color w:val="auto"/>
        </w:rPr>
        <w:tab/>
      </w:r>
      <w:r>
        <w:rPr>
          <w:rFonts w:ascii="Arial" w:cs="Arial" w:eastAsia="Arial" w:hAnsi="Arial"/>
          <w:sz w:val="16"/>
          <w:szCs w:val="16"/>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14605</wp:posOffset>
            </wp:positionV>
            <wp:extent cx="15951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6" w:lineRule="exact"/>
        <w:rPr>
          <w:sz w:val="20"/>
          <w:szCs w:val="20"/>
          <w:color w:val="auto"/>
        </w:rPr>
      </w:pPr>
    </w:p>
    <w:p>
      <w:pPr>
        <w:jc w:val="both"/>
        <w:ind w:left="760"/>
        <w:spacing w:after="0"/>
        <w:tabs>
          <w:tab w:leader="none" w:pos="1980" w:val="left"/>
        </w:tabs>
        <w:rPr>
          <w:sz w:val="20"/>
          <w:szCs w:val="20"/>
          <w:color w:val="auto"/>
        </w:rPr>
      </w:pPr>
      <w:r>
        <w:rPr>
          <w:rFonts w:ascii="Arial" w:cs="Arial" w:eastAsia="Arial" w:hAnsi="Arial"/>
          <w:sz w:val="18"/>
          <w:szCs w:val="18"/>
          <w:b w:val="1"/>
          <w:bCs w:val="1"/>
          <w:color w:val="auto"/>
        </w:rPr>
        <w:t>(5,000)</w:t>
      </w:r>
      <w:r>
        <w:rPr>
          <w:sz w:val="20"/>
          <w:szCs w:val="20"/>
          <w:color w:val="auto"/>
        </w:rPr>
        <w:tab/>
      </w:r>
      <w:r>
        <w:rPr>
          <w:rFonts w:ascii="Arial" w:cs="Arial" w:eastAsia="Arial" w:hAnsi="Arial"/>
          <w:sz w:val="18"/>
          <w:szCs w:val="18"/>
          <w:b w:val="1"/>
          <w:bCs w:val="1"/>
          <w:color w:val="auto"/>
        </w:rPr>
        <w:t>(5,000)</w:t>
      </w:r>
    </w:p>
    <w:p>
      <w:pPr>
        <w:spacing w:after="0" w:line="297" w:lineRule="exact"/>
        <w:rPr>
          <w:sz w:val="20"/>
          <w:szCs w:val="20"/>
          <w:color w:val="auto"/>
        </w:rPr>
      </w:pPr>
    </w:p>
    <w:p>
      <w:pPr>
        <w:ind w:left="740"/>
        <w:spacing w:after="0"/>
        <w:tabs>
          <w:tab w:leader="none" w:pos="1940" w:val="left"/>
        </w:tabs>
        <w:rPr>
          <w:sz w:val="20"/>
          <w:szCs w:val="20"/>
          <w:color w:val="auto"/>
        </w:rPr>
      </w:pPr>
      <w:r>
        <w:rPr>
          <w:rFonts w:ascii="Arial" w:cs="Arial" w:eastAsia="Arial" w:hAnsi="Arial"/>
          <w:sz w:val="18"/>
          <w:szCs w:val="18"/>
          <w:color w:val="auto"/>
        </w:rPr>
        <w:t>68,625</w:t>
      </w:r>
      <w:r>
        <w:rPr>
          <w:sz w:val="20"/>
          <w:szCs w:val="20"/>
          <w:color w:val="auto"/>
        </w:rPr>
        <w:tab/>
      </w:r>
      <w:r>
        <w:rPr>
          <w:rFonts w:ascii="Arial" w:cs="Arial" w:eastAsia="Arial" w:hAnsi="Arial"/>
          <w:sz w:val="18"/>
          <w:szCs w:val="18"/>
          <w:color w:val="auto"/>
        </w:rPr>
        <w:t>12,500</w:t>
      </w:r>
    </w:p>
    <w:p>
      <w:pPr>
        <w:spacing w:after="0" w:line="36" w:lineRule="exact"/>
        <w:rPr>
          <w:sz w:val="20"/>
          <w:szCs w:val="20"/>
          <w:color w:val="auto"/>
        </w:rPr>
      </w:pPr>
    </w:p>
    <w:p>
      <w:pPr>
        <w:jc w:val="both"/>
        <w:ind w:left="680"/>
        <w:spacing w:after="0"/>
        <w:tabs>
          <w:tab w:leader="none" w:pos="1980" w:val="left"/>
        </w:tabs>
        <w:rPr>
          <w:sz w:val="20"/>
          <w:szCs w:val="20"/>
          <w:color w:val="auto"/>
        </w:rPr>
      </w:pPr>
      <w:r>
        <w:rPr>
          <w:rFonts w:ascii="Arial" w:cs="Arial" w:eastAsia="Arial" w:hAnsi="Arial"/>
          <w:sz w:val="18"/>
          <w:szCs w:val="18"/>
          <w:color w:val="auto"/>
        </w:rPr>
        <w:t>(63,625)</w:t>
      </w:r>
      <w:r>
        <w:rPr>
          <w:sz w:val="20"/>
          <w:szCs w:val="20"/>
          <w:color w:val="auto"/>
        </w:rPr>
        <w:tab/>
      </w:r>
      <w:r>
        <w:rPr>
          <w:rFonts w:ascii="Arial" w:cs="Arial" w:eastAsia="Arial" w:hAnsi="Arial"/>
          <w:sz w:val="18"/>
          <w:szCs w:val="18"/>
          <w:color w:val="auto"/>
        </w:rPr>
        <w:t>(7,500)</w:t>
      </w:r>
    </w:p>
    <w:p>
      <w:pPr>
        <w:spacing w:after="0" w:line="23" w:lineRule="exact"/>
        <w:rPr>
          <w:sz w:val="20"/>
          <w:szCs w:val="20"/>
          <w:color w:val="auto"/>
        </w:rPr>
      </w:pPr>
    </w:p>
    <w:p>
      <w:pPr>
        <w:sectPr>
          <w:pgSz w:w="11900" w:h="16838" w:orient="portrait"/>
          <w:cols w:equalWidth="0" w:num="2">
            <w:col w:w="6280" w:space="720"/>
            <w:col w:w="2560"/>
          </w:cols>
          <w:pgMar w:left="1180" w:top="279" w:right="115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at the beginning of the period</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at the end of the period</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Offering costs included in accrued offering costs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226,656</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offering costs paid directly by Sponsor from proceeds from issuance of ordinary</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vMerge w:val="restart"/>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to Sponsor</w:t>
            </w: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vMerge w:val="continue"/>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7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69" w:name="page170"/>
    <w:bookmarkEnd w:id="16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3227"/>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7"/>
        <w:spacing w:after="0"/>
        <w:rPr>
          <w:sz w:val="20"/>
          <w:szCs w:val="20"/>
          <w:color w:val="auto"/>
        </w:rPr>
      </w:pPr>
      <w:r>
        <w:rPr>
          <w:rFonts w:ascii="Arial" w:cs="Arial" w:eastAsia="Arial" w:hAnsi="Arial"/>
          <w:sz w:val="18"/>
          <w:szCs w:val="18"/>
          <w:b w:val="1"/>
          <w:bCs w:val="1"/>
          <w:color w:val="auto"/>
        </w:rPr>
        <w:t>NOTES TO FINANCIAL STATEMENTS</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121" w:lineRule="exact"/>
        <w:rPr>
          <w:sz w:val="20"/>
          <w:szCs w:val="20"/>
          <w:color w:val="auto"/>
        </w:rPr>
      </w:pPr>
    </w:p>
    <w:p>
      <w:pPr>
        <w:ind w:left="7" w:right="60"/>
        <w:spacing w:after="0" w:line="259" w:lineRule="auto"/>
        <w:rPr>
          <w:sz w:val="20"/>
          <w:szCs w:val="20"/>
          <w:color w:val="auto"/>
        </w:rPr>
      </w:pPr>
      <w:r>
        <w:rPr>
          <w:rFonts w:ascii="Arial" w:cs="Arial" w:eastAsia="Arial" w:hAnsi="Arial"/>
          <w:sz w:val="18"/>
          <w:szCs w:val="18"/>
          <w:color w:val="auto"/>
        </w:rPr>
        <w:t>Silver Spike Acquisition Corp. (the “Company”) is a newly organized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79" w:lineRule="exact"/>
        <w:rPr>
          <w:sz w:val="20"/>
          <w:szCs w:val="20"/>
          <w:color w:val="auto"/>
        </w:rPr>
      </w:pPr>
    </w:p>
    <w:p>
      <w:pPr>
        <w:ind w:left="7" w:right="180"/>
        <w:spacing w:after="0" w:line="255"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81" w:lineRule="exact"/>
        <w:rPr>
          <w:sz w:val="20"/>
          <w:szCs w:val="20"/>
          <w:color w:val="auto"/>
        </w:rPr>
      </w:pPr>
    </w:p>
    <w:p>
      <w:pPr>
        <w:ind w:left="7" w:right="160"/>
        <w:spacing w:after="0" w:line="276" w:lineRule="auto"/>
        <w:rPr>
          <w:sz w:val="20"/>
          <w:szCs w:val="20"/>
          <w:color w:val="auto"/>
        </w:rPr>
      </w:pPr>
      <w:r>
        <w:rPr>
          <w:rFonts w:ascii="Arial" w:cs="Arial" w:eastAsia="Arial" w:hAnsi="Arial"/>
          <w:sz w:val="17"/>
          <w:szCs w:val="17"/>
          <w:color w:val="auto"/>
        </w:rPr>
        <w:t>As of June 30, 2019, the Company had not commenced any operations. All activity for the period from June 7, 2019 (inception) through June 30, 2019 relates to the Company's formation and the proposed initial public offering (“Proposed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64" w:lineRule="exact"/>
        <w:rPr>
          <w:sz w:val="20"/>
          <w:szCs w:val="20"/>
          <w:color w:val="auto"/>
        </w:rPr>
      </w:pPr>
    </w:p>
    <w:p>
      <w:pPr>
        <w:ind w:left="7" w:right="20"/>
        <w:spacing w:after="0" w:line="29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Offering of 25,000,000 units (the “Units” and, with respect to the Class A ordinary shares included in the Units being offered, the “Public Shares”) at $10.00 per unit (or 28,750,000 Units if the underwriter’s over-allotment option is exercised in full), which is discussed in Note 3 and the sale of 7,000,000 warrants (or 7,750,000 warrants if the underwriter’s over-allotment option is exercised on full) (the “Private Placement Warrants”) at a price of $1.00 per Private Placement Warrant in a private placement to the Company’s sponsor, Silver Spike Sponsor, LLC (the “Sponsor”), that will close simultaneously with the Proposed Offering.</w:t>
      </w:r>
    </w:p>
    <w:p>
      <w:pPr>
        <w:spacing w:after="0" w:line="57" w:lineRule="exact"/>
        <w:rPr>
          <w:sz w:val="20"/>
          <w:szCs w:val="20"/>
          <w:color w:val="auto"/>
        </w:rPr>
      </w:pPr>
    </w:p>
    <w:p>
      <w:pPr>
        <w:ind w:left="7" w:right="20"/>
        <w:spacing w:after="0" w:line="283"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(as defined below)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Offering, management has agreed that $10.00 per Unit sold in the Proposed Offering, including proceeds of the sale of the Private Placement Warrants, will be held in a trust account (“Trust Account”) and invested in U.S. government securities, within the meaning set forth in Section 2(a)</w:t>
      </w:r>
    </w:p>
    <w:p>
      <w:pPr>
        <w:spacing w:after="0" w:line="4" w:lineRule="exact"/>
        <w:rPr>
          <w:sz w:val="20"/>
          <w:szCs w:val="20"/>
          <w:color w:val="auto"/>
        </w:rPr>
      </w:pPr>
    </w:p>
    <w:p>
      <w:pPr>
        <w:ind w:left="7" w:hanging="7"/>
        <w:spacing w:after="0" w:line="254" w:lineRule="auto"/>
        <w:tabs>
          <w:tab w:leader="none" w:pos="3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the Investment Company Act, with a maturity of 180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82" w:lineRule="exact"/>
        <w:rPr>
          <w:sz w:val="20"/>
          <w:szCs w:val="20"/>
          <w:color w:val="auto"/>
        </w:rPr>
      </w:pPr>
    </w:p>
    <w:p>
      <w:pPr>
        <w:ind w:left="7" w:right="620"/>
        <w:spacing w:after="0" w:line="259"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Company, solely in its discretion. The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 (as discussed in Note 7). There will be no redemption rights upon the completion of a Business Combination with respect to the Company’s warrants. The Class A ordinary shares will be recorded at redemption value and classified as temporary equity upon the completion of the Proposed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7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5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Proposed Offering if the Company fails to complete its Business Combination.</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will have until 18 months from the closing of the Proposed Offering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1" w:name="page172"/>
    <w:bookmarkEnd w:id="17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7"/>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7"/>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ind w:left="7" w:right="120"/>
        <w:spacing w:after="0" w:line="254" w:lineRule="auto"/>
        <w:rPr>
          <w:sz w:val="20"/>
          <w:szCs w:val="20"/>
          <w:color w:val="auto"/>
        </w:rPr>
      </w:pPr>
      <w:r>
        <w:rPr>
          <w:rFonts w:ascii="Arial" w:cs="Arial" w:eastAsia="Arial" w:hAnsi="Arial"/>
          <w:sz w:val="18"/>
          <w:szCs w:val="18"/>
          <w:color w:val="auto"/>
        </w:rPr>
        <w:t>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 has agreed to waive its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Proposed Offering price per Unit ($10.00).</w:t>
      </w:r>
    </w:p>
    <w:p>
      <w:pPr>
        <w:spacing w:after="0" w:line="84" w:lineRule="exact"/>
        <w:rPr>
          <w:sz w:val="20"/>
          <w:szCs w:val="20"/>
          <w:color w:val="auto"/>
        </w:rPr>
      </w:pPr>
    </w:p>
    <w:p>
      <w:pPr>
        <w:ind w:left="7" w:right="120"/>
        <w:spacing w:after="0" w:line="288"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w:t>
      </w:r>
    </w:p>
    <w:p>
      <w:pPr>
        <w:ind w:left="7" w:right="100" w:hanging="7"/>
        <w:spacing w:after="0" w:line="286" w:lineRule="auto"/>
        <w:tabs>
          <w:tab w:leader="none" w:pos="262" w:val="left"/>
        </w:tabs>
        <w:numPr>
          <w:ilvl w:val="0"/>
          <w:numId w:val="82"/>
        </w:numPr>
        <w:rPr>
          <w:rFonts w:ascii="Arial" w:cs="Arial" w:eastAsia="Arial" w:hAnsi="Arial"/>
          <w:sz w:val="16"/>
          <w:szCs w:val="16"/>
          <w:color w:val="auto"/>
        </w:rPr>
      </w:pPr>
      <w:r>
        <w:rPr>
          <w:rFonts w:ascii="Arial" w:cs="Arial" w:eastAsia="Arial" w:hAnsi="Arial"/>
          <w:sz w:val="16"/>
          <w:szCs w:val="16"/>
          <w:color w:val="auto"/>
        </w:rPr>
        <w:t>$10.00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 of the Proposed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Going Concern Consideration</w:t>
      </w:r>
    </w:p>
    <w:p>
      <w:pPr>
        <w:spacing w:after="0" w:line="121" w:lineRule="exact"/>
        <w:rPr>
          <w:sz w:val="20"/>
          <w:szCs w:val="20"/>
          <w:color w:val="auto"/>
        </w:rPr>
      </w:pPr>
    </w:p>
    <w:p>
      <w:pPr>
        <w:jc w:val="both"/>
        <w:ind w:left="7" w:right="80"/>
        <w:spacing w:after="0" w:line="288" w:lineRule="auto"/>
        <w:rPr>
          <w:sz w:val="20"/>
          <w:szCs w:val="20"/>
          <w:color w:val="auto"/>
        </w:rPr>
      </w:pPr>
      <w:r>
        <w:rPr>
          <w:rFonts w:ascii="Arial" w:cs="Arial" w:eastAsia="Arial" w:hAnsi="Arial"/>
          <w:sz w:val="16"/>
          <w:szCs w:val="16"/>
          <w:color w:val="auto"/>
        </w:rPr>
        <w:t>At June 30, 2019, the Company had no cash and a working capital deficiency of $295,281.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w:t>
      </w:r>
    </w:p>
    <w:p>
      <w:pPr>
        <w:ind w:left="7"/>
        <w:spacing w:after="0" w:line="252" w:lineRule="auto"/>
        <w:rPr>
          <w:sz w:val="20"/>
          <w:szCs w:val="20"/>
          <w:color w:val="auto"/>
        </w:rPr>
      </w:pPr>
      <w:r>
        <w:rPr>
          <w:rFonts w:ascii="Arial" w:cs="Arial" w:eastAsia="Arial" w:hAnsi="Arial"/>
          <w:sz w:val="18"/>
          <w:szCs w:val="18"/>
          <w:color w:val="auto"/>
        </w:rPr>
        <w:t>Management plans to address this uncertainty through a Proposed Offering as discussed in Note 3. There is no assurance that the Company’s plans to raise capital or to consummate a Business Combination will be successful or successful within the Combination Period. The Sponsor has agreed to loan the Company up to an aggregate amount of $250,000 to be used, in part, for transaction costs incurred in connection with the Proposed Offering (the “Promissory Note”). As of June 30, 2019, $68,625 was outstanding under the Promissory Note (see Note 5). The financial statements do not include any adjustments that might result from the outcome of this uncertainty.</w:t>
      </w:r>
    </w:p>
    <w:p>
      <w:pPr>
        <w:spacing w:after="0" w:line="190" w:lineRule="exact"/>
        <w:rPr>
          <w:sz w:val="20"/>
          <w:szCs w:val="20"/>
          <w:color w:val="auto"/>
        </w:rPr>
      </w:pPr>
    </w:p>
    <w:p>
      <w:pPr>
        <w:ind w:left="7" w:right="4120"/>
        <w:spacing w:after="0" w:line="378" w:lineRule="auto"/>
        <w:rPr>
          <w:sz w:val="20"/>
          <w:szCs w:val="20"/>
          <w:color w:val="auto"/>
        </w:rPr>
      </w:pPr>
      <w:r>
        <w:rPr>
          <w:rFonts w:ascii="Arial" w:cs="Arial" w:eastAsia="Arial" w:hAnsi="Arial"/>
          <w:sz w:val="18"/>
          <w:szCs w:val="18"/>
          <w:b w:val="1"/>
          <w:bCs w:val="1"/>
          <w:color w:val="auto"/>
        </w:rPr>
        <w:t>NOTE 2. SUMMARY OF SIGNIFICANT ACCOUNTING POLICIES Basis of presentation</w:t>
      </w:r>
    </w:p>
    <w:p>
      <w:pPr>
        <w:ind w:left="7" w:right="80"/>
        <w:spacing w:after="0" w:line="277" w:lineRule="auto"/>
        <w:rPr>
          <w:sz w:val="20"/>
          <w:szCs w:val="20"/>
          <w:color w:val="auto"/>
        </w:rPr>
      </w:pPr>
      <w:r>
        <w:rPr>
          <w:rFonts w:ascii="Arial" w:cs="Arial" w:eastAsia="Arial" w:hAnsi="Arial"/>
          <w:sz w:val="18"/>
          <w:szCs w:val="18"/>
          <w:color w:val="auto"/>
        </w:rPr>
        <w:t>The accompanying financial statements are presented in U.S. Dollars and conformity with accounting principles generally accepted in the United States of America (“GAAP”) and pursuant to the rules and regulations of the SEC.</w:t>
      </w:r>
    </w:p>
    <w:p>
      <w:pPr>
        <w:spacing w:after="0" w:line="62" w:lineRule="exact"/>
        <w:rPr>
          <w:sz w:val="20"/>
          <w:szCs w:val="20"/>
          <w:color w:val="auto"/>
        </w:rPr>
      </w:pPr>
    </w:p>
    <w:p>
      <w:pPr>
        <w:ind w:left="7" w:right="80"/>
        <w:spacing w:after="0" w:line="279" w:lineRule="auto"/>
        <w:rPr>
          <w:sz w:val="20"/>
          <w:szCs w:val="20"/>
          <w:color w:val="auto"/>
        </w:rPr>
      </w:pPr>
      <w:r>
        <w:rPr>
          <w:rFonts w:ascii="Arial" w:cs="Arial" w:eastAsia="Arial" w:hAnsi="Arial"/>
          <w:sz w:val="17"/>
          <w:szCs w:val="17"/>
          <w:color w:val="auto"/>
        </w:rPr>
        <w:t>In the opinion of management, the accompanying unaudited financial statements include all adjustments, consisting of a normal recurring nature, which are necessary for a fair presentation of the financial position, operating results and cash flows for the period presented. The interim results for the period from June 7, 2019 (inception) through June 30, 2019 are not necessarily indicative of the results to be expected for the year ending December 31, 2019 or for any future interim periods.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7" w:right="60"/>
        <w:spacing w:after="0" w:line="26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w:t>
      </w:r>
    </w:p>
    <w:p>
      <w:pPr>
        <w:spacing w:after="0" w:line="181"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June 30, 2019 and June 11,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incurred, will be charged to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expense. There were no unrecognized tax benefits and no amounts accrued for interest and penalties as of June 30, 2019 and June 11,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 (see Note 6). At June 30, 2019 and June 11, 2019,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OFFERING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Proposed Offering, the Company will offer for sale up to 25,000,000 Units (or 28,750,000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Sponsor has committed to purchase an aggregate of 7,000,000 Private Placement Warrants (or 7,750,000 Private Placement Warrants if the underwriter’s over-allotment is exercised in full) at a price of $1.00 per Private Placement Warrant from the Company in a private placement that will occur simultaneously with the closing of the Proposed Offering. The proceeds from the sale of the Private Placement Warrants will be added to the net proceeds from the Proposed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4" w:name="page175"/>
    <w:bookmarkEnd w:id="17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7"/>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7"/>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ind w:left="7" w:right="40"/>
        <w:spacing w:after="0" w:line="286" w:lineRule="auto"/>
        <w:rPr>
          <w:sz w:val="20"/>
          <w:szCs w:val="20"/>
          <w:color w:val="auto"/>
        </w:rPr>
      </w:pPr>
      <w:r>
        <w:rPr>
          <w:rFonts w:ascii="Arial" w:cs="Arial" w:eastAsia="Arial" w:hAnsi="Arial"/>
          <w:sz w:val="17"/>
          <w:szCs w:val="17"/>
          <w:color w:val="auto"/>
        </w:rPr>
        <w:t>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Offering.</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of:</w:t>
      </w:r>
    </w:p>
    <w:p>
      <w:pPr>
        <w:spacing w:after="0" w:line="46" w:lineRule="exact"/>
        <w:rPr>
          <w:sz w:val="20"/>
          <w:szCs w:val="20"/>
          <w:color w:val="auto"/>
        </w:rPr>
      </w:pPr>
    </w:p>
    <w:p>
      <w:pPr>
        <w:ind w:left="7" w:hanging="7"/>
        <w:spacing w:after="0" w:line="270" w:lineRule="auto"/>
        <w:tabs>
          <w:tab w:leader="none" w:pos="302"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ind w:left="7" w:right="120"/>
        <w:spacing w:after="0" w:line="259" w:lineRule="auto"/>
        <w:rPr>
          <w:sz w:val="20"/>
          <w:szCs w:val="20"/>
          <w:color w:val="auto"/>
        </w:rPr>
      </w:pPr>
      <w:r>
        <w:rPr>
          <w:rFonts w:ascii="Arial" w:cs="Arial" w:eastAsia="Arial" w:hAnsi="Arial"/>
          <w:sz w:val="18"/>
          <w:szCs w:val="18"/>
          <w:color w:val="auto"/>
        </w:rPr>
        <w:t>On June 10, 2019, the Company issued an unsecured promissory note to the Sponsor, pursuant to which the Company may borrow up to an aggregate principal amount of $250,000, of which $68,625 and $12,500 was outstanding under the Promissory Note as of June 30, 2019 and June 11, 2019, respectively. The note is non-interest bearing and payable on the earlier of (i) January 31, 2020 and (ii) the completion of the Proposed Offering.</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ind w:left="7" w:right="60"/>
        <w:spacing w:after="0" w:line="264" w:lineRule="auto"/>
        <w:rPr>
          <w:sz w:val="20"/>
          <w:szCs w:val="20"/>
          <w:color w:val="auto"/>
        </w:rPr>
      </w:pPr>
      <w:r>
        <w:rPr>
          <w:rFonts w:ascii="Arial" w:cs="Arial" w:eastAsia="Arial" w:hAnsi="Arial"/>
          <w:sz w:val="18"/>
          <w:szCs w:val="18"/>
          <w:color w:val="auto"/>
        </w:rPr>
        <w:t>The Company will enter into an agreement pursuant to which it will pay the Sponsor up to $20,000 per month for office space, administrative and support services. Upon completion of a Business Combination or its liquidation, the Company will cease paying these monthly fees.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7" w:right="140"/>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7" w:right="20"/>
        <w:spacing w:after="0" w:line="269"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the Proposed Offering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83"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3,750,000 additional Units to cover over-allotments at the Proposed Offering price, less the underwriting discounts and commissions.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underwriter will be entitled to a cash underwriting discount of $0.20 per Unit, or $5,000,000 in the aggregate (or $5,750,000 in the aggregate if the underwriter’s over-allotment option is exercised in full), payable upon the closing of the Proposed Offering. In addition, the underwriter will be entitled to a deferred fee of $0.35 per Unit, or $8,750,000 in the aggregate (or $10,062,500 in the aggregate if the underwriter’s over-allotment option is exercised in full). The deferred fee will become payable to the underwriter from the amounts held in the Trust Account solely in the event that the Company completes a Business Combination, subject to the terms of the underwriting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 $0.0001.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June 30, 2019 and June 11, 2019, there were no preference shares issued or outstanding.</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200,000,000 Class A ordinary shares, with a par value of $0.0001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Holders of Class A ordinary shares are entitled to one vote for each share. At June 30, 2019 and June 11, 2019, there were no Class A ordinary shares issued or outstanding.</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Holders of the Class B ordinary shares are entitled to one vote for each share. At June 30, 2019 and June 11, 2019, there were 7,187,500 Class B ordinary shares issued and outstanding, of which an aggregate of up to 937,500 shares are subject to forfeiture to the extent that the underwriter’s over-allotment option is not exercised in full or in part so that the Sponsor will own 20% of the Company’s issued and outstanding ordinary shares after the Proposed Offering (assuming the Sponsor does not purchase any Public Shares in the Proposed Offering).</w:t>
      </w:r>
    </w:p>
    <w:p>
      <w:pPr>
        <w:spacing w:after="0" w:line="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Proposed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 issued upon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Public Warrants. The Public Warrants will become exercisable on the later of (a) 30 days after the completion of a Business Combination and (b) 12 months from the closing of the Proposed Offering. The Public Warrants will expire five years from the completion of a Business Combination or earlier upon redemption or liquidation.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 for redemption:</w:t>
      </w:r>
    </w:p>
    <w:p>
      <w:pPr>
        <w:spacing w:after="0" w:line="117" w:lineRule="exact"/>
        <w:rPr>
          <w:sz w:val="20"/>
          <w:szCs w:val="20"/>
          <w:color w:val="auto"/>
        </w:rPr>
      </w:pPr>
    </w:p>
    <w:p>
      <w:pPr>
        <w:ind w:left="700" w:hanging="35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3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5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SILVER SPIKE ACQUISITION CORP.</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Private Placement Warrants will be identical to the Public Warrants underlying the Units being sold in the Proposed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Based upon this review, the Company did not identify any subsequent events that would have required adjustment or disclosure in the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25"/>
          <w:szCs w:val="25"/>
          <w:b w:val="1"/>
          <w:bCs w:val="1"/>
          <w:color w:val="auto"/>
        </w:rPr>
        <w:t>25,000,000 Units</w:t>
      </w:r>
    </w:p>
    <w:p>
      <w:pPr>
        <w:spacing w:after="0" w:line="210" w:lineRule="exact"/>
        <w:rPr>
          <w:sz w:val="20"/>
          <w:szCs w:val="20"/>
          <w:color w:val="auto"/>
        </w:rPr>
      </w:pPr>
    </w:p>
    <w:p>
      <w:pPr>
        <w:jc w:val="right"/>
        <w:ind w:right="2159"/>
        <w:spacing w:after="0"/>
        <w:rPr>
          <w:sz w:val="20"/>
          <w:szCs w:val="20"/>
          <w:color w:val="auto"/>
        </w:rPr>
      </w:pPr>
      <w:r>
        <w:rPr>
          <w:rFonts w:ascii="Arial" w:cs="Arial" w:eastAsia="Arial" w:hAnsi="Arial"/>
          <w:sz w:val="36"/>
          <w:szCs w:val="36"/>
          <w:b w:val="1"/>
          <w:bCs w:val="1"/>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1562735</wp:posOffset>
            </wp:positionV>
            <wp:extent cx="11576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PRELIMINARY PROSPECTUS</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135890</wp:posOffset>
            </wp:positionV>
            <wp:extent cx="11576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80"/>
        <w:spacing w:after="0"/>
        <w:rPr>
          <w:sz w:val="20"/>
          <w:szCs w:val="20"/>
          <w:color w:val="auto"/>
        </w:rPr>
      </w:pPr>
      <w:r>
        <w:rPr>
          <w:rFonts w:ascii="Arial" w:cs="Arial" w:eastAsia="Arial" w:hAnsi="Arial"/>
          <w:sz w:val="29"/>
          <w:szCs w:val="29"/>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071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07187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520700</wp:posOffset>
            </wp:positionV>
            <wp:extent cx="6071870" cy="43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right="2300" w:firstLine="2302"/>
        <w:spacing w:after="0" w:line="378" w:lineRule="auto"/>
        <w:rPr>
          <w:sz w:val="20"/>
          <w:szCs w:val="20"/>
          <w:color w:val="auto"/>
        </w:rPr>
      </w:pPr>
      <w:r>
        <w:rPr>
          <w:rFonts w:ascii="Arial" w:cs="Arial" w:eastAsia="Arial" w:hAnsi="Arial"/>
          <w:sz w:val="18"/>
          <w:szCs w:val="18"/>
          <w:b w:val="1"/>
          <w:bCs w:val="1"/>
          <w:color w:val="auto"/>
        </w:rPr>
        <w:t>PART II INFORMATION NOT REQUIRED IN PROSPECTUS Item 13. Other Expenses of Issuance and Distribution.</w:t>
      </w:r>
    </w:p>
    <w:p>
      <w:pPr>
        <w:ind w:right="64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discounts and commissions) will be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42,500</w:t>
            </w: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 expenses</w:t>
            </w:r>
          </w:p>
        </w:tc>
        <w:tc>
          <w:tcPr>
            <w:tcW w:w="28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34,845</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FINRA expenses</w:t>
            </w:r>
          </w:p>
        </w:tc>
        <w:tc>
          <w:tcPr>
            <w:tcW w:w="28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43,625</w:t>
            </w: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28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28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8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8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8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244,040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these provisions and the insurance are necessary to attract and retain talented and experienced officers and directors.</w:t>
      </w:r>
    </w:p>
    <w:p>
      <w:pPr>
        <w:spacing w:after="0" w:line="14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6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June 11, 2019, Silver Spike Sponsor, LLC, our sponsor, subscribed for an aggregate of 7,187,500 founder shares, for an aggregate offering price of $25,000 at an average purchase price of $0.004 per share (assuming the over-allotment option is not exercised and the forfeiture by our sponsor of 937,500 founder shares). The number of founder shares issued was determined based on the expectation that the founder shares would represent 20% of the issued and outstanding ordinary shares upon completion of this offering. Such securities were issued in connection with our incorporation pursuant to the exemption from registration contained in Section 4(a)(2) of the Securities Act. Our sponsor is an accredited investor for purposes of Rule 501 of Regulation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0" w:name="page181"/>
    <w:bookmarkEnd w:id="18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120"/>
        <w:spacing w:after="0" w:line="276" w:lineRule="auto"/>
        <w:rPr>
          <w:sz w:val="20"/>
          <w:szCs w:val="20"/>
          <w:color w:val="auto"/>
        </w:rPr>
      </w:pPr>
      <w:r>
        <w:rPr>
          <w:rFonts w:ascii="Arial" w:cs="Arial" w:eastAsia="Arial" w:hAnsi="Arial"/>
          <w:sz w:val="17"/>
          <w:szCs w:val="17"/>
          <w:color w:val="auto"/>
        </w:rPr>
        <w:t>In addition, our sponsor has committed, pursuant to a written agreement, to purchase from us an aggregate of 7,000,000 (or 7,750,000 if the underwriter’s over-allotment option is exercised in full) private placement warrants at $1.00 per warrant (for an aggregate purchase price of $7,000,000 or $7,750,000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64" w:lineRule="exact"/>
        <w:rPr>
          <w:sz w:val="20"/>
          <w:szCs w:val="20"/>
          <w:color w:val="auto"/>
        </w:rPr>
      </w:pPr>
    </w:p>
    <w:p>
      <w:pPr>
        <w:ind w:left="7"/>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13" w:lineRule="exact"/>
        <w:rPr>
          <w:sz w:val="20"/>
          <w:szCs w:val="20"/>
          <w:color w:val="auto"/>
        </w:rPr>
      </w:pPr>
    </w:p>
    <w:p>
      <w:pPr>
        <w:ind w:left="7"/>
        <w:spacing w:after="0"/>
        <w:tabs>
          <w:tab w:leader="none" w:pos="866"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247" w:hanging="247"/>
        <w:spacing w:after="0"/>
        <w:tabs>
          <w:tab w:leader="none" w:pos="24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82" w:lineRule="exact"/>
        <w:rPr>
          <w:sz w:val="20"/>
          <w:szCs w:val="20"/>
          <w:color w:val="auto"/>
        </w:rPr>
      </w:pPr>
    </w:p>
    <w:p>
      <w:pPr>
        <w:ind w:left="7"/>
        <w:spacing w:after="0"/>
        <w:tabs>
          <w:tab w:leader="none" w:pos="4906"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0115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7"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37">
        <w:r>
          <w:rPr>
            <w:rFonts w:ascii="Arial" w:cs="Arial" w:eastAsia="Arial" w:hAnsi="Arial"/>
            <w:sz w:val="18"/>
            <w:szCs w:val="18"/>
            <w:u w:val="single" w:color="auto"/>
            <w:color w:val="0000EE"/>
          </w:rPr>
          <w:t>1.1</w:t>
        </w:r>
      </w:hyperlink>
      <w:r>
        <w:rPr>
          <w:rFonts w:ascii="Arial" w:cs="Arial" w:eastAsia="Arial" w:hAnsi="Arial"/>
          <w:sz w:val="18"/>
          <w:szCs w:val="18"/>
          <w:color w:val="0000EE"/>
        </w:rPr>
        <w:tab/>
      </w:r>
      <w:r>
        <w:rPr>
          <w:rFonts w:ascii="Arial" w:cs="Arial" w:eastAsia="Arial" w:hAnsi="Arial"/>
          <w:sz w:val="17"/>
          <w:szCs w:val="17"/>
          <w:color w:val="0000EE"/>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39">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Memorandum and Articles of Association*</w:t>
      </w:r>
    </w:p>
    <w:p>
      <w:pPr>
        <w:spacing w:after="0" w:line="3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0">
        <w:r>
          <w:rPr>
            <w:rFonts w:ascii="Arial" w:cs="Arial" w:eastAsia="Arial" w:hAnsi="Arial"/>
            <w:sz w:val="18"/>
            <w:szCs w:val="18"/>
            <w:u w:val="single" w:color="auto"/>
            <w:color w:val="0000EE"/>
          </w:rPr>
          <w:t>3.2</w:t>
        </w:r>
      </w:hyperlink>
      <w:r>
        <w:rPr>
          <w:rFonts w:ascii="Arial" w:cs="Arial" w:eastAsia="Arial" w:hAnsi="Arial"/>
          <w:sz w:val="18"/>
          <w:szCs w:val="18"/>
          <w:color w:val="0000EE"/>
        </w:rPr>
        <w:tab/>
      </w:r>
      <w:r>
        <w:rPr>
          <w:rFonts w:ascii="Arial" w:cs="Arial" w:eastAsia="Arial" w:hAnsi="Arial"/>
          <w:sz w:val="16"/>
          <w:szCs w:val="16"/>
          <w:color w:val="0000EE"/>
        </w:rPr>
        <w:t>Form of Amended and Restated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2">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6"/>
          <w:szCs w:val="16"/>
          <w:color w:val="0000EE"/>
        </w:rPr>
        <w:t>Specimen Unit Certificate*</w:t>
      </w:r>
    </w:p>
    <w:p>
      <w:pPr>
        <w:spacing w:after="0" w:line="3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3">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6"/>
          <w:szCs w:val="16"/>
          <w:color w:val="0000EE"/>
        </w:rPr>
        <w:t>Specimen Ordinary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5">
        <w:r>
          <w:rPr>
            <w:rFonts w:ascii="Arial" w:cs="Arial" w:eastAsia="Arial" w:hAnsi="Arial"/>
            <w:sz w:val="18"/>
            <w:szCs w:val="18"/>
            <w:u w:val="single" w:color="auto"/>
            <w:color w:val="0000EE"/>
          </w:rPr>
          <w:t>4.3</w:t>
        </w:r>
      </w:hyperlink>
      <w:r>
        <w:rPr>
          <w:rFonts w:ascii="Arial" w:cs="Arial" w:eastAsia="Arial" w:hAnsi="Arial"/>
          <w:sz w:val="18"/>
          <w:szCs w:val="18"/>
          <w:color w:val="0000EE"/>
        </w:rPr>
        <w:tab/>
      </w:r>
      <w:r>
        <w:rPr>
          <w:rFonts w:ascii="Arial" w:cs="Arial" w:eastAsia="Arial" w:hAnsi="Arial"/>
          <w:sz w:val="16"/>
          <w:szCs w:val="16"/>
          <w:color w:val="0000EE"/>
        </w:rPr>
        <w:t>Specimen Warrant Certificate*</w:t>
      </w:r>
    </w:p>
    <w:p>
      <w:pPr>
        <w:spacing w:after="0" w:line="3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6">
        <w:r>
          <w:rPr>
            <w:rFonts w:ascii="Arial" w:cs="Arial" w:eastAsia="Arial" w:hAnsi="Arial"/>
            <w:sz w:val="18"/>
            <w:szCs w:val="18"/>
            <w:u w:val="single" w:color="auto"/>
            <w:color w:val="0000EE"/>
          </w:rPr>
          <w:t>4.4</w:t>
        </w:r>
      </w:hyperlink>
      <w:r>
        <w:rPr>
          <w:rFonts w:ascii="Arial" w:cs="Arial" w:eastAsia="Arial" w:hAnsi="Arial"/>
          <w:sz w:val="18"/>
          <w:szCs w:val="18"/>
          <w:color w:val="0000EE"/>
        </w:rPr>
        <w:tab/>
      </w:r>
      <w:r>
        <w:rPr>
          <w:rFonts w:ascii="Arial" w:cs="Arial" w:eastAsia="Arial" w:hAnsi="Arial"/>
          <w:sz w:val="16"/>
          <w:szCs w:val="16"/>
          <w:color w:val="0000EE"/>
        </w:rPr>
        <w:t>Form of Warrant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8">
        <w:r>
          <w:rPr>
            <w:rFonts w:ascii="Arial" w:cs="Arial" w:eastAsia="Arial" w:hAnsi="Arial"/>
            <w:sz w:val="18"/>
            <w:szCs w:val="18"/>
            <w:u w:val="single" w:color="auto"/>
            <w:color w:val="0000EE"/>
          </w:rPr>
          <w:t>5.1</w:t>
        </w:r>
      </w:hyperlink>
      <w:r>
        <w:rPr>
          <w:rFonts w:ascii="Arial" w:cs="Arial" w:eastAsia="Arial" w:hAnsi="Arial"/>
          <w:sz w:val="18"/>
          <w:szCs w:val="18"/>
          <w:color w:val="0000EE"/>
        </w:rPr>
        <w:tab/>
      </w:r>
      <w:r>
        <w:rPr>
          <w:rFonts w:ascii="Arial" w:cs="Arial" w:eastAsia="Arial" w:hAnsi="Arial"/>
          <w:sz w:val="16"/>
          <w:szCs w:val="16"/>
          <w:color w:val="0000EE"/>
        </w:rPr>
        <w:t>Opinion of Maples and Calder*</w:t>
      </w:r>
    </w:p>
    <w:p>
      <w:pPr>
        <w:spacing w:after="0" w:line="36" w:lineRule="exact"/>
        <w:rPr>
          <w:sz w:val="20"/>
          <w:szCs w:val="20"/>
          <w:color w:val="auto"/>
        </w:rPr>
      </w:pPr>
    </w:p>
    <w:p>
      <w:pPr>
        <w:ind w:left="347"/>
        <w:spacing w:after="0"/>
        <w:tabs>
          <w:tab w:leader="none" w:pos="966" w:val="left"/>
        </w:tabs>
        <w:rPr>
          <w:rFonts w:ascii="Arial" w:cs="Arial" w:eastAsia="Arial" w:hAnsi="Arial"/>
          <w:sz w:val="18"/>
          <w:szCs w:val="18"/>
          <w:color w:val="0000EE"/>
        </w:rPr>
      </w:pPr>
      <w:hyperlink r:id="rId249">
        <w:r>
          <w:rPr>
            <w:rFonts w:ascii="Arial" w:cs="Arial" w:eastAsia="Arial" w:hAnsi="Arial"/>
            <w:sz w:val="18"/>
            <w:szCs w:val="18"/>
            <w:u w:val="single" w:color="auto"/>
            <w:color w:val="0000EE"/>
          </w:rPr>
          <w:t>5.2</w:t>
        </w:r>
      </w:hyperlink>
      <w:r>
        <w:rPr>
          <w:rFonts w:ascii="Arial" w:cs="Arial" w:eastAsia="Arial" w:hAnsi="Arial"/>
          <w:sz w:val="18"/>
          <w:szCs w:val="18"/>
          <w:color w:val="0000EE"/>
        </w:rPr>
        <w:tab/>
      </w:r>
      <w:r>
        <w:rPr>
          <w:rFonts w:ascii="Arial" w:cs="Arial" w:eastAsia="Arial" w:hAnsi="Arial"/>
          <w:sz w:val="17"/>
          <w:szCs w:val="17"/>
          <w:color w:val="0000EE"/>
        </w:rPr>
        <w:t>Opinion of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51">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6"/>
          <w:szCs w:val="16"/>
          <w:color w:val="0000EE"/>
        </w:rPr>
        <w:t>Promissory Note, dated June 10, 2019, issued to Silver Spike Sponsor, LLC*</w:t>
      </w:r>
    </w:p>
    <w:p>
      <w:pPr>
        <w:spacing w:after="0" w:line="3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52">
        <w:r>
          <w:rPr>
            <w:rFonts w:ascii="Arial" w:cs="Arial" w:eastAsia="Arial" w:hAnsi="Arial"/>
            <w:sz w:val="18"/>
            <w:szCs w:val="18"/>
            <w:u w:val="single" w:color="auto"/>
            <w:color w:val="0000EE"/>
          </w:rPr>
          <w:t>10.2</w:t>
        </w:r>
      </w:hyperlink>
      <w:r>
        <w:rPr>
          <w:rFonts w:ascii="Arial" w:cs="Arial" w:eastAsia="Arial" w:hAnsi="Arial"/>
          <w:sz w:val="18"/>
          <w:szCs w:val="18"/>
          <w:color w:val="0000EE"/>
        </w:rPr>
        <w:tab/>
      </w:r>
      <w:r>
        <w:rPr>
          <w:rFonts w:ascii="Arial" w:cs="Arial" w:eastAsia="Arial" w:hAnsi="Arial"/>
          <w:sz w:val="16"/>
          <w:szCs w:val="16"/>
          <w:color w:val="0000EE"/>
        </w:rPr>
        <w:t>Form of Letter Agreement among the Registrant and its officers, directors and Silver Spike Sponsor,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987" w:right="20" w:hanging="676"/>
        <w:spacing w:after="0" w:line="266" w:lineRule="auto"/>
        <w:tabs>
          <w:tab w:leader="none" w:pos="966" w:val="left"/>
        </w:tabs>
        <w:rPr>
          <w:rFonts w:ascii="Arial" w:cs="Arial" w:eastAsia="Arial" w:hAnsi="Arial"/>
          <w:sz w:val="18"/>
          <w:szCs w:val="18"/>
          <w:color w:val="0000EE"/>
        </w:rPr>
      </w:pPr>
      <w:hyperlink r:id="rId254">
        <w:r>
          <w:rPr>
            <w:rFonts w:ascii="Arial" w:cs="Arial" w:eastAsia="Arial" w:hAnsi="Arial"/>
            <w:sz w:val="18"/>
            <w:szCs w:val="18"/>
            <w:u w:val="single" w:color="auto"/>
            <w:color w:val="0000EE"/>
          </w:rPr>
          <w:t>10.3</w:t>
        </w:r>
      </w:hyperlink>
      <w:r>
        <w:rPr>
          <w:rFonts w:ascii="Arial" w:cs="Arial" w:eastAsia="Arial" w:hAnsi="Arial"/>
          <w:sz w:val="18"/>
          <w:szCs w:val="18"/>
          <w:color w:val="0000EE"/>
        </w:rPr>
        <w:tab/>
        <w:t>Form of Investment Management Trust Agreement between Continental Stock Transfer &amp; Trust Company and the Registrant*</w:t>
      </w:r>
    </w:p>
    <w:p>
      <w:pPr>
        <w:ind w:left="307"/>
        <w:spacing w:after="0"/>
        <w:tabs>
          <w:tab w:leader="none" w:pos="966" w:val="left"/>
        </w:tabs>
        <w:rPr>
          <w:rFonts w:ascii="Arial" w:cs="Arial" w:eastAsia="Arial" w:hAnsi="Arial"/>
          <w:sz w:val="18"/>
          <w:szCs w:val="18"/>
          <w:color w:val="0000EE"/>
        </w:rPr>
      </w:pPr>
      <w:hyperlink r:id="rId255">
        <w:r>
          <w:rPr>
            <w:rFonts w:ascii="Arial" w:cs="Arial" w:eastAsia="Arial" w:hAnsi="Arial"/>
            <w:sz w:val="18"/>
            <w:szCs w:val="18"/>
            <w:u w:val="single" w:color="auto"/>
            <w:color w:val="0000EE"/>
          </w:rPr>
          <w:t>10.4</w:t>
        </w:r>
      </w:hyperlink>
      <w:r>
        <w:rPr>
          <w:rFonts w:ascii="Arial" w:cs="Arial" w:eastAsia="Arial" w:hAnsi="Arial"/>
          <w:sz w:val="18"/>
          <w:szCs w:val="18"/>
          <w:color w:val="0000EE"/>
        </w:rPr>
        <w:tab/>
      </w:r>
      <w:r>
        <w:rPr>
          <w:rFonts w:ascii="Arial" w:cs="Arial" w:eastAsia="Arial" w:hAnsi="Arial"/>
          <w:sz w:val="16"/>
          <w:szCs w:val="16"/>
          <w:color w:val="0000EE"/>
        </w:rPr>
        <w:t>Form of Registration Rights Agreement between the Registrant and certain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57">
        <w:r>
          <w:rPr>
            <w:rFonts w:ascii="Arial" w:cs="Arial" w:eastAsia="Arial" w:hAnsi="Arial"/>
            <w:sz w:val="18"/>
            <w:szCs w:val="18"/>
            <w:u w:val="single" w:color="auto"/>
            <w:color w:val="0000EE"/>
          </w:rPr>
          <w:t>10.5</w:t>
        </w:r>
      </w:hyperlink>
      <w:r>
        <w:rPr>
          <w:rFonts w:ascii="Arial" w:cs="Arial" w:eastAsia="Arial" w:hAnsi="Arial"/>
          <w:sz w:val="18"/>
          <w:szCs w:val="18"/>
          <w:color w:val="0000EE"/>
        </w:rPr>
        <w:tab/>
      </w:r>
      <w:r>
        <w:rPr>
          <w:rFonts w:ascii="Arial" w:cs="Arial" w:eastAsia="Arial" w:hAnsi="Arial"/>
          <w:sz w:val="16"/>
          <w:szCs w:val="16"/>
          <w:color w:val="0000EE"/>
        </w:rPr>
        <w:t>Securities Subscription Agreement, dated June 11, 2019, between the Registrant and Silver Spike Sponsor, LLC*</w:t>
      </w:r>
    </w:p>
    <w:p>
      <w:pPr>
        <w:spacing w:after="0" w:line="3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58">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6"/>
          <w:szCs w:val="16"/>
          <w:color w:val="0000EE"/>
        </w:rPr>
        <w:t>Form of Sponsor Warrants Purchase Agreement between the Registrant and Silver Spike Sponsor,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60">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Form of Indemnity Agreement*</w:t>
      </w:r>
    </w:p>
    <w:p>
      <w:pPr>
        <w:spacing w:after="0" w:line="3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61">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6"/>
          <w:szCs w:val="16"/>
          <w:color w:val="0000EE"/>
        </w:rPr>
        <w:t>Form of Administrative Services Agreement between the Registrant and Silver Spike Sponsor,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07"/>
        <w:spacing w:after="0"/>
        <w:tabs>
          <w:tab w:leader="none" w:pos="966"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color w:val="auto"/>
        </w:rPr>
        <w:t>Consent of Marcum LLP</w:t>
      </w:r>
    </w:p>
    <w:p>
      <w:pPr>
        <w:spacing w:after="0" w:line="3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48">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Maples and Calder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307"/>
        <w:spacing w:after="0"/>
        <w:tabs>
          <w:tab w:leader="none" w:pos="966" w:val="left"/>
        </w:tabs>
        <w:rPr>
          <w:rFonts w:ascii="Arial" w:cs="Arial" w:eastAsia="Arial" w:hAnsi="Arial"/>
          <w:sz w:val="18"/>
          <w:szCs w:val="18"/>
          <w:color w:val="0000EE"/>
        </w:rPr>
      </w:pPr>
      <w:hyperlink r:id="rId249">
        <w:r>
          <w:rPr>
            <w:rFonts w:ascii="Arial" w:cs="Arial" w:eastAsia="Arial" w:hAnsi="Arial"/>
            <w:sz w:val="18"/>
            <w:szCs w:val="18"/>
            <w:u w:val="single" w:color="auto"/>
            <w:color w:val="0000EE"/>
          </w:rPr>
          <w:t>23.3</w:t>
        </w:r>
      </w:hyperlink>
      <w:r>
        <w:rPr>
          <w:rFonts w:ascii="Arial" w:cs="Arial" w:eastAsia="Arial" w:hAnsi="Arial"/>
          <w:sz w:val="18"/>
          <w:szCs w:val="18"/>
          <w:color w:val="0000EE"/>
        </w:rPr>
        <w:tab/>
      </w:r>
      <w:r>
        <w:rPr>
          <w:rFonts w:ascii="Arial" w:cs="Arial" w:eastAsia="Arial" w:hAnsi="Arial"/>
          <w:sz w:val="17"/>
          <w:szCs w:val="17"/>
          <w:color w:val="0000EE"/>
        </w:rPr>
        <w:t>Consent of Davis Polk &amp; Wardwell LLP (included in Exhibit 5.2)*</w:t>
      </w:r>
    </w:p>
    <w:p>
      <w:pPr>
        <w:spacing w:after="0" w:line="36" w:lineRule="exact"/>
        <w:rPr>
          <w:sz w:val="20"/>
          <w:szCs w:val="20"/>
          <w:color w:val="auto"/>
        </w:rPr>
      </w:pPr>
    </w:p>
    <w:p>
      <w:pPr>
        <w:ind w:left="987" w:hanging="611"/>
        <w:spacing w:after="0"/>
        <w:tabs>
          <w:tab w:leader="none" w:pos="987" w:val="left"/>
        </w:tabs>
        <w:numPr>
          <w:ilvl w:val="1"/>
          <w:numId w:val="86"/>
        </w:numPr>
        <w:rPr>
          <w:rFonts w:ascii="Arial" w:cs="Arial" w:eastAsia="Arial" w:hAnsi="Arial"/>
          <w:sz w:val="18"/>
          <w:szCs w:val="18"/>
          <w:u w:val="single" w:color="auto"/>
          <w:color w:val="0000EE"/>
        </w:rPr>
      </w:pPr>
      <w:r>
        <w:rPr>
          <w:rFonts w:ascii="Arial" w:cs="Arial" w:eastAsia="Arial" w:hAnsi="Arial"/>
          <w:sz w:val="18"/>
          <w:szCs w:val="18"/>
          <w:color w:val="auto"/>
        </w:rPr>
        <w:t>Power of Attorney (included on signature page to the initial filing of this Registration Statement)*</w:t>
      </w:r>
    </w:p>
    <w:p>
      <w:pPr>
        <w:spacing w:after="0" w:line="36" w:lineRule="exact"/>
        <w:rPr>
          <w:rFonts w:ascii="Arial" w:cs="Arial" w:eastAsia="Arial" w:hAnsi="Arial"/>
          <w:sz w:val="18"/>
          <w:szCs w:val="18"/>
          <w:u w:val="single" w:color="auto"/>
          <w:color w:val="0000EE"/>
        </w:rPr>
      </w:pPr>
    </w:p>
    <w:p>
      <w:pPr>
        <w:ind w:left="307"/>
        <w:spacing w:after="0"/>
        <w:rPr>
          <w:rFonts w:ascii="Arial" w:cs="Arial" w:eastAsia="Arial" w:hAnsi="Arial"/>
          <w:sz w:val="18"/>
          <w:szCs w:val="18"/>
          <w:color w:val="0000EE"/>
        </w:rPr>
      </w:pPr>
      <w:hyperlink r:id="rId264">
        <w:r>
          <w:rPr>
            <w:rFonts w:ascii="Arial" w:cs="Arial" w:eastAsia="Arial" w:hAnsi="Arial"/>
            <w:sz w:val="18"/>
            <w:szCs w:val="18"/>
            <w:u w:val="single" w:color="auto"/>
            <w:color w:val="0000EE"/>
          </w:rPr>
          <w:t>99.1</w:t>
        </w:r>
      </w:hyperlink>
      <w:r>
        <w:rPr>
          <w:rFonts w:ascii="Arial" w:cs="Arial" w:eastAsia="Arial" w:hAnsi="Arial"/>
          <w:sz w:val="16"/>
          <w:szCs w:val="16"/>
          <w:color w:val="auto"/>
        </w:rPr>
        <w:t>Consent of Orrin Devinsky*</w:t>
      </w:r>
    </w:p>
    <w:p>
      <w:pPr>
        <w:spacing w:after="0" w:line="36" w:lineRule="exact"/>
        <w:rPr>
          <w:rFonts w:ascii="Arial" w:cs="Arial" w:eastAsia="Arial" w:hAnsi="Arial"/>
          <w:sz w:val="18"/>
          <w:szCs w:val="18"/>
          <w:color w:val="0000EE"/>
        </w:rPr>
      </w:pPr>
    </w:p>
    <w:p>
      <w:pPr>
        <w:ind w:left="307"/>
        <w:spacing w:after="0"/>
        <w:rPr>
          <w:rFonts w:ascii="Arial" w:cs="Arial" w:eastAsia="Arial" w:hAnsi="Arial"/>
          <w:sz w:val="18"/>
          <w:szCs w:val="18"/>
          <w:color w:val="0000EE"/>
        </w:rPr>
      </w:pPr>
      <w:hyperlink r:id="rId265">
        <w:r>
          <w:rPr>
            <w:rFonts w:ascii="Arial" w:cs="Arial" w:eastAsia="Arial" w:hAnsi="Arial"/>
            <w:sz w:val="18"/>
            <w:szCs w:val="18"/>
            <w:u w:val="single" w:color="auto"/>
            <w:color w:val="0000EE"/>
          </w:rPr>
          <w:t>99.2</w:t>
        </w:r>
      </w:hyperlink>
      <w:r>
        <w:rPr>
          <w:rFonts w:ascii="Arial" w:cs="Arial" w:eastAsia="Arial" w:hAnsi="Arial"/>
          <w:sz w:val="16"/>
          <w:szCs w:val="16"/>
          <w:color w:val="auto"/>
        </w:rPr>
        <w:t>Consent of Richard Goldman*</w:t>
      </w:r>
    </w:p>
    <w:p>
      <w:pPr>
        <w:spacing w:after="0" w:line="36" w:lineRule="exact"/>
        <w:rPr>
          <w:rFonts w:ascii="Arial" w:cs="Arial" w:eastAsia="Arial" w:hAnsi="Arial"/>
          <w:sz w:val="18"/>
          <w:szCs w:val="18"/>
          <w:color w:val="0000EE"/>
        </w:rPr>
      </w:pPr>
    </w:p>
    <w:p>
      <w:pPr>
        <w:ind w:left="307"/>
        <w:spacing w:after="0"/>
        <w:rPr>
          <w:rFonts w:ascii="Arial" w:cs="Arial" w:eastAsia="Arial" w:hAnsi="Arial"/>
          <w:sz w:val="18"/>
          <w:szCs w:val="18"/>
          <w:color w:val="0000EE"/>
        </w:rPr>
      </w:pPr>
      <w:hyperlink r:id="rId266">
        <w:r>
          <w:rPr>
            <w:rFonts w:ascii="Arial" w:cs="Arial" w:eastAsia="Arial" w:hAnsi="Arial"/>
            <w:sz w:val="18"/>
            <w:szCs w:val="18"/>
            <w:u w:val="single" w:color="auto"/>
            <w:color w:val="0000EE"/>
          </w:rPr>
          <w:t>99.3</w:t>
        </w:r>
      </w:hyperlink>
      <w:r>
        <w:rPr>
          <w:rFonts w:ascii="Arial" w:cs="Arial" w:eastAsia="Arial" w:hAnsi="Arial"/>
          <w:sz w:val="16"/>
          <w:szCs w:val="16"/>
          <w:color w:val="auto"/>
        </w:rPr>
        <w:t>Consent of Kenneth Landis*</w:t>
      </w:r>
    </w:p>
    <w:p>
      <w:pPr>
        <w:spacing w:after="0" w:line="342" w:lineRule="exact"/>
        <w:rPr>
          <w:rFonts w:ascii="Arial" w:cs="Arial" w:eastAsia="Arial" w:hAnsi="Arial"/>
          <w:sz w:val="18"/>
          <w:szCs w:val="18"/>
          <w:color w:val="0000EE"/>
        </w:rPr>
      </w:pPr>
    </w:p>
    <w:p>
      <w:pPr>
        <w:ind w:left="7"/>
        <w:spacing w:after="0"/>
        <w:rPr>
          <w:rFonts w:ascii="Arial" w:cs="Arial" w:eastAsia="Arial" w:hAnsi="Arial"/>
          <w:sz w:val="18"/>
          <w:szCs w:val="18"/>
          <w:color w:val="0000EE"/>
        </w:rPr>
      </w:pPr>
      <w:r>
        <w:rPr>
          <w:rFonts w:ascii="Arial" w:cs="Arial" w:eastAsia="Arial" w:hAnsi="Arial"/>
          <w:sz w:val="14"/>
          <w:szCs w:val="14"/>
          <w:color w:val="auto"/>
        </w:rPr>
        <w:t>*</w:t>
      </w:r>
      <w:r>
        <w:rPr>
          <w:rFonts w:ascii="Arial" w:cs="Arial" w:eastAsia="Arial" w:hAnsi="Arial"/>
          <w:sz w:val="13"/>
          <w:szCs w:val="13"/>
          <w:color w:val="auto"/>
        </w:rPr>
        <w:t>Previously filed.</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-913130</wp:posOffset>
            </wp:positionV>
            <wp:extent cx="607187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-603885</wp:posOffset>
            </wp:positionV>
            <wp:extent cx="607187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909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80" w:lineRule="exact"/>
        <w:rPr>
          <w:rFonts w:ascii="Arial" w:cs="Arial" w:eastAsia="Arial" w:hAnsi="Arial"/>
          <w:sz w:val="18"/>
          <w:szCs w:val="18"/>
          <w:color w:val="0000EE"/>
        </w:rPr>
      </w:pPr>
    </w:p>
    <w:p>
      <w:pPr>
        <w:ind w:left="7"/>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Financial Statements</w:t>
      </w:r>
      <w:r>
        <w:rPr>
          <w:rFonts w:ascii="Arial" w:cs="Arial" w:eastAsia="Arial" w:hAnsi="Arial"/>
          <w:sz w:val="16"/>
          <w:szCs w:val="16"/>
          <w:color w:val="auto"/>
        </w:rPr>
        <w:t>. See page F-1 for an index to the financial statements and schedules included in the registration statement.</w:t>
      </w:r>
    </w:p>
    <w:p>
      <w:pPr>
        <w:spacing w:after="0" w:line="136" w:lineRule="exact"/>
        <w:rPr>
          <w:rFonts w:ascii="Arial" w:cs="Arial" w:eastAsia="Arial" w:hAnsi="Arial"/>
          <w:sz w:val="18"/>
          <w:szCs w:val="18"/>
          <w:color w:val="0000EE"/>
        </w:rPr>
      </w:pPr>
    </w:p>
    <w:p>
      <w:pPr>
        <w:ind w:left="7"/>
        <w:spacing w:after="0"/>
        <w:tabs>
          <w:tab w:leader="none" w:pos="866"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color w:val="0000EE"/>
        </w:rPr>
      </w:pPr>
    </w:p>
    <w:p>
      <w:pPr>
        <w:ind w:left="7" w:right="600" w:hanging="7"/>
        <w:spacing w:after="0" w:line="264" w:lineRule="auto"/>
        <w:tabs>
          <w:tab w:leader="none" w:pos="2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73" w:lineRule="exact"/>
        <w:rPr>
          <w:rFonts w:ascii="Arial" w:cs="Arial" w:eastAsia="Arial" w:hAnsi="Arial"/>
          <w:sz w:val="18"/>
          <w:szCs w:val="18"/>
          <w:color w:val="auto"/>
        </w:rPr>
      </w:pPr>
    </w:p>
    <w:p>
      <w:pPr>
        <w:ind w:left="7" w:right="300" w:hanging="7"/>
        <w:spacing w:after="0" w:line="264" w:lineRule="auto"/>
        <w:tabs>
          <w:tab w:leader="none" w:pos="2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w:t>
      </w:r>
    </w:p>
    <w:p>
      <w:pPr>
        <w:spacing w:after="0" w:line="181" w:lineRule="exact"/>
        <w:rPr>
          <w:rFonts w:ascii="Arial" w:cs="Arial" w:eastAsia="Arial" w:hAnsi="Arial"/>
          <w:sz w:val="18"/>
          <w:szCs w:val="18"/>
          <w:color w:val="0000EE"/>
        </w:rPr>
      </w:pPr>
    </w:p>
    <w:p>
      <w:pPr>
        <w:jc w:val="center"/>
        <w:ind w:right="-6"/>
        <w:spacing w:after="0"/>
        <w:rPr>
          <w:sz w:val="20"/>
          <w:szCs w:val="20"/>
          <w:color w:val="auto"/>
        </w:rPr>
      </w:pPr>
      <w:r>
        <w:rPr>
          <w:rFonts w:ascii="Arial" w:cs="Arial" w:eastAsia="Arial" w:hAnsi="Arial"/>
          <w:sz w:val="18"/>
          <w:szCs w:val="18"/>
          <w:color w:val="auto"/>
        </w:rPr>
        <w:t>II-2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1" w:name="page182"/>
    <w:bookmarkEnd w:id="18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spacing w:after="0" w:line="293" w:lineRule="auto"/>
        <w:rPr>
          <w:sz w:val="20"/>
          <w:szCs w:val="20"/>
          <w:color w:val="auto"/>
        </w:rPr>
      </w:pPr>
      <w:r>
        <w:rPr>
          <w:rFonts w:ascii="Arial" w:cs="Arial" w:eastAsia="Arial" w:hAnsi="Arial"/>
          <w:sz w:val="16"/>
          <w:szCs w:val="16"/>
          <w:color w:val="auto"/>
        </w:rPr>
        <w:t>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7" w:lineRule="exact"/>
        <w:rPr>
          <w:sz w:val="20"/>
          <w:szCs w:val="20"/>
          <w:color w:val="auto"/>
        </w:rPr>
      </w:pPr>
    </w:p>
    <w:p>
      <w:pPr>
        <w:ind w:left="347" w:hanging="347"/>
        <w:spacing w:after="0"/>
        <w:tabs>
          <w:tab w:leader="none" w:pos="3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707" w:right="240" w:hanging="356"/>
        <w:spacing w:after="0" w:line="259" w:lineRule="auto"/>
        <w:tabs>
          <w:tab w:leader="none" w:pos="707"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707" w:hanging="356"/>
        <w:spacing w:after="0" w:line="286" w:lineRule="auto"/>
        <w:tabs>
          <w:tab w:leader="none" w:pos="707" w:val="left"/>
        </w:tabs>
        <w:numPr>
          <w:ilvl w:val="1"/>
          <w:numId w:val="88"/>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7" w:lineRule="exact"/>
        <w:rPr>
          <w:rFonts w:ascii="Arial" w:cs="Arial" w:eastAsia="Arial" w:hAnsi="Arial"/>
          <w:sz w:val="17"/>
          <w:szCs w:val="17"/>
          <w:color w:val="auto"/>
        </w:rPr>
      </w:pPr>
    </w:p>
    <w:p>
      <w:pPr>
        <w:ind w:left="707" w:right="40" w:hanging="356"/>
        <w:spacing w:after="0" w:line="270" w:lineRule="auto"/>
        <w:tabs>
          <w:tab w:leader="none" w:pos="707" w:val="left"/>
        </w:tabs>
        <w:numPr>
          <w:ilvl w:val="1"/>
          <w:numId w:val="88"/>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3" w:lineRule="exact"/>
        <w:rPr>
          <w:rFonts w:ascii="Arial" w:cs="Arial" w:eastAsia="Arial" w:hAnsi="Arial"/>
          <w:sz w:val="17"/>
          <w:szCs w:val="17"/>
          <w:color w:val="auto"/>
        </w:rPr>
      </w:pPr>
    </w:p>
    <w:p>
      <w:pPr>
        <w:ind w:left="707" w:right="280" w:hanging="356"/>
        <w:spacing w:after="0" w:line="255" w:lineRule="auto"/>
        <w:tabs>
          <w:tab w:leader="none" w:pos="707"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rFonts w:ascii="Arial" w:cs="Arial" w:eastAsia="Arial" w:hAnsi="Arial"/>
          <w:sz w:val="18"/>
          <w:szCs w:val="18"/>
          <w:color w:val="auto"/>
        </w:rPr>
      </w:pPr>
    </w:p>
    <w:p>
      <w:pPr>
        <w:ind w:left="1067" w:right="240" w:hanging="351"/>
        <w:spacing w:after="0" w:line="277" w:lineRule="auto"/>
        <w:tabs>
          <w:tab w:leader="none" w:pos="1067"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067" w:right="100" w:hanging="351"/>
        <w:spacing w:after="0" w:line="277" w:lineRule="auto"/>
        <w:tabs>
          <w:tab w:leader="none" w:pos="1067"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62" w:lineRule="exact"/>
        <w:rPr>
          <w:rFonts w:ascii="Arial" w:cs="Arial" w:eastAsia="Arial" w:hAnsi="Arial"/>
          <w:sz w:val="18"/>
          <w:szCs w:val="18"/>
          <w:color w:val="auto"/>
        </w:rPr>
      </w:pPr>
    </w:p>
    <w:p>
      <w:pPr>
        <w:ind w:left="1067" w:right="280" w:hanging="351"/>
        <w:spacing w:after="0" w:line="308" w:lineRule="auto"/>
        <w:tabs>
          <w:tab w:leader="none" w:pos="1067" w:val="left"/>
        </w:tabs>
        <w:numPr>
          <w:ilvl w:val="2"/>
          <w:numId w:val="88"/>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38" w:lineRule="exact"/>
        <w:rPr>
          <w:rFonts w:ascii="Arial" w:cs="Arial" w:eastAsia="Arial" w:hAnsi="Arial"/>
          <w:sz w:val="17"/>
          <w:szCs w:val="17"/>
          <w:color w:val="auto"/>
        </w:rPr>
      </w:pPr>
    </w:p>
    <w:p>
      <w:pPr>
        <w:ind w:left="1067" w:hanging="351"/>
        <w:spacing w:after="0"/>
        <w:tabs>
          <w:tab w:leader="none" w:pos="1067" w:val="left"/>
        </w:tabs>
        <w:numPr>
          <w:ilvl w:val="2"/>
          <w:numId w:val="88"/>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3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on August 7, 2019.</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Silver Spike Acquisition Corp.</w:t>
      </w:r>
    </w:p>
    <w:p>
      <w:pPr>
        <w:spacing w:after="0" w:line="283" w:lineRule="exact"/>
        <w:rPr>
          <w:sz w:val="20"/>
          <w:szCs w:val="20"/>
          <w:color w:val="auto"/>
        </w:rPr>
      </w:pPr>
    </w:p>
    <w:p>
      <w:pPr>
        <w:ind w:left="4120"/>
        <w:spacing w:after="0"/>
        <w:tabs>
          <w:tab w:leader="none" w:pos="460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14605</wp:posOffset>
            </wp:positionV>
            <wp:extent cx="31730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0" w:lineRule="exact"/>
        <w:rPr>
          <w:sz w:val="20"/>
          <w:szCs w:val="20"/>
          <w:color w:val="auto"/>
        </w:rPr>
      </w:pPr>
    </w:p>
    <w:p>
      <w:pPr>
        <w:ind w:left="4620"/>
        <w:spacing w:after="0"/>
        <w:tabs>
          <w:tab w:leader="none" w:pos="5340" w:val="left"/>
        </w:tabs>
        <w:rPr>
          <w:sz w:val="20"/>
          <w:szCs w:val="20"/>
          <w:color w:val="auto"/>
        </w:rPr>
      </w:pPr>
      <w:r>
        <w:rPr>
          <w:rFonts w:ascii="Arial" w:cs="Arial" w:eastAsia="Arial" w:hAnsi="Arial"/>
          <w:sz w:val="18"/>
          <w:szCs w:val="18"/>
          <w:color w:val="auto"/>
        </w:rPr>
        <w:t>Name:</w:t>
        <w:tab/>
        <w:t>Scott Gordon</w:t>
      </w:r>
    </w:p>
    <w:p>
      <w:pPr>
        <w:spacing w:after="0" w:line="36" w:lineRule="exact"/>
        <w:rPr>
          <w:sz w:val="20"/>
          <w:szCs w:val="20"/>
          <w:color w:val="auto"/>
        </w:rPr>
      </w:pPr>
    </w:p>
    <w:p>
      <w:pPr>
        <w:ind w:left="462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9540"/>
          </w:cols>
          <w:pgMar w:left="1180" w:top="279" w:right="1179" w:bottom="1440" w:gutter="0" w:footer="0" w:header="0"/>
        </w:sectPr>
      </w:pPr>
    </w:p>
    <w:p>
      <w:pPr>
        <w:spacing w:after="0" w:line="27"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7411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7"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7411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5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Scott Gordon</w:t>
      </w:r>
    </w:p>
    <w:p>
      <w:pPr>
        <w:spacing w:after="0" w:line="27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7411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0"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William Healy</w:t>
      </w:r>
    </w:p>
    <w:p>
      <w:pPr>
        <w:spacing w:after="0" w:line="27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7411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0"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Greg Gentile</w:t>
      </w:r>
    </w:p>
    <w:p>
      <w:pPr>
        <w:spacing w:after="0" w:line="33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14605</wp:posOffset>
            </wp:positionV>
            <wp:extent cx="15951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Scott Gordon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0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22"/>
        </w:trPr>
        <w:tc>
          <w:tcPr>
            <w:tcW w:w="358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1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August 7, 2019</w:t>
            </w: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27"/>
        </w:trPr>
        <w:tc>
          <w:tcPr>
            <w:tcW w:w="358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August 7, 2019</w:t>
            </w:r>
          </w:p>
        </w:tc>
      </w:tr>
      <w:tr>
        <w:trPr>
          <w:trHeight w:val="728"/>
        </w:trPr>
        <w:tc>
          <w:tcPr>
            <w:tcW w:w="3580" w:type="dxa"/>
            <w:vAlign w:val="bottom"/>
          </w:tcPr>
          <w:p>
            <w:pPr>
              <w:jc w:val="center"/>
              <w:spacing w:after="0"/>
              <w:rPr>
                <w:sz w:val="20"/>
                <w:szCs w:val="20"/>
                <w:color w:val="auto"/>
              </w:rPr>
            </w:pPr>
            <w:r>
              <w:rPr>
                <w:rFonts w:ascii="Arial" w:cs="Arial" w:eastAsia="Arial" w:hAnsi="Arial"/>
                <w:sz w:val="18"/>
                <w:szCs w:val="18"/>
                <w:color w:val="auto"/>
                <w:w w:val="93"/>
              </w:rPr>
              <w:t>Chief Financial Officer (Principal Financial and</w:t>
            </w: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August 7, 2019</w:t>
            </w: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94"/>
        </w:trPr>
        <w:tc>
          <w:tcPr>
            <w:tcW w:w="3580" w:type="dxa"/>
            <w:vAlign w:val="bottom"/>
          </w:tcPr>
          <w:p>
            <w:pPr>
              <w:ind w:left="1300"/>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4"/>
                <w:szCs w:val="24"/>
                <w:color w:val="auto"/>
              </w:rPr>
            </w:pPr>
          </w:p>
        </w:tc>
        <w:tc>
          <w:tcPr>
            <w:tcW w:w="3020" w:type="dxa"/>
            <w:vAlign w:val="bottom"/>
          </w:tcPr>
          <w:p>
            <w:pPr>
              <w:ind w:left="940"/>
              <w:spacing w:after="0"/>
              <w:rPr>
                <w:sz w:val="20"/>
                <w:szCs w:val="20"/>
                <w:color w:val="auto"/>
              </w:rPr>
            </w:pPr>
            <w:r>
              <w:rPr>
                <w:rFonts w:ascii="Arial" w:cs="Arial" w:eastAsia="Arial" w:hAnsi="Arial"/>
                <w:sz w:val="18"/>
                <w:szCs w:val="18"/>
                <w:color w:val="auto"/>
              </w:rPr>
              <w:t>August 7, 2019</w:t>
            </w:r>
          </w:p>
        </w:tc>
      </w:tr>
      <w:tr>
        <w:trPr>
          <w:trHeight w:val="689"/>
        </w:trPr>
        <w:tc>
          <w:tcPr>
            <w:tcW w:w="3580" w:type="dxa"/>
            <w:vAlign w:val="bottom"/>
          </w:tcPr>
          <w:p>
            <w:pPr>
              <w:ind w:left="1800"/>
              <w:spacing w:after="0"/>
              <w:rPr>
                <w:sz w:val="20"/>
                <w:szCs w:val="20"/>
                <w:color w:val="auto"/>
              </w:rPr>
            </w:pPr>
            <w:r>
              <w:rPr>
                <w:rFonts w:ascii="Arial" w:cs="Arial" w:eastAsia="Arial" w:hAnsi="Arial"/>
                <w:sz w:val="18"/>
                <w:szCs w:val="18"/>
                <w:color w:val="auto"/>
              </w:rPr>
              <w:t>II-4</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283210</wp:posOffset>
            </wp:positionV>
            <wp:extent cx="6071870" cy="431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2">
            <w:col w:w="2120" w:space="720"/>
            <w:col w:w="6700"/>
          </w:cols>
          <w:pgMar w:left="1180" w:top="279" w:right="1179" w:bottom="1440" w:gutter="0" w:footer="0" w:header="0"/>
          <w:type w:val="continuous"/>
        </w:sectPr>
      </w:pPr>
    </w:p>
    <w:bookmarkStart w:id="183" w:name="page184"/>
    <w:bookmarkEnd w:id="1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REPRESENTATIVE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Section 6(a) of the Securities Act of 1933, as amended, the undersigned has signed this registration statement, solely in its capacity as the duly authorized representative of Silver Spike Acquisition Corp., in New York, New York, on August 7, 2019.</w:t>
      </w:r>
    </w:p>
    <w:p>
      <w:pPr>
        <w:spacing w:after="0" w:line="33"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14605</wp:posOffset>
            </wp:positionV>
            <wp:extent cx="29330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0"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Scott Gordon</w:t>
      </w:r>
    </w:p>
    <w:p>
      <w:pPr>
        <w:spacing w:after="0" w:line="36"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consent to the inclusion in this Registration Statement of Silver Spike Acquisition Corp. on Amendment No. 2 to Form S-1, File No. 333-232734, of our report dated June 20, 2019, which includes an explanatory paragraph as to Silver Spike Acquisition Corp.’s ability to continue as a going concern, with respect to our audit of the financial statements of Silver Spike Acquisition Corp. as of June 11, 2019 and for the period from June 7, 2019 (inception) through June 11, 2019, which report appears in the Prospectus, which is part of this Registration Statement. We also consent to the reference to our Firm under the heading “Experts” in such Prospectus.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August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1)"/>
      <w:numFmt w:val="decimal"/>
      <w:start w:val="2"/>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upperLetter"/>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lowerRoman"/>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4"/>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2"/>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2"/>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1)"/>
      <w:numFmt w:val="decimal"/>
      <w:start w:val="5"/>
    </w:lvl>
  </w:abstractNum>
  <w:abstractNum w:abstractNumId="52">
    <w:nsid w:val="98A3148"/>
    <w:multiLevelType w:val="hybridMultilevel"/>
    <w:lvl w:ilvl="0">
      <w:lvlJc w:val="left"/>
      <w:lvlText w:val="(%1)"/>
      <w:numFmt w:val="lowerRoman"/>
      <w:start w:val="10"/>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1)"/>
      <w:numFmt w:val="lowerRoman"/>
      <w:start w:val="10"/>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1)"/>
      <w:numFmt w:val="decimal"/>
      <w:start w:val="2"/>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3"/>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16"/>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upperLetter"/>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
      <w:numFmt w:val="bullet"/>
      <w:start w:val="1"/>
    </w:lvl>
    <w:lvl w:ilvl="1">
      <w:lvlJc w:val="left"/>
      <w:lvlText w:val="%2"/>
      <w:numFmt w:val="decimal"/>
      <w:start w:val="24"/>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8" Type="http://schemas.openxmlformats.org/officeDocument/2006/relationships/image" Target="media/image230.png"/><Relationship Id="rId241" Type="http://schemas.openxmlformats.org/officeDocument/2006/relationships/image" Target="media/image231.png"/><Relationship Id="rId244" Type="http://schemas.openxmlformats.org/officeDocument/2006/relationships/image" Target="media/image232.png"/><Relationship Id="rId247" Type="http://schemas.openxmlformats.org/officeDocument/2006/relationships/image" Target="media/image233.png"/><Relationship Id="rId250" Type="http://schemas.openxmlformats.org/officeDocument/2006/relationships/image" Target="media/image234.png"/><Relationship Id="rId253" Type="http://schemas.openxmlformats.org/officeDocument/2006/relationships/image" Target="media/image235.png"/><Relationship Id="rId256" Type="http://schemas.openxmlformats.org/officeDocument/2006/relationships/image" Target="media/image236.png"/><Relationship Id="rId259"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37" Type="http://schemas.openxmlformats.org/officeDocument/2006/relationships/hyperlink" Target="http://www.sec.gov/Archives/edgar/data/1779474/000095010319009708/dp109955_ex0101.htm" TargetMode="External"/><Relationship Id="rId239" Type="http://schemas.openxmlformats.org/officeDocument/2006/relationships/hyperlink" Target="http://www.sec.gov/Archives/edgar/data/1779474/000095010319009505/dp109911_ex0301.htm" TargetMode="External"/><Relationship Id="rId240" Type="http://schemas.openxmlformats.org/officeDocument/2006/relationships/hyperlink" Target="http://www.sec.gov/Archives/edgar/data/1779474/000095010319009708/dp109955_ex0302.htm" TargetMode="External"/><Relationship Id="rId242" Type="http://schemas.openxmlformats.org/officeDocument/2006/relationships/hyperlink" Target="http://www.sec.gov/Archives/edgar/data/1779474/000095010319009708/dp109955_ex0401.htm" TargetMode="External"/><Relationship Id="rId243" Type="http://schemas.openxmlformats.org/officeDocument/2006/relationships/hyperlink" Target="http://www.sec.gov/Archives/edgar/data/1779474/000095010319009708/dp109955_ex0402.htm" TargetMode="External"/><Relationship Id="rId245" Type="http://schemas.openxmlformats.org/officeDocument/2006/relationships/hyperlink" Target="http://www.sec.gov/Archives/edgar/data/1779474/000095010319009708/dp109955_ex0403.htm" TargetMode="External"/><Relationship Id="rId246" Type="http://schemas.openxmlformats.org/officeDocument/2006/relationships/hyperlink" Target="http://www.sec.gov/Archives/edgar/data/1779474/000095010319009708/dp109955_ex0404.htm" TargetMode="External"/><Relationship Id="rId248" Type="http://schemas.openxmlformats.org/officeDocument/2006/relationships/hyperlink" Target="http://www.sec.gov/Archives/edgar/data/1779474/000095010319009708/dp109955_ex0501.htm" TargetMode="External"/><Relationship Id="rId249" Type="http://schemas.openxmlformats.org/officeDocument/2006/relationships/hyperlink" Target="http://www.sec.gov/Archives/edgar/data/1779474/000095010319009708/dp109955_ex0502.htm" TargetMode="External"/><Relationship Id="rId251" Type="http://schemas.openxmlformats.org/officeDocument/2006/relationships/hyperlink" Target="http://www.sec.gov/Archives/edgar/data/1779474/000095010319009505/dp109911_ex1001.htm" TargetMode="External"/><Relationship Id="rId252" Type="http://schemas.openxmlformats.org/officeDocument/2006/relationships/hyperlink" Target="http://www.sec.gov/Archives/edgar/data/1779474/000095010319009708/dp109955_ex1002.htm" TargetMode="External"/><Relationship Id="rId254" Type="http://schemas.openxmlformats.org/officeDocument/2006/relationships/hyperlink" Target="http://www.sec.gov/Archives/edgar/data/1779474/000095010319009708/dp109955_ex1003.htm" TargetMode="External"/><Relationship Id="rId255" Type="http://schemas.openxmlformats.org/officeDocument/2006/relationships/hyperlink" Target="http://www.sec.gov/Archives/edgar/data/1779474/000095010319009708/dp109955_ex1004.htm" TargetMode="External"/><Relationship Id="rId257" Type="http://schemas.openxmlformats.org/officeDocument/2006/relationships/hyperlink" Target="http://www.sec.gov/Archives/edgar/data/1779474/000095010319009505/dp109911_ex1005.htm" TargetMode="External"/><Relationship Id="rId258" Type="http://schemas.openxmlformats.org/officeDocument/2006/relationships/hyperlink" Target="http://www.sec.gov/Archives/edgar/data/1779474/000095010319009708/dp109955_ex1006.htm" TargetMode="External"/><Relationship Id="rId260" Type="http://schemas.openxmlformats.org/officeDocument/2006/relationships/hyperlink" Target="http://www.sec.gov/Archives/edgar/data/1779474/000095010319009708/dp109955_ex1007.htm" TargetMode="External"/><Relationship Id="rId261" Type="http://schemas.openxmlformats.org/officeDocument/2006/relationships/hyperlink" Target="http://www.sec.gov/Archives/edgar/data/1779474/000095010319009708/dp109955_ex1008.htm" TargetMode="External"/><Relationship Id="rId264" Type="http://schemas.openxmlformats.org/officeDocument/2006/relationships/hyperlink" Target="http://www.sec.gov/Archives/edgar/data/1779474/000095010319009708/dp109955_ex9901.htm" TargetMode="External"/><Relationship Id="rId265" Type="http://schemas.openxmlformats.org/officeDocument/2006/relationships/hyperlink" Target="http://www.sec.gov/Archives/edgar/data/1779474/000095010319009708/dp109955_ex9902.htm" TargetMode="External"/><Relationship Id="rId266" Type="http://schemas.openxmlformats.org/officeDocument/2006/relationships/hyperlink" Target="http://www.sec.gov/Archives/edgar/data/1779474/000095010319009708/dp109955_ex99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2020-02-21T07:48:27Z</dcterms:created>
  <dcterms:modified xsi:type="dcterms:W3CDTF">2020-02-21T07:48:27Z</dcterms:modified>
</cp:coreProperties>
</file>