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517525</wp:posOffset>
            </wp:positionV>
            <wp:extent cx="1911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397510</wp:posOffset>
            </wp:positionV>
            <wp:extent cx="19113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41" w:lineRule="exact"/>
        <w:rPr>
          <w:sz w:val="24"/>
          <w:szCs w:val="24"/>
          <w:color w:val="auto"/>
        </w:rPr>
      </w:pPr>
    </w:p>
    <w:p>
      <w:pPr>
        <w:jc w:val="center"/>
        <w:ind w:right="-193"/>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22"/>
          <w:szCs w:val="22"/>
          <w:b w:val="1"/>
          <w:bCs w:val="1"/>
          <w:color w:val="auto"/>
        </w:rPr>
        <w:t>Washington, D.C. 20549</w:t>
      </w:r>
    </w:p>
    <w:p>
      <w:pPr>
        <w:spacing w:after="0" w:line="224" w:lineRule="exact"/>
        <w:rPr>
          <w:sz w:val="24"/>
          <w:szCs w:val="24"/>
          <w:color w:val="auto"/>
        </w:rPr>
      </w:pPr>
    </w:p>
    <w:p>
      <w:pPr>
        <w:jc w:val="center"/>
        <w:ind w:right="-193"/>
        <w:spacing w:after="0"/>
        <w:rPr>
          <w:sz w:val="20"/>
          <w:szCs w:val="20"/>
          <w:color w:val="auto"/>
        </w:rPr>
      </w:pPr>
      <w:r>
        <w:rPr>
          <w:rFonts w:ascii="Arial" w:cs="Arial" w:eastAsia="Arial" w:hAnsi="Arial"/>
          <w:sz w:val="32"/>
          <w:szCs w:val="32"/>
          <w:b w:val="1"/>
          <w:bCs w:val="1"/>
          <w:color w:val="auto"/>
        </w:rPr>
        <w:t>FORM 8-K</w:t>
      </w:r>
    </w:p>
    <w:p>
      <w:pPr>
        <w:spacing w:after="0" w:line="276"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1"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Date of Report (Date of earliest event reported): November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246380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193"/>
        <w:spacing w:after="0"/>
        <w:rPr>
          <w:sz w:val="20"/>
          <w:szCs w:val="20"/>
          <w:color w:val="auto"/>
        </w:rPr>
      </w:pPr>
      <w:r>
        <w:rPr>
          <w:rFonts w:ascii="Arial" w:cs="Arial" w:eastAsia="Arial" w:hAnsi="Arial"/>
          <w:sz w:val="40"/>
          <w:szCs w:val="40"/>
          <w:b w:val="1"/>
          <w:bCs w:val="1"/>
          <w:color w:val="auto"/>
        </w:rPr>
        <w:t>WM TECHNOLOGY, INC.</w:t>
      </w:r>
    </w:p>
    <w:p>
      <w:pPr>
        <w:spacing w:after="0" w:line="48"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2674"/>
        <w:spacing w:after="0"/>
        <w:tabs>
          <w:tab w:leader="none" w:pos="5334" w:val="left"/>
          <w:tab w:leader="none" w:pos="7854"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001-39021</w:t>
      </w:r>
      <w:r>
        <w:rPr>
          <w:sz w:val="20"/>
          <w:szCs w:val="20"/>
          <w:color w:val="auto"/>
        </w:rPr>
        <w:tab/>
      </w:r>
      <w:r>
        <w:rPr>
          <w:rFonts w:ascii="Arial" w:cs="Arial" w:eastAsia="Arial" w:hAnsi="Arial"/>
          <w:sz w:val="16"/>
          <w:szCs w:val="16"/>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w:t>
      </w:r>
    </w:p>
    <w:p>
      <w:pPr>
        <w:spacing w:after="0" w:line="23" w:lineRule="exact"/>
        <w:rPr>
          <w:sz w:val="24"/>
          <w:szCs w:val="24"/>
          <w:color w:val="auto"/>
        </w:rPr>
      </w:pPr>
    </w:p>
    <w:p>
      <w:pPr>
        <w:ind w:left="2514"/>
        <w:spacing w:after="0"/>
        <w:tabs>
          <w:tab w:leader="none" w:pos="8134" w:val="left"/>
        </w:tabs>
        <w:rPr>
          <w:sz w:val="20"/>
          <w:szCs w:val="20"/>
          <w:color w:val="auto"/>
        </w:rPr>
      </w:pPr>
      <w:r>
        <w:rPr>
          <w:rFonts w:ascii="Arial" w:cs="Arial" w:eastAsia="Arial" w:hAnsi="Arial"/>
          <w:sz w:val="18"/>
          <w:szCs w:val="18"/>
          <w:color w:val="auto"/>
        </w:rPr>
        <w:t>Incorporation)</w:t>
      </w:r>
      <w:r>
        <w:rPr>
          <w:sz w:val="20"/>
          <w:szCs w:val="20"/>
          <w:color w:val="auto"/>
        </w:rPr>
        <w:tab/>
      </w:r>
      <w:r>
        <w:rPr>
          <w:rFonts w:ascii="Arial" w:cs="Arial" w:eastAsia="Arial" w:hAnsi="Arial"/>
          <w:sz w:val="18"/>
          <w:szCs w:val="18"/>
          <w:color w:val="auto"/>
        </w:rPr>
        <w:t>No.)</w:t>
      </w:r>
    </w:p>
    <w:p>
      <w:pPr>
        <w:spacing w:after="0" w:line="396" w:lineRule="exact"/>
        <w:rPr>
          <w:sz w:val="24"/>
          <w:szCs w:val="24"/>
          <w:color w:val="auto"/>
        </w:rPr>
      </w:pPr>
    </w:p>
    <w:p>
      <w:pPr>
        <w:ind w:left="2234"/>
        <w:spacing w:after="0"/>
        <w:rPr>
          <w:sz w:val="20"/>
          <w:szCs w:val="20"/>
          <w:color w:val="auto"/>
        </w:rPr>
      </w:pPr>
      <w:r>
        <w:rPr>
          <w:rFonts w:ascii="Arial" w:cs="Arial" w:eastAsia="Arial" w:hAnsi="Arial"/>
          <w:sz w:val="18"/>
          <w:szCs w:val="18"/>
          <w:b w:val="1"/>
          <w:bCs w:val="1"/>
          <w:color w:val="auto"/>
        </w:rPr>
        <w:t>41 Discovery</w:t>
      </w:r>
    </w:p>
    <w:p>
      <w:pPr>
        <w:spacing w:after="0" w:line="27" w:lineRule="exact"/>
        <w:rPr>
          <w:sz w:val="24"/>
          <w:szCs w:val="24"/>
          <w:color w:val="auto"/>
        </w:rPr>
      </w:pPr>
    </w:p>
    <w:p>
      <w:pPr>
        <w:ind w:left="2054"/>
        <w:spacing w:after="0"/>
        <w:tabs>
          <w:tab w:leader="none" w:pos="8194" w:val="left"/>
        </w:tabs>
        <w:rPr>
          <w:sz w:val="20"/>
          <w:szCs w:val="20"/>
          <w:color w:val="auto"/>
        </w:rPr>
      </w:pPr>
      <w:r>
        <w:rPr>
          <w:rFonts w:ascii="Arial" w:cs="Arial" w:eastAsia="Arial" w:hAnsi="Arial"/>
          <w:sz w:val="18"/>
          <w:szCs w:val="18"/>
          <w:b w:val="1"/>
          <w:bCs w:val="1"/>
          <w:color w:val="auto"/>
        </w:rPr>
        <w:t>Irvine, California</w:t>
      </w:r>
      <w:r>
        <w:rPr>
          <w:sz w:val="20"/>
          <w:szCs w:val="20"/>
          <w:color w:val="auto"/>
        </w:rPr>
        <w:tab/>
      </w:r>
      <w:r>
        <w:rPr>
          <w:rFonts w:ascii="Arial" w:cs="Arial" w:eastAsia="Arial" w:hAnsi="Arial"/>
          <w:sz w:val="16"/>
          <w:szCs w:val="16"/>
          <w:b w:val="1"/>
          <w:bCs w:val="1"/>
          <w:color w:val="auto"/>
        </w:rPr>
        <w:t>92618</w:t>
      </w:r>
    </w:p>
    <w:p>
      <w:pPr>
        <w:spacing w:after="0" w:line="49" w:lineRule="exact"/>
        <w:rPr>
          <w:sz w:val="24"/>
          <w:szCs w:val="24"/>
          <w:color w:val="auto"/>
        </w:rPr>
      </w:pPr>
    </w:p>
    <w:p>
      <w:pPr>
        <w:ind w:left="1294"/>
        <w:spacing w:after="0"/>
        <w:tabs>
          <w:tab w:leader="none" w:pos="8014"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35" w:lineRule="exact"/>
        <w:rPr>
          <w:sz w:val="24"/>
          <w:szCs w:val="24"/>
          <w:color w:val="auto"/>
        </w:rPr>
      </w:pPr>
    </w:p>
    <w:p>
      <w:pPr>
        <w:ind w:left="5034"/>
        <w:spacing w:after="0"/>
        <w:rPr>
          <w:sz w:val="20"/>
          <w:szCs w:val="20"/>
          <w:color w:val="auto"/>
        </w:rPr>
      </w:pPr>
      <w:r>
        <w:rPr>
          <w:rFonts w:ascii="Arial" w:cs="Arial" w:eastAsia="Arial" w:hAnsi="Arial"/>
          <w:sz w:val="18"/>
          <w:szCs w:val="18"/>
          <w:b w:val="1"/>
          <w:bCs w:val="1"/>
          <w:color w:val="auto"/>
        </w:rPr>
        <w:t>(844) 933-3627</w:t>
      </w:r>
    </w:p>
    <w:p>
      <w:pPr>
        <w:spacing w:after="0" w:line="27" w:lineRule="exact"/>
        <w:rPr>
          <w:sz w:val="24"/>
          <w:szCs w:val="24"/>
          <w:color w:val="auto"/>
        </w:rPr>
      </w:pPr>
    </w:p>
    <w:p>
      <w:pPr>
        <w:ind w:left="3694"/>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1" w:lineRule="exact"/>
        <w:rPr>
          <w:sz w:val="24"/>
          <w:szCs w:val="24"/>
          <w:color w:val="auto"/>
        </w:rPr>
      </w:pPr>
    </w:p>
    <w:p>
      <w:pPr>
        <w:ind w:left="234"/>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237"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p>
      <w:pPr>
        <w:ind w:left="23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16" w:lineRule="exact"/>
        <w:rPr>
          <w:sz w:val="24"/>
          <w:szCs w:val="24"/>
          <w:color w:val="auto"/>
        </w:rPr>
      </w:pPr>
    </w:p>
    <w:p>
      <w:pPr>
        <w:ind w:left="1834"/>
        <w:spacing w:after="0"/>
        <w:tabs>
          <w:tab w:leader="none" w:pos="5254" w:val="left"/>
          <w:tab w:leader="none" w:pos="7354"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34290</wp:posOffset>
            </wp:positionV>
            <wp:extent cx="6780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ectPr>
          <w:pgSz w:w="11900" w:h="16838" w:orient="portrait"/>
          <w:cols w:equalWidth="0" w:num="1">
            <w:col w:w="11014"/>
          </w:cols>
          <w:pgMar w:left="346" w:top="1143" w:right="539" w:bottom="1062" w:gutter="0" w:footer="0" w:header="0"/>
        </w:sectPr>
      </w:pPr>
    </w:p>
    <w:p>
      <w:pPr>
        <w:spacing w:after="0" w:line="81" w:lineRule="exact"/>
        <w:rPr>
          <w:sz w:val="24"/>
          <w:szCs w:val="24"/>
          <w:color w:val="auto"/>
        </w:rPr>
      </w:pPr>
    </w:p>
    <w:p>
      <w:pPr>
        <w:ind w:left="594"/>
        <w:spacing w:after="0"/>
        <w:rPr>
          <w:sz w:val="20"/>
          <w:szCs w:val="20"/>
          <w:color w:val="auto"/>
        </w:rPr>
      </w:pPr>
      <w:r>
        <w:rPr>
          <w:rFonts w:ascii="Arial" w:cs="Arial" w:eastAsia="Arial" w:hAnsi="Arial"/>
          <w:sz w:val="16"/>
          <w:szCs w:val="16"/>
          <w:color w:val="auto"/>
        </w:rPr>
        <w:t>Class A Common Stock, $0.0001 par value per share</w:t>
      </w:r>
    </w:p>
    <w:p>
      <w:pPr>
        <w:spacing w:after="0" w:line="86" w:lineRule="exact"/>
        <w:rPr>
          <w:sz w:val="24"/>
          <w:szCs w:val="24"/>
          <w:color w:val="auto"/>
        </w:rPr>
      </w:pPr>
    </w:p>
    <w:p>
      <w:pPr>
        <w:jc w:val="both"/>
        <w:ind w:left="254" w:right="500"/>
        <w:spacing w:after="0" w:line="263" w:lineRule="auto"/>
        <w:rPr>
          <w:sz w:val="20"/>
          <w:szCs w:val="20"/>
          <w:color w:val="auto"/>
        </w:rPr>
      </w:pPr>
      <w:r>
        <w:rPr>
          <w:rFonts w:ascii="Arial" w:cs="Arial" w:eastAsia="Arial" w:hAnsi="Arial"/>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Arial" w:cs="Arial" w:eastAsia="Arial" w:hAnsi="Arial"/>
          <w:sz w:val="16"/>
          <w:szCs w:val="16"/>
          <w:color w:val="auto"/>
        </w:rPr>
        <w:t>MAPS</w:t>
      </w:r>
      <w:r>
        <w:rPr>
          <w:sz w:val="20"/>
          <w:szCs w:val="20"/>
          <w:color w:val="auto"/>
        </w:rPr>
        <w:tab/>
      </w:r>
      <w:r>
        <w:rPr>
          <w:rFonts w:ascii="Arial" w:cs="Arial" w:eastAsia="Arial" w:hAnsi="Arial"/>
          <w:sz w:val="16"/>
          <w:szCs w:val="16"/>
          <w:color w:val="auto"/>
        </w:rPr>
        <w:t>The Nasdaq Global Select Market</w:t>
      </w:r>
    </w:p>
    <w:p>
      <w:pPr>
        <w:spacing w:after="0" w:line="86" w:lineRule="exact"/>
        <w:rPr>
          <w:sz w:val="24"/>
          <w:szCs w:val="24"/>
          <w:color w:val="auto"/>
        </w:rPr>
      </w:pPr>
    </w:p>
    <w:p>
      <w:pPr>
        <w:spacing w:after="0"/>
        <w:tabs>
          <w:tab w:leader="none" w:pos="1860" w:val="left"/>
        </w:tabs>
        <w:rPr>
          <w:sz w:val="20"/>
          <w:szCs w:val="20"/>
          <w:color w:val="auto"/>
        </w:rPr>
      </w:pPr>
      <w:r>
        <w:rPr>
          <w:rFonts w:ascii="Arial" w:cs="Arial" w:eastAsia="Arial" w:hAnsi="Arial"/>
          <w:sz w:val="16"/>
          <w:szCs w:val="16"/>
          <w:color w:val="auto"/>
        </w:rPr>
        <w:t>MAPSW</w:t>
      </w:r>
      <w:r>
        <w:rPr>
          <w:sz w:val="20"/>
          <w:szCs w:val="20"/>
          <w:color w:val="auto"/>
        </w:rPr>
        <w:tab/>
      </w:r>
      <w:r>
        <w:rPr>
          <w:rFonts w:ascii="Arial" w:cs="Arial" w:eastAsia="Arial" w:hAnsi="Arial"/>
          <w:sz w:val="16"/>
          <w:szCs w:val="16"/>
          <w:color w:val="auto"/>
        </w:rPr>
        <w:t>The Nasdaq Global Select Market</w:t>
      </w:r>
    </w:p>
    <w:p>
      <w:pPr>
        <w:spacing w:after="0" w:line="709" w:lineRule="exact"/>
        <w:rPr>
          <w:sz w:val="24"/>
          <w:szCs w:val="24"/>
          <w:color w:val="auto"/>
        </w:rPr>
      </w:pPr>
    </w:p>
    <w:p>
      <w:pPr>
        <w:sectPr>
          <w:pgSz w:w="11900" w:h="16838" w:orient="portrait"/>
          <w:cols w:equalWidth="0" w:num="2">
            <w:col w:w="4934" w:space="720"/>
            <w:col w:w="5360"/>
          </w:cols>
          <w:pgMar w:left="346" w:top="1143" w:right="539" w:bottom="1062" w:gutter="0" w:footer="0" w:header="0"/>
          <w:type w:val="continuous"/>
        </w:sectPr>
      </w:pPr>
    </w:p>
    <w:p>
      <w:pPr>
        <w:spacing w:after="0" w:line="267" w:lineRule="exact"/>
        <w:rPr>
          <w:sz w:val="24"/>
          <w:szCs w:val="24"/>
          <w:color w:val="auto"/>
        </w:rPr>
      </w:pPr>
    </w:p>
    <w:p>
      <w:pPr>
        <w:ind w:left="234"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881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left="234"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309245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43" w:right="539" w:bottom="1062"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7, 2022, WM Technology, Inc. (the "Company") announced its financial results for the third quarter ended September 30, 2022. The full text of the press release issued in connection with the announcement is furnished as Exhibit 99.1 to this Current Report on Form 8-K and is incorporated by reference.</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in Item 2.02 and in the accompanying Exhibit 99.1 is being furnished and shall not be deemed "filed" for purposes of Section 18 of the Securities Exchange Act of 1934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spacing w:after="0" w:line="210"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November 3, 2022, Chris Beals, the Company’s Chief Executive Officer and director, tendered his resignation from his role as Chief Executive Officer and from the Board of Directors, effective November 7, 2022.</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November 7, 2022, Mr. Beals and the Company entered into a Separation Agreement (the “Separation Agreement”), providing for the terms of Mr. Beals’ separation from employment with the Company. Under the Separation Agreement, the Company has agreed to provide Mr. Beals with the following separation payments and benefits in lieu of any payments or benefits he may otherwise have been entitled to under the terms of his employment agreement: severance equal to twelve months of base salary; one year of paid COBRA premiums (which cease in the event of new coverage with a subsequent employer); an additional severance payment equal to his 2022 target bonus; and vesting acceleration of 292,969 restricted stock units. The Separation Agreement contains a release of claims, subject to customary exceptions.</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description of the Separation Agreement does not purport to be complete and is qualified in its entirety by reference to the Separation Agreement, a copy of which will be filed with the Securities and Exchange Commission in the Company’s Annual Report on Form 10-K for the year ended December 31,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November 7, 2022, the Company announced Mr. Beals’ departure as the Company’s Chief Executive Officer and director. The full text of the press release issued in connection with the announcement is furnished as Exhibit 99.1 to this Current Report on Form 8-K.</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in Item 2.02 and in the accompanying Exhibit 99.1 is being furnished and shall not be deemed "filed" for purposes of Section 18 of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spacing w:after="0" w:line="21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240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42"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5"/>
          <w:szCs w:val="15"/>
          <w:u w:val="single" w:color="auto"/>
          <w:color w:val="0000FF"/>
        </w:rPr>
        <w:t>Press Release dated 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2022</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31750</wp:posOffset>
            </wp:positionV>
            <wp:extent cx="18859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Arden Lee</w:t>
      </w:r>
    </w:p>
    <w:p>
      <w:pPr>
        <w:spacing w:after="0" w:line="6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40" w:top="661"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WM Technology, Inc. Reports Third Quarter Results and Leadership Transition</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Announces Third Quarter 2022 Financial Results with Revenue of $50.5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Chris Beals steps down; Doug Francis, co-founder, Executive Chair, and former CEO to lead in the interim</w:t>
      </w:r>
    </w:p>
    <w:p>
      <w:pPr>
        <w:spacing w:after="0" w:line="200" w:lineRule="exact"/>
        <w:rPr>
          <w:sz w:val="20"/>
          <w:szCs w:val="20"/>
          <w:color w:val="auto"/>
        </w:rPr>
      </w:pPr>
    </w:p>
    <w:p>
      <w:pPr>
        <w:spacing w:after="0" w:line="27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Irvine, Calif. -- November 7, 2022 -- </w:t>
      </w:r>
      <w:r>
        <w:rPr>
          <w:rFonts w:ascii="Arial" w:cs="Arial" w:eastAsia="Arial" w:hAnsi="Arial"/>
          <w:sz w:val="18"/>
          <w:szCs w:val="18"/>
          <w:color w:val="auto"/>
        </w:rPr>
        <w:t>WM Technology, Inc. (“WM Technology” or the “Company”) (Nasdaq: MAPS), a leading technology and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infrastructure provider to the cannabis industry, today announced its financial results for the third quarter ended September 30, 2022 and a leadership transition to position the Company for its next phase of growth.</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2022 Financial Highlights</w:t>
      </w:r>
    </w:p>
    <w:p>
      <w:pPr>
        <w:spacing w:after="0" w:line="26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Revenue was $50.5 million as compared to $50.9 million in the third quarter of 2021.</w:t>
      </w:r>
    </w:p>
    <w:p>
      <w:pPr>
        <w:spacing w:after="0" w:line="88" w:lineRule="exact"/>
        <w:rPr>
          <w:rFonts w:ascii="Arial" w:cs="Arial" w:eastAsia="Arial" w:hAnsi="Arial"/>
          <w:sz w:val="22"/>
          <w:szCs w:val="22"/>
          <w:color w:val="auto"/>
        </w:rPr>
      </w:pPr>
    </w:p>
    <w:p>
      <w:pPr>
        <w:ind w:left="1300" w:hanging="320"/>
        <w:spacing w:after="0"/>
        <w:tabs>
          <w:tab w:leader="none" w:pos="1300" w:val="left"/>
        </w:tabs>
        <w:numPr>
          <w:ilvl w:val="1"/>
          <w:numId w:val="2"/>
        </w:numPr>
        <w:rPr>
          <w:rFonts w:ascii="Arial" w:cs="Arial" w:eastAsia="Arial" w:hAnsi="Arial"/>
          <w:sz w:val="22"/>
          <w:szCs w:val="22"/>
          <w:color w:val="auto"/>
        </w:rPr>
      </w:pPr>
      <w:r>
        <w:rPr>
          <w:rFonts w:ascii="Arial" w:cs="Arial" w:eastAsia="Arial" w:hAnsi="Arial"/>
          <w:sz w:val="18"/>
          <w:szCs w:val="18"/>
          <w:color w:val="auto"/>
        </w:rPr>
        <w:t>Average monthly paying clients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5,576, as compared to 4,444 from the prior year period.</w:t>
      </w:r>
    </w:p>
    <w:p>
      <w:pPr>
        <w:spacing w:after="0" w:line="46" w:lineRule="exact"/>
        <w:rPr>
          <w:rFonts w:ascii="Arial" w:cs="Arial" w:eastAsia="Arial" w:hAnsi="Arial"/>
          <w:sz w:val="22"/>
          <w:szCs w:val="22"/>
          <w:color w:val="auto"/>
        </w:rPr>
      </w:pPr>
    </w:p>
    <w:p>
      <w:pPr>
        <w:ind w:left="1300" w:hanging="320"/>
        <w:spacing w:after="0"/>
        <w:tabs>
          <w:tab w:leader="none" w:pos="1300" w:val="left"/>
        </w:tabs>
        <w:numPr>
          <w:ilvl w:val="1"/>
          <w:numId w:val="2"/>
        </w:numPr>
        <w:rPr>
          <w:rFonts w:ascii="Arial" w:cs="Arial" w:eastAsia="Arial" w:hAnsi="Arial"/>
          <w:sz w:val="22"/>
          <w:szCs w:val="22"/>
          <w:color w:val="auto"/>
        </w:rPr>
      </w:pPr>
      <w:r>
        <w:rPr>
          <w:rFonts w:ascii="Arial" w:cs="Arial" w:eastAsia="Arial" w:hAnsi="Arial"/>
          <w:sz w:val="18"/>
          <w:szCs w:val="18"/>
          <w:color w:val="auto"/>
        </w:rPr>
        <w:t>Average monthly revenue per paying client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was $3,019, as compared to $3,817 from the prior year period.</w:t>
      </w:r>
    </w:p>
    <w:p>
      <w:pPr>
        <w:spacing w:after="0" w:line="26"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was $10.5 million as compared to net income of $49.2 million from the prior year period.</w:t>
      </w:r>
    </w:p>
    <w:p>
      <w:pPr>
        <w:spacing w:after="0" w:line="41" w:lineRule="exact"/>
        <w:rPr>
          <w:rFonts w:ascii="Arial" w:cs="Arial" w:eastAsia="Arial" w:hAnsi="Arial"/>
          <w:sz w:val="18"/>
          <w:szCs w:val="18"/>
          <w:color w:val="auto"/>
        </w:rPr>
      </w:pPr>
    </w:p>
    <w:p>
      <w:pPr>
        <w:ind w:left="660" w:hanging="328"/>
        <w:spacing w:after="0" w:line="230" w:lineRule="auto"/>
        <w:tabs>
          <w:tab w:leader="none" w:pos="655"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was $(9.6) million as compared to $10.4 million from the prior year period. Prior to provision for doubtful accounts (non-cash), Adjusted EBITDA</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was $0.5 million</w:t>
      </w:r>
    </w:p>
    <w:p>
      <w:pPr>
        <w:ind w:left="660" w:hanging="328"/>
        <w:spacing w:after="0"/>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Basic and diluted net loss per share was $0.06 based on 89.6 million of Class A Common Stock weighted average shares outstanding.</w:t>
      </w:r>
    </w:p>
    <w:p>
      <w:pPr>
        <w:spacing w:after="0" w:line="58" w:lineRule="exact"/>
        <w:rPr>
          <w:rFonts w:ascii="Arial" w:cs="Arial" w:eastAsia="Arial" w:hAnsi="Arial"/>
          <w:sz w:val="17"/>
          <w:szCs w:val="17"/>
          <w:b w:val="1"/>
          <w:bCs w:val="1"/>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shares outstanding across Class A and Class V Common Stock were 146.4 million as of September 30, 2022.</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Cash totaled $34.2 million as of September 30, 2022, with no long-term debt.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GAAP to non-GAAP financial measures have been provided in the tables included in this release.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20"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Average monthly paying clients are defined as the average of the number of paying clients billed in a month across a particular period (and for which services were provided).</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Average monthly revenue per paying client is defined as the average monthly revenue for any particular period divided by the average monthly paying clients in the same respective period.</w:t>
      </w:r>
    </w:p>
    <w:p>
      <w:pPr>
        <w:spacing w:after="0" w:line="12" w:lineRule="exact"/>
        <w:rPr>
          <w:rFonts w:ascii="Arial" w:cs="Arial" w:eastAsia="Arial" w:hAnsi="Arial"/>
          <w:sz w:val="13"/>
          <w:szCs w:val="13"/>
          <w:color w:val="auto"/>
        </w:rPr>
      </w:pPr>
    </w:p>
    <w:p>
      <w:pPr>
        <w:jc w:val="both"/>
        <w:ind w:left="340" w:hanging="332"/>
        <w:spacing w:after="0" w:line="248" w:lineRule="auto"/>
        <w:tabs>
          <w:tab w:leader="none" w:pos="332"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further information about how we calculate EBITDA, Adjusted EBITDA, and Adjusted EBITDA before Provision for Doubtful Accounts as well as limitations of their use and a reconciliation of EBITDA, Adjusted EBITDA and Adjusted EBITDA before Provision for Doubtful Accounts to net (loss) income, see “Reconciliation of Net (Loss) Income to EBITDA, Adjusted EBITDA, and Adjusted EBITDA before Provision for Doubtful Accounts” below.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Transition</w:t>
      </w:r>
    </w:p>
    <w:p>
      <w:pPr>
        <w:spacing w:after="0" w:line="283" w:lineRule="exact"/>
        <w:rPr>
          <w:sz w:val="20"/>
          <w:szCs w:val="20"/>
          <w:color w:val="auto"/>
        </w:rPr>
      </w:pPr>
    </w:p>
    <w:p>
      <w:pPr>
        <w:spacing w:after="0" w:line="323" w:lineRule="auto"/>
        <w:rPr>
          <w:sz w:val="20"/>
          <w:szCs w:val="20"/>
          <w:color w:val="auto"/>
        </w:rPr>
      </w:pPr>
      <w:r>
        <w:rPr>
          <w:rFonts w:ascii="Arial" w:cs="Arial" w:eastAsia="Arial" w:hAnsi="Arial"/>
          <w:sz w:val="17"/>
          <w:szCs w:val="17"/>
          <w:color w:val="auto"/>
        </w:rPr>
        <w:t>The Company announced that Doug Francis, co-founder and Executive Chair, will be taking a more active role in leading the Company. Mr. Francis succeeds Chris Beals, who has decided to step down from his role as Chief Executive Officer and from the Board of Directors. Mr. Francis is the co-</w:t>
      </w:r>
    </w:p>
    <w:p>
      <w:pPr>
        <w:spacing w:after="0" w:line="277" w:lineRule="auto"/>
        <w:rPr>
          <w:sz w:val="20"/>
          <w:szCs w:val="20"/>
          <w:color w:val="auto"/>
        </w:rPr>
      </w:pPr>
      <w:r>
        <w:rPr>
          <w:rFonts w:ascii="Arial" w:cs="Arial" w:eastAsia="Arial" w:hAnsi="Arial"/>
          <w:sz w:val="18"/>
          <w:szCs w:val="18"/>
          <w:color w:val="auto"/>
        </w:rPr>
        <w:t>founder of WM Technology and the Executive Chair of the Board of Directors. He was previously CEO of the Company prior to Mr. Beals and has worked closely with the Company’s management team over the last quarter since being appointed as Executive Chair.</w:t>
      </w:r>
    </w:p>
    <w:p>
      <w:pPr>
        <w:spacing w:after="0" w:line="197"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“WM Technology has evolved significantly since Justin and I co-founded the Company 14 years ago as a marketplace connecting Cannabis consumers and businesses. Today, we have one of the most comprehensive technology platform</w:t>
      </w:r>
    </w:p>
    <w:p>
      <w:pPr>
        <w:sectPr>
          <w:pgSz w:w="11900" w:h="16838" w:orient="portrait"/>
          <w:cols w:equalWidth="0" w:num="1">
            <w:col w:w="11240"/>
          </w:cols>
          <w:pgMar w:left="320" w:top="1039" w:right="339" w:bottom="1440" w:gutter="0" w:footer="0" w:header="0"/>
        </w:sectPr>
      </w:pPr>
    </w:p>
    <w:bookmarkStart w:id="4" w:name="page5"/>
    <w:bookmarkEnd w:id="4"/>
    <w:p>
      <w:pPr>
        <w:jc w:val="both"/>
        <w:spacing w:after="0" w:line="334" w:lineRule="auto"/>
        <w:rPr>
          <w:sz w:val="20"/>
          <w:szCs w:val="20"/>
          <w:color w:val="auto"/>
        </w:rPr>
      </w:pPr>
      <w:r>
        <w:rPr>
          <w:rFonts w:ascii="Arial" w:cs="Arial" w:eastAsia="Arial" w:hAnsi="Arial"/>
          <w:sz w:val="16"/>
          <w:szCs w:val="16"/>
          <w:color w:val="auto"/>
        </w:rPr>
        <w:t>powering the industry with a data advantage that we believe is unparalleled,” said Mr. Francis. “While end-market conditions have been challenging, we can be executing at a higher level by getting more focused and streamlined. We have significant opportunities to expand our moats and build the future rails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Cannabis industry while working to get back to our operating culture of driving profitable growth and cashflow. I look forward to working closely with our management team.”</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“As the Company’s co-founder and former CEO as well as a pioneer in the Cannabis industry, Doug has the expertise and acumen to lead WM Technology as we conduct a search for the Company’s next CEO,” said Brenda Freeman, Lead Independent Director of the Board. “On behalf of the Board, we wanted</w:t>
      </w:r>
    </w:p>
    <w:p>
      <w:pPr>
        <w:jc w:val="both"/>
        <w:spacing w:after="0" w:line="359" w:lineRule="auto"/>
        <w:rPr>
          <w:sz w:val="20"/>
          <w:szCs w:val="20"/>
          <w:color w:val="auto"/>
        </w:rPr>
      </w:pPr>
      <w:r>
        <w:rPr>
          <w:rFonts w:ascii="Arial" w:cs="Arial" w:eastAsia="Arial" w:hAnsi="Arial"/>
          <w:sz w:val="16"/>
          <w:szCs w:val="16"/>
          <w:color w:val="auto"/>
        </w:rPr>
        <w:t>to thank Chris for his service-to-date. The Board, Doug and WM Technology’s management team are committed to ensuring a successful transition, and we are fortunate to have a leader of Doug’s caliber to help ensure WM Technology continues executing its strategy and creating value for our shareholders.”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2022 Business Outlook</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business trends and conditions, we expect our revenue for the second half will be closer to the wide end of our guidance, which implies a</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year-over-year decline in the low double digit percentage area for fourth quarter revenue. We expect fourth quarter Adjusted EBITDA will be further impacted by provision for doubtful accounts, which we expect will remain elevated in the fourth quarter based on aging of our receivables though significantly lower than the third quarter.</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guidance provided above is only an estimate of what we believe is realizable as of the date of this release. This guidance assumes that no business acquisitions, investments, restructurings, or legal settlements are concluded in the quarter. Our results are based on assumptions that we believe to be reasonable as of this date, but may be materially affected by many factors, as discussed below in “Forward-Looking Statements.” Actual results may vary from the guidance and the variations may be material. We undertake no intent or obligation to publicly update or revise any of these projections, whether as a result of new information, future events or otherwise, except as required by law.</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will host a conference call and webcast today, Monday, November 7, 2022, at 2:00 p.m. Pacific Time (5:00 p.m. Eastern Time). Participants may register for the call at https://edge.media-server.com/mmc/p/qp839exf. A live webcast of the call will also be available on the WM Technology investor relations website at ir.weedmaps.com.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Presentation Details</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presentation with information on our Third Quarter 2022 earnings results can be found at ir.weedmaps.com at 2:00 p.m. Pacific Time (5:00 p.m. Eastern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WM Technology</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Founded in 2008, WM Technology operates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14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WM Technology holds a strong belief in the power of cannabis and the importance of enabling safe, legal access to consumers worldwide. Since inception, WM Technology has worked tirelessly, not only to become the most comprehensive platform for consumers, but to build the software solutions that power businesses compliantly in the space, to advocate for legalization, social equity, and licensing in many jurisdictions, and to facilitate further learning through partnering with subject matter experts on providing detailed, accurate information about the plant.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Headquartered in Irvine, California, WM Technology supports remote work for all eligible employees. Visit us at www.weedmaps.com.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4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press release includes “forward-looking statements” regarding our future business expectations which involve risks and uncertainties.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and projections of market opportunity and market share.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the Company’s financial and business performance, including key business metrics and any underlying assumptions thereunder; market opportunity and the Company’s ability to acquire new customers and retain existing customers; expectations and timing related to commercial product launches; success of the Company’s go-to-market strategy; ability to scale its business and expand its offerings; the Company’s competitive advantages and growth strategies; the Company’s future capital requirements and sources and uses of cash; the Company’s ability to obtain funding for our future operations; the outcome of any known and unknown litigation and regulatory proceedings; changes in domestic and foreign business, market, financial, political and legal conditions; risks relating to the uncertainty of the projected financial information with respect to the Company; future global, regional or local economic and market conditions affecting the cannabis industry; the development, effects and enforcement of and changes to laws and regulations, including with respect to the cannabis industry; the Company’s ability to successfully capitalize on new and existing cannabis markets, including its ability to successfully monetize its solutions in those markets; the Company’s ability to manage future growth; the Company’s ability to develop new products and solutions, bring them to market in a timely manner, and make enhancements to its platform and the Company’s ability to maintain and grow its two-sided digital network, including its ability to acquire and retain paying customers; the effects of competition on the Company’s future business; the Company’s success in retaining or recruiting, or changes required in, officers, key employees or directors, including the CEO transition; the possibility that we may be adversely affected by other economic, business or competitive factors; the possibility that the Company may be adversely affected by other economic, business or competitive and those factors discussed in the Company’s 2021 Annual Report on Form 10-K filed with Securities and Exchange Commission (the “SEC”) and subsequent Form 10-Qs or Form 8-Ks filed with the SEC.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 looking statements.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subsequent to the date of this press release. Accordingly, undue reliance should not be placed upon the forward-looking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financial statements, including net income (loss), are prepared in accordance with principles generally accepted in the United States of America (“GAAP”).</w:t>
      </w:r>
    </w:p>
    <w:p>
      <w:pPr>
        <w:spacing w:after="0" w:line="6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EBITDA, Adjusted EBITDA, and Adjusted EBITDA before Provision for Doubtful Accounts, all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bonuses, transaction costs, legal settlements and other non-cash, unusual and/or infrequent costs in the case of Adjusted EBITDA. Adjusted EBITDA is further adjusted to exclude provision for doubtful accounts for the case of Adjusted EBITDA before Provision for Doubtful Accounts. Below we have provided a reconciliation of net (loss) income (the most directly comparable GAAP financial measure) to EBITDA; from EBITDA to Adjusted EBITDA; and from Adjusted EBITDA to Adjusted EBITDA before Provision for Doubtful Accounts</w:t>
      </w:r>
    </w:p>
    <w:p>
      <w:pPr>
        <w:spacing w:after="0" w:line="6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present EBITDA, Adjusted EBITDA, and Adjusted EBITDA before Provision for Doubtful Accounts because these metrics are a key measure used by our management to evaluate our operating performance, generate future operating plans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90" w:right="339" w:bottom="1440" w:gutter="0" w:footer="0" w:header="0"/>
        </w:sectPr>
      </w:pPr>
    </w:p>
    <w:bookmarkStart w:id="6" w:name="page7"/>
    <w:bookmarkEnd w:id="6"/>
    <w:p>
      <w:pPr>
        <w:jc w:val="both"/>
        <w:spacing w:after="0" w:line="263" w:lineRule="auto"/>
        <w:rPr>
          <w:sz w:val="20"/>
          <w:szCs w:val="20"/>
          <w:color w:val="auto"/>
        </w:rPr>
      </w:pPr>
      <w:r>
        <w:rPr>
          <w:rFonts w:ascii="Arial" w:cs="Arial" w:eastAsia="Arial" w:hAnsi="Arial"/>
          <w:sz w:val="18"/>
          <w:szCs w:val="18"/>
          <w:color w:val="auto"/>
        </w:rPr>
        <w:t>make strategic decisions regarding the allocation of investment capacity. Accordingly, we believe that EBITDA, Adjusted EBITDA and Adjusted EBITDA before Provision for Doubtful Accounts provide useful information to investors and others in understanding and evaluating our operating results in the same manner as our management.</w:t>
      </w:r>
    </w:p>
    <w:p>
      <w:pPr>
        <w:spacing w:after="0" w:line="76"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EBITDA, Adjusted EBITDA and Adjusted EBITDA before Provision for Doubtful Accounts have limitations as an analytical tool, and you should not consider it in isolation or as a substitute for analysis of our results as reported under GAAP. Some of these limitations are as follows:</w:t>
      </w:r>
    </w:p>
    <w:p>
      <w:pPr>
        <w:spacing w:after="0" w:line="38" w:lineRule="exact"/>
        <w:rPr>
          <w:sz w:val="20"/>
          <w:szCs w:val="20"/>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EBITDA, Adjusted EBITDA and Adjusted EBITDA before Provision for Doubtful Accounts do not reflect cash capital expenditure requirements for such replacements or for new capital expenditure requirements;</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EBITDA, Adjusted EBITDA and Adjusted EBITDA before Provision for Doubtful Accounts do not reflect changes in, or cash requirements for, our working capital needs;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EBITDA, Adjusted EBITDA, and Adjusted EBITDA before Provision for Doubtful Accounts do not reflect tax payments that may represent a reduction in cash available to us.</w:t>
      </w:r>
    </w:p>
    <w:p>
      <w:pPr>
        <w:spacing w:after="0" w:line="6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Because of these limitations, you should consider EBITDA, Adjusted EBITDA and Adjusted EBITDA before Provision for Doubtful Accounts alongside other financial performance measures, including net income (loss) and our other GAAP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Key Operating and Financial Metrics</w:t>
      </w:r>
    </w:p>
    <w:p>
      <w:pPr>
        <w:spacing w:after="0" w:line="266" w:lineRule="exact"/>
        <w:rPr>
          <w:sz w:val="20"/>
          <w:szCs w:val="20"/>
          <w:color w:val="auto"/>
        </w:rPr>
      </w:pPr>
    </w:p>
    <w:p>
      <w:pPr>
        <w:jc w:val="both"/>
        <w:ind w:left="660" w:hanging="328"/>
        <w:spacing w:after="0" w:line="231"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b w:val="1"/>
          <w:bCs w:val="1"/>
          <w:color w:val="auto"/>
        </w:rPr>
        <w:t>Average Monthly Revenue Per Paying Client</w:t>
      </w:r>
      <w:r>
        <w:rPr>
          <w:rFonts w:ascii="Arial" w:cs="Arial" w:eastAsia="Arial" w:hAnsi="Arial"/>
          <w:sz w:val="18"/>
          <w:szCs w:val="18"/>
          <w:color w:val="auto"/>
        </w:rPr>
        <w:t>: Average monthly revenue per paying client measures how much clients, for the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The calculation of monthly revenue includes revenue from any clients that cease to be paying clients during the applicable month.</w:t>
      </w:r>
    </w:p>
    <w:p>
      <w:pPr>
        <w:spacing w:after="0" w:line="255"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b w:val="1"/>
          <w:bCs w:val="1"/>
          <w:color w:val="auto"/>
        </w:rPr>
        <w:t>Average Monthly Paying Clients</w:t>
      </w:r>
      <w:r>
        <w:rPr>
          <w:rFonts w:ascii="Arial" w:cs="Arial" w:eastAsia="Arial" w:hAnsi="Arial"/>
          <w:sz w:val="18"/>
          <w:szCs w:val="18"/>
          <w:color w:val="auto"/>
        </w:rPr>
        <w:t>: We define average monthly paying clients as the monthly average of clients billed each month over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period (and for which services were provided).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51" w:right="339" w:bottom="1440" w:gutter="0" w:footer="0" w:header="0"/>
        </w:sectPr>
      </w:pPr>
    </w:p>
    <w:bookmarkStart w:id="7" w:name="page8"/>
    <w:bookmarkEnd w:id="7"/>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c>
          <w:tcPr>
            <w:tcW w:w="0" w:type="dxa"/>
            <w:vAlign w:val="bottom"/>
          </w:tcPr>
          <w:p>
            <w:pPr>
              <w:spacing w:after="0"/>
              <w:rPr>
                <w:sz w:val="1"/>
                <w:szCs w:val="1"/>
                <w:color w:val="auto"/>
              </w:rPr>
            </w:pPr>
          </w:p>
        </w:tc>
      </w:tr>
      <w:tr>
        <w:trPr>
          <w:trHeight w:val="209"/>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67,777</w:t>
            </w:r>
          </w:p>
        </w:tc>
        <w:tc>
          <w:tcPr>
            <w:tcW w:w="0" w:type="dxa"/>
            <w:vAlign w:val="bottom"/>
          </w:tcPr>
          <w:p>
            <w:pPr>
              <w:spacing w:after="0"/>
              <w:rPr>
                <w:sz w:val="1"/>
                <w:szCs w:val="1"/>
                <w:color w:val="auto"/>
              </w:rPr>
            </w:pPr>
          </w:p>
        </w:tc>
      </w:tr>
      <w:tr>
        <w:trPr>
          <w:trHeight w:val="229"/>
        </w:trPr>
        <w:tc>
          <w:tcPr>
            <w:tcW w:w="724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16,642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17,550</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62,013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98,934</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13,283</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67,156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45,295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32,634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36,549</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152,097</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10,687</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393,935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365,144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24,225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23,155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w:t>
            </w: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Arial" w:cs="Arial" w:eastAsia="Arial" w:hAnsi="Arial"/>
                <w:sz w:val="18"/>
                <w:szCs w:val="18"/>
                <w:color w:val="auto"/>
              </w:rPr>
              <w:t>Operating lease liabilities, current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6,105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37,076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37,800</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39,377</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Tax Receivable Agreement liability</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142,892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128,567</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27,460</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233,204</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Preferred Stock - $0.0001 par value; 75,000,000 shares authorized; no shares issued and</w:t>
            </w:r>
          </w:p>
        </w:tc>
        <w:tc>
          <w:tcPr>
            <w:tcW w:w="1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at September 30, 2022 and December 31, 2021</w:t>
            </w: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240" w:type="dxa"/>
            <w:vAlign w:val="bottom"/>
          </w:tcPr>
          <w:p>
            <w:pPr>
              <w:ind w:left="180"/>
              <w:spacing w:after="0" w:line="176" w:lineRule="exact"/>
              <w:rPr>
                <w:sz w:val="20"/>
                <w:szCs w:val="20"/>
                <w:color w:val="auto"/>
              </w:rPr>
            </w:pPr>
            <w:r>
              <w:rPr>
                <w:rFonts w:ascii="Arial" w:cs="Arial" w:eastAsia="Arial" w:hAnsi="Arial"/>
                <w:sz w:val="18"/>
                <w:szCs w:val="18"/>
                <w:color w:val="auto"/>
                <w:w w:val="97"/>
              </w:rPr>
              <w:t>Class A Common Stock - $0.0001 par value; 1,500,000,000 shares authorized; 90,372,205</w:t>
            </w: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240" w:type="dxa"/>
            <w:vAlign w:val="bottom"/>
          </w:tcPr>
          <w:p>
            <w:pPr>
              <w:ind w:left="360"/>
              <w:spacing w:after="0" w:line="189" w:lineRule="exact"/>
              <w:rPr>
                <w:sz w:val="20"/>
                <w:szCs w:val="20"/>
                <w:color w:val="auto"/>
              </w:rPr>
            </w:pPr>
            <w:r>
              <w:rPr>
                <w:rFonts w:ascii="Arial" w:cs="Arial" w:eastAsia="Arial" w:hAnsi="Arial"/>
                <w:sz w:val="18"/>
                <w:szCs w:val="18"/>
                <w:color w:val="auto"/>
                <w:w w:val="96"/>
              </w:rPr>
              <w:t>shares issued and outstanding at September 30, 2022 and 65,677,361 shares issued and</w:t>
            </w:r>
          </w:p>
        </w:tc>
        <w:tc>
          <w:tcPr>
            <w:tcW w:w="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360"/>
              <w:spacing w:after="0"/>
              <w:rPr>
                <w:sz w:val="20"/>
                <w:szCs w:val="20"/>
                <w:color w:val="auto"/>
              </w:rPr>
            </w:pPr>
            <w:r>
              <w:rPr>
                <w:rFonts w:ascii="Arial" w:cs="Arial" w:eastAsia="Arial" w:hAnsi="Arial"/>
                <w:sz w:val="18"/>
                <w:szCs w:val="18"/>
                <w:color w:val="auto"/>
              </w:rPr>
              <w:t>outstanding at December 31, 2021</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75"/>
        </w:trPr>
        <w:tc>
          <w:tcPr>
            <w:tcW w:w="72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Class V Common Stock - $0.0001 par value; 500,000,000 shares authorized, 56,066,624 shares</w:t>
            </w:r>
          </w:p>
        </w:tc>
        <w:tc>
          <w:tcPr>
            <w:tcW w:w="1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24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1"/>
              </w:rPr>
              <w:t>issued and outstanding at September 30, 2022 and 65,502,347 shares issued and outstanding</w:t>
            </w:r>
          </w:p>
        </w:tc>
        <w:tc>
          <w:tcPr>
            <w:tcW w:w="16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December 31, 2021</w:t>
            </w: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61,375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61,369</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WM Technology, Inc. stockholders’ equity</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115,393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63,556</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68,384</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131,940</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393,935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365,144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7"/>
                <w:szCs w:val="17"/>
                <w:color w:val="auto"/>
              </w:rPr>
            </w:pPr>
          </w:p>
        </w:tc>
        <w:tc>
          <w:tcPr>
            <w:tcW w:w="21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6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21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227"/>
        </w:trPr>
        <w:tc>
          <w:tcPr>
            <w:tcW w:w="64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138,969</w:t>
            </w:r>
          </w:p>
        </w:tc>
      </w:tr>
      <w:tr>
        <w:trPr>
          <w:trHeight w:val="257"/>
        </w:trPr>
        <w:tc>
          <w:tcPr>
            <w:tcW w:w="6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420" w:type="dxa"/>
            <w:vAlign w:val="bottom"/>
          </w:tcPr>
          <w:p>
            <w:pPr>
              <w:ind w:left="140"/>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5,800</w:t>
            </w:r>
          </w:p>
        </w:tc>
      </w:tr>
      <w:tr>
        <w:trPr>
          <w:trHeight w:val="229"/>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37,194</w:t>
            </w:r>
          </w:p>
        </w:tc>
      </w:tr>
      <w:tr>
        <w:trPr>
          <w:trHeight w:val="229"/>
        </w:trPr>
        <w:tc>
          <w:tcPr>
            <w:tcW w:w="6420" w:type="dxa"/>
            <w:vAlign w:val="bottom"/>
          </w:tcPr>
          <w:p>
            <w:pPr>
              <w:ind w:left="140"/>
              <w:spacing w:after="0"/>
              <w:rPr>
                <w:sz w:val="20"/>
                <w:szCs w:val="20"/>
                <w:color w:val="auto"/>
              </w:rPr>
            </w:pPr>
            <w:r>
              <w:rPr>
                <w:rFonts w:ascii="Arial" w:cs="Arial" w:eastAsia="Arial" w:hAnsi="Arial"/>
                <w:sz w:val="18"/>
                <w:szCs w:val="18"/>
                <w:color w:val="auto"/>
              </w:rPr>
              <w:t>Product development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25,921</w:t>
            </w:r>
          </w:p>
        </w:tc>
      </w:tr>
      <w:tr>
        <w:trPr>
          <w:trHeight w:val="230"/>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70,356</w:t>
            </w:r>
          </w:p>
        </w:tc>
      </w:tr>
      <w:tr>
        <w:trPr>
          <w:trHeight w:val="229"/>
        </w:trPr>
        <w:tc>
          <w:tcPr>
            <w:tcW w:w="6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w:t>
            </w:r>
          </w:p>
        </w:tc>
      </w:tr>
      <w:tr>
        <w:trPr>
          <w:trHeight w:val="223"/>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70,145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213,169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142,241</w:t>
            </w: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(46,923)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(3,272)</w:t>
            </w: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6420" w:type="dxa"/>
            <w:vAlign w:val="bottom"/>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83,628</w:t>
            </w:r>
          </w:p>
        </w:tc>
      </w:tr>
      <w:tr>
        <w:trPr>
          <w:trHeight w:val="229"/>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net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(6,341)</w:t>
            </w:r>
          </w:p>
        </w:tc>
      </w:tr>
      <w:tr>
        <w:trPr>
          <w:trHeight w:val="223"/>
        </w:trPr>
        <w:tc>
          <w:tcPr>
            <w:tcW w:w="6420" w:type="dxa"/>
            <w:vAlign w:val="bottom"/>
          </w:tcPr>
          <w:p>
            <w:pPr>
              <w:ind w:left="240"/>
              <w:spacing w:after="0"/>
              <w:rPr>
                <w:sz w:val="20"/>
                <w:szCs w:val="20"/>
                <w:color w:val="auto"/>
              </w:rPr>
            </w:pPr>
            <w:r>
              <w:rPr>
                <w:rFonts w:ascii="Arial" w:cs="Arial" w:eastAsia="Arial" w:hAnsi="Arial"/>
                <w:sz w:val="18"/>
                <w:szCs w:val="18"/>
                <w:color w:val="auto"/>
              </w:rPr>
              <w:t>(Loss) income before income taxes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49,598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74,015</w:t>
            </w:r>
          </w:p>
        </w:tc>
      </w:tr>
      <w:tr>
        <w:trPr>
          <w:trHeight w:val="230"/>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from) 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3"/>
        </w:trPr>
        <w:tc>
          <w:tcPr>
            <w:tcW w:w="6420" w:type="dxa"/>
            <w:vAlign w:val="bottom"/>
          </w:tcPr>
          <w:p>
            <w:pPr>
              <w:ind w:left="240"/>
              <w:spacing w:after="0"/>
              <w:rPr>
                <w:sz w:val="20"/>
                <w:szCs w:val="20"/>
                <w:color w:val="auto"/>
              </w:rPr>
            </w:pPr>
            <w:r>
              <w:rPr>
                <w:rFonts w:ascii="Arial" w:cs="Arial" w:eastAsia="Arial" w:hAnsi="Arial"/>
                <w:sz w:val="18"/>
                <w:szCs w:val="18"/>
                <w:color w:val="auto"/>
              </w:rPr>
              <w:t>Net (loss) income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49,205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73,773</w:t>
            </w:r>
          </w:p>
        </w:tc>
      </w:tr>
      <w:tr>
        <w:trPr>
          <w:trHeight w:val="230"/>
        </w:trPr>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income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48,675</w:t>
            </w:r>
          </w:p>
        </w:tc>
      </w:tr>
      <w:tr>
        <w:trPr>
          <w:trHeight w:val="223"/>
        </w:trPr>
        <w:tc>
          <w:tcPr>
            <w:tcW w:w="6420" w:type="dxa"/>
            <w:vAlign w:val="bottom"/>
          </w:tcPr>
          <w:p>
            <w:pPr>
              <w:ind w:left="240"/>
              <w:spacing w:after="0"/>
              <w:rPr>
                <w:sz w:val="20"/>
                <w:szCs w:val="20"/>
                <w:color w:val="auto"/>
              </w:rPr>
            </w:pPr>
            <w:r>
              <w:rPr>
                <w:rFonts w:ascii="Arial" w:cs="Arial" w:eastAsia="Arial" w:hAnsi="Arial"/>
                <w:sz w:val="18"/>
                <w:szCs w:val="18"/>
                <w:color w:val="auto"/>
              </w:rPr>
              <w:t>Net (loss) income attributable to WM Technology, Inc.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25,098</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6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(loss) income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r>
      <w:tr>
        <w:trPr>
          <w:trHeight w:val="229"/>
        </w:trPr>
        <w:tc>
          <w:tcPr>
            <w:tcW w:w="6420" w:type="dxa"/>
            <w:vAlign w:val="bottom"/>
          </w:tcPr>
          <w:p>
            <w:pPr>
              <w:ind w:left="140"/>
              <w:spacing w:after="0"/>
              <w:rPr>
                <w:sz w:val="20"/>
                <w:szCs w:val="20"/>
                <w:color w:val="auto"/>
              </w:rPr>
            </w:pPr>
            <w:r>
              <w:rPr>
                <w:rFonts w:ascii="Arial" w:cs="Arial" w:eastAsia="Arial" w:hAnsi="Arial"/>
                <w:sz w:val="18"/>
                <w:szCs w:val="18"/>
                <w:color w:val="auto"/>
              </w:rPr>
              <w:t>Diluted (loss) income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57"/>
        </w:trPr>
        <w:tc>
          <w:tcPr>
            <w:tcW w:w="64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basic shares outstanding</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89,552,914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64,216,732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82,872,137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64,149,699</w:t>
            </w:r>
          </w:p>
        </w:tc>
      </w:tr>
      <w:tr>
        <w:trPr>
          <w:trHeight w:val="230"/>
        </w:trPr>
        <w:tc>
          <w:tcPr>
            <w:tcW w:w="6420" w:type="dxa"/>
            <w:vAlign w:val="bottom"/>
          </w:tcPr>
          <w:p>
            <w:pPr>
              <w:ind w:left="140"/>
              <w:spacing w:after="0"/>
              <w:rPr>
                <w:sz w:val="20"/>
                <w:szCs w:val="20"/>
                <w:color w:val="auto"/>
              </w:rPr>
            </w:pPr>
            <w:r>
              <w:rPr>
                <w:rFonts w:ascii="Arial" w:cs="Arial" w:eastAsia="Arial" w:hAnsi="Arial"/>
                <w:sz w:val="18"/>
                <w:szCs w:val="18"/>
                <w:color w:val="auto"/>
              </w:rPr>
              <w:t>Weighted average diluted shares outstanding</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89,552,914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68,304,372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82,872,137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69,950,141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-3909060</wp:posOffset>
            </wp:positionV>
            <wp:extent cx="603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350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77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r>
      <w:tr>
        <w:trPr>
          <w:trHeight w:val="20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(21,849)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73,773</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7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2,970</w:t>
            </w:r>
          </w:p>
        </w:tc>
      </w:tr>
      <w:tr>
        <w:trPr>
          <w:trHeight w:val="229"/>
        </w:trPr>
        <w:tc>
          <w:tcPr>
            <w:tcW w:w="7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of warrant liability</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(20,605)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(83,628)</w:t>
            </w:r>
          </w:p>
        </w:tc>
      </w:tr>
      <w:tr>
        <w:trPr>
          <w:trHeight w:val="230"/>
        </w:trPr>
        <w:tc>
          <w:tcPr>
            <w:tcW w:w="7740" w:type="dxa"/>
            <w:vAlign w:val="bottom"/>
          </w:tcPr>
          <w:p>
            <w:pPr>
              <w:ind w:left="240"/>
              <w:spacing w:after="0"/>
              <w:rPr>
                <w:sz w:val="20"/>
                <w:szCs w:val="20"/>
                <w:color w:val="auto"/>
              </w:rPr>
            </w:pPr>
            <w:r>
              <w:rPr>
                <w:rFonts w:ascii="Arial" w:cs="Arial" w:eastAsia="Arial" w:hAnsi="Arial"/>
                <w:sz w:val="18"/>
                <w:szCs w:val="18"/>
                <w:color w:val="auto"/>
              </w:rPr>
              <w:t>Impairment loss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2,372</w:t>
            </w:r>
          </w:p>
        </w:tc>
      </w:tr>
      <w:tr>
        <w:trPr>
          <w:trHeight w:val="229"/>
        </w:trPr>
        <w:tc>
          <w:tcPr>
            <w:tcW w:w="7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23,625</w:t>
            </w:r>
          </w:p>
        </w:tc>
      </w:tr>
      <w:tr>
        <w:trPr>
          <w:trHeight w:val="230"/>
        </w:trPr>
        <w:tc>
          <w:tcPr>
            <w:tcW w:w="774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doubtful accounts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(13,125)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w:t>
            </w:r>
          </w:p>
        </w:tc>
      </w:tr>
      <w:tr>
        <w:trPr>
          <w:trHeight w:val="229"/>
        </w:trPr>
        <w:tc>
          <w:tcPr>
            <w:tcW w:w="774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7,228</w:t>
            </w:r>
          </w:p>
        </w:tc>
      </w:tr>
      <w:tr>
        <w:trPr>
          <w:trHeight w:val="229"/>
        </w:trPr>
        <w:tc>
          <w:tcPr>
            <w:tcW w:w="7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774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3,313</w:t>
            </w:r>
          </w:p>
        </w:tc>
      </w:tr>
      <w:tr>
        <w:trPr>
          <w:trHeight w:val="229"/>
        </w:trPr>
        <w:tc>
          <w:tcPr>
            <w:tcW w:w="7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r>
      <w:tr>
        <w:trPr>
          <w:trHeight w:val="223"/>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(10,466)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28,880</w:t>
            </w:r>
          </w:p>
        </w:tc>
      </w:tr>
      <w:tr>
        <w:trPr>
          <w:trHeight w:val="236"/>
        </w:trPr>
        <w:tc>
          <w:tcPr>
            <w:tcW w:w="77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Purchases of property and equipment</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(13,135)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w:t>
            </w:r>
          </w:p>
        </w:tc>
      </w:tr>
      <w:tr>
        <w:trPr>
          <w:trHeight w:val="229"/>
        </w:trPr>
        <w:tc>
          <w:tcPr>
            <w:tcW w:w="7740" w:type="dxa"/>
            <w:vAlign w:val="bottom"/>
          </w:tcPr>
          <w:p>
            <w:pPr>
              <w:ind w:left="240"/>
              <w:spacing w:after="0"/>
              <w:rPr>
                <w:sz w:val="20"/>
                <w:szCs w:val="20"/>
                <w:color w:val="auto"/>
              </w:rPr>
            </w:pPr>
            <w:r>
              <w:rPr>
                <w:rFonts w:ascii="Arial" w:cs="Arial" w:eastAsia="Arial" w:hAnsi="Arial"/>
                <w:sz w:val="18"/>
                <w:szCs w:val="18"/>
                <w:color w:val="auto"/>
              </w:rPr>
              <w:t>Cash paid for acquisitions, net of cash acquired</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(16,000)</w:t>
            </w:r>
          </w:p>
        </w:tc>
      </w:tr>
      <w:tr>
        <w:trPr>
          <w:trHeight w:val="230"/>
        </w:trPr>
        <w:tc>
          <w:tcPr>
            <w:tcW w:w="7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paid for acquisition holdback release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40" w:type="dxa"/>
            <w:vAlign w:val="bottom"/>
          </w:tcPr>
          <w:p>
            <w:pPr>
              <w:ind w:left="240"/>
              <w:spacing w:after="0"/>
              <w:rPr>
                <w:sz w:val="20"/>
                <w:szCs w:val="20"/>
                <w:color w:val="auto"/>
              </w:rPr>
            </w:pPr>
            <w:r>
              <w:rPr>
                <w:rFonts w:ascii="Arial" w:cs="Arial" w:eastAsia="Arial" w:hAnsi="Arial"/>
                <w:sz w:val="18"/>
                <w:szCs w:val="18"/>
                <w:color w:val="auto"/>
              </w:rPr>
              <w:t>Cash paid for other investments</w:t>
            </w:r>
          </w:p>
        </w:tc>
        <w:tc>
          <w:tcPr>
            <w:tcW w:w="10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23"/>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(14,848)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(23,246)</w:t>
            </w:r>
          </w:p>
        </w:tc>
      </w:tr>
      <w:tr>
        <w:trPr>
          <w:trHeight w:val="237"/>
        </w:trPr>
        <w:tc>
          <w:tcPr>
            <w:tcW w:w="7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740" w:type="dxa"/>
            <w:vAlign w:val="bottom"/>
          </w:tcPr>
          <w:p>
            <w:pPr>
              <w:ind w:left="240"/>
              <w:spacing w:after="0"/>
              <w:rPr>
                <w:sz w:val="20"/>
                <w:szCs w:val="20"/>
                <w:color w:val="auto"/>
              </w:rPr>
            </w:pPr>
            <w:r>
              <w:rPr>
                <w:rFonts w:ascii="Arial" w:cs="Arial" w:eastAsia="Arial" w:hAnsi="Arial"/>
                <w:sz w:val="18"/>
                <w:szCs w:val="18"/>
                <w:color w:val="auto"/>
              </w:rPr>
              <w:t>Taxes paid related to net share settlement of equity awards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the Business Combination</w:t>
            </w:r>
          </w:p>
        </w:tc>
        <w:tc>
          <w:tcPr>
            <w:tcW w:w="10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79,969</w:t>
            </w:r>
          </w:p>
        </w:tc>
      </w:tr>
      <w:tr>
        <w:trPr>
          <w:trHeight w:val="230"/>
        </w:trPr>
        <w:tc>
          <w:tcPr>
            <w:tcW w:w="7740" w:type="dxa"/>
            <w:vAlign w:val="bottom"/>
          </w:tcPr>
          <w:p>
            <w:pPr>
              <w:ind w:left="240"/>
              <w:spacing w:after="0"/>
              <w:rPr>
                <w:sz w:val="20"/>
                <w:szCs w:val="20"/>
                <w:color w:val="auto"/>
              </w:rPr>
            </w:pPr>
            <w:r>
              <w:rPr>
                <w:rFonts w:ascii="Arial" w:cs="Arial" w:eastAsia="Arial" w:hAnsi="Arial"/>
                <w:sz w:val="18"/>
                <w:szCs w:val="18"/>
                <w:color w:val="auto"/>
              </w:rPr>
              <w:t>Repayment of note payable</w:t>
            </w:r>
          </w:p>
        </w:tc>
        <w:tc>
          <w:tcPr>
            <w:tcW w:w="10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7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Distributions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(18,110)</w:t>
            </w:r>
          </w:p>
        </w:tc>
      </w:tr>
      <w:tr>
        <w:trPr>
          <w:trHeight w:val="230"/>
        </w:trPr>
        <w:tc>
          <w:tcPr>
            <w:tcW w:w="7740" w:type="dxa"/>
            <w:vAlign w:val="bottom"/>
          </w:tcPr>
          <w:p>
            <w:pPr>
              <w:ind w:left="240"/>
              <w:spacing w:after="0"/>
              <w:rPr>
                <w:sz w:val="20"/>
                <w:szCs w:val="20"/>
                <w:color w:val="auto"/>
              </w:rPr>
            </w:pPr>
            <w:r>
              <w:rPr>
                <w:rFonts w:ascii="Arial" w:cs="Arial" w:eastAsia="Arial" w:hAnsi="Arial"/>
                <w:sz w:val="18"/>
                <w:szCs w:val="18"/>
                <w:color w:val="auto"/>
              </w:rPr>
              <w:t>Repurchase of Class B Units</w:t>
            </w:r>
          </w:p>
        </w:tc>
        <w:tc>
          <w:tcPr>
            <w:tcW w:w="10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(5,565)</w:t>
            </w:r>
          </w:p>
        </w:tc>
      </w:tr>
      <w:tr>
        <w:trPr>
          <w:trHeight w:val="230"/>
        </w:trPr>
        <w:tc>
          <w:tcPr>
            <w:tcW w:w="7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Repayments of insurance premium financing</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w:t>
            </w:r>
          </w:p>
        </w:tc>
      </w:tr>
      <w:tr>
        <w:trPr>
          <w:trHeight w:val="223"/>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52,382</w:t>
            </w:r>
          </w:p>
        </w:tc>
      </w:tr>
      <w:tr>
        <w:trPr>
          <w:trHeight w:val="237"/>
        </w:trPr>
        <w:tc>
          <w:tcPr>
            <w:tcW w:w="77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-4885690</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ind w:left="20"/>
        <w:spacing w:after="0"/>
        <w:rPr>
          <w:sz w:val="20"/>
          <w:szCs w:val="20"/>
          <w:color w:val="auto"/>
        </w:rPr>
      </w:pPr>
      <w:r>
        <w:rPr>
          <w:rFonts w:ascii="Arial" w:cs="Arial" w:eastAsia="Arial" w:hAnsi="Arial"/>
          <w:sz w:val="15"/>
          <w:szCs w:val="15"/>
          <w:color w:val="auto"/>
        </w:rPr>
        <w:t>Net (decrease) increase in cash</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 beginning of period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1120" w:type="dxa"/>
            <w:vAlign w:val="bottom"/>
          </w:tcPr>
          <w:p>
            <w:pPr>
              <w:jc w:val="center"/>
              <w:ind w:left="370"/>
              <w:spacing w:after="0"/>
              <w:rPr>
                <w:sz w:val="20"/>
                <w:szCs w:val="20"/>
                <w:color w:val="auto"/>
              </w:rPr>
            </w:pPr>
            <w:r>
              <w:rPr>
                <w:rFonts w:ascii="Arial" w:cs="Arial" w:eastAsia="Arial" w:hAnsi="Arial"/>
                <w:sz w:val="18"/>
                <w:szCs w:val="18"/>
                <w:color w:val="auto"/>
                <w:w w:val="92"/>
              </w:rPr>
              <w:t>(33,607)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58,016</w:t>
            </w:r>
          </w:p>
        </w:tc>
      </w:tr>
      <w:tr>
        <w:trPr>
          <w:trHeight w:val="230"/>
        </w:trPr>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0"/>
              </w:rPr>
              <w:t>67,777</w:t>
            </w:r>
          </w:p>
        </w:tc>
        <w:tc>
          <w:tcPr>
            <w:tcW w:w="1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19,919</w:t>
            </w:r>
          </w:p>
        </w:tc>
      </w:tr>
      <w:tr>
        <w:trPr>
          <w:trHeight w:val="223"/>
        </w:trPr>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0"/>
              </w:rPr>
              <w:t>34,170</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77,935</w:t>
            </w: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-334010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20" w:space="720"/>
            <w:col w:w="35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440"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(LOSS) INCOME TO EBITDA, ADJUSTED EBITDA,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EBITDA BEFORE PROVISION FOR DOUBTFUL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80" w:type="dxa"/>
            <w:vAlign w:val="bottom"/>
            <w:gridSpan w:val="5"/>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2"/>
                <w:szCs w:val="22"/>
                <w:color w:val="auto"/>
              </w:rPr>
            </w:pPr>
          </w:p>
        </w:tc>
        <w:tc>
          <w:tcPr>
            <w:tcW w:w="28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5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73,773</w:t>
            </w: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(Benefit from) provision for income taxes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29"/>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50,578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76,985</w:t>
            </w:r>
          </w:p>
        </w:tc>
      </w:tr>
      <w:tr>
        <w:trPr>
          <w:trHeight w:val="229"/>
        </w:trPr>
        <w:tc>
          <w:tcPr>
            <w:tcW w:w="51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23,625</w:t>
            </w: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(83,628)</w:t>
            </w:r>
          </w:p>
        </w:tc>
      </w:tr>
      <w:tr>
        <w:trPr>
          <w:trHeight w:val="229"/>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related bonuses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1,450</w:t>
            </w: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settlements and other legal costs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Reduction in force</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transaction costs</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Impairment loss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2,372</w:t>
            </w: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Adjusted EBITDA before Provision for Doubtful Accounts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30,916</w:t>
            </w: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90" w:lineRule="exact"/>
        <w:rPr>
          <w:sz w:val="20"/>
          <w:szCs w:val="20"/>
          <w:color w:val="auto"/>
        </w:rPr>
      </w:pPr>
    </w:p>
    <w:p>
      <w:pPr>
        <w:ind w:left="340" w:hanging="332"/>
        <w:spacing w:after="0" w:line="261" w:lineRule="auto"/>
        <w:tabs>
          <w:tab w:leader="none" w:pos="328" w:val="left"/>
        </w:tabs>
        <w:numPr>
          <w:ilvl w:val="0"/>
          <w:numId w:val="6"/>
        </w:numPr>
        <w:rPr>
          <w:rFonts w:ascii="Arial" w:cs="Arial" w:eastAsia="Arial" w:hAnsi="Arial"/>
          <w:sz w:val="14"/>
          <w:szCs w:val="14"/>
          <w:color w:val="auto"/>
        </w:rPr>
      </w:pPr>
      <w:r>
        <w:rPr>
          <w:rFonts w:ascii="Arial" w:cs="Arial" w:eastAsia="Arial" w:hAnsi="Arial"/>
          <w:sz w:val="18"/>
          <w:szCs w:val="18"/>
          <w:color w:val="auto"/>
        </w:rPr>
        <w:t>Stock-based compensation expense (credit) is recorded in the following expense categories on the accompanying consolidated statements of operations for the three and nine months ended September 30, 2022 and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3100" w:type="dxa"/>
            <w:vAlign w:val="bottom"/>
            <w:gridSpan w:val="6"/>
          </w:tcPr>
          <w:p>
            <w:pPr>
              <w:ind w:left="120"/>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0"/>
                <w:szCs w:val="20"/>
                <w:color w:val="auto"/>
              </w:rPr>
            </w:pPr>
          </w:p>
        </w:tc>
        <w:tc>
          <w:tcPr>
            <w:tcW w:w="28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51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3,859</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15,251</w:t>
            </w: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1,639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23,625</w:t>
            </w:r>
          </w:p>
        </w:tc>
      </w:tr>
      <w:tr>
        <w:trPr>
          <w:trHeight w:val="20"/>
        </w:trPr>
        <w:tc>
          <w:tcPr>
            <w:tcW w:w="5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85"/>
        </w:trPr>
        <w:tc>
          <w:tcPr>
            <w:tcW w:w="5120" w:type="dxa"/>
            <w:vAlign w:val="bottom"/>
          </w:tcPr>
          <w:p>
            <w:pPr>
              <w:spacing w:after="0"/>
              <w:rPr>
                <w:sz w:val="24"/>
                <w:szCs w:val="24"/>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-1199515</wp:posOffset>
            </wp:positionV>
            <wp:extent cx="60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-1199515</wp:posOffset>
            </wp:positionV>
            <wp:extent cx="603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OPERATING KEY METRICS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1039" w:right="339" w:bottom="1440" w:gutter="0" w:footer="0" w:header="0"/>
        </w:sect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Selected Key Operating and Financial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Average monthly paying clients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Average monthly revenue per paying client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3051F2"/>
        </w:rPr>
        <w:t>investors@weedmaps.com</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Contract: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3051F2"/>
        </w:rPr>
        <w:t>press@weedmaps.com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120" w:type="dxa"/>
            <w:vAlign w:val="bottom"/>
          </w:tcPr>
          <w:p>
            <w:pPr>
              <w:spacing w:after="0"/>
              <w:rPr>
                <w:sz w:val="22"/>
                <w:szCs w:val="22"/>
                <w:color w:val="auto"/>
              </w:rPr>
            </w:pPr>
          </w:p>
        </w:tc>
        <w:tc>
          <w:tcPr>
            <w:tcW w:w="2980" w:type="dxa"/>
            <w:vAlign w:val="bottom"/>
            <w:gridSpan w:val="5"/>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2"/>
                <w:szCs w:val="22"/>
                <w:color w:val="auto"/>
              </w:rPr>
            </w:pPr>
          </w:p>
        </w:tc>
        <w:tc>
          <w:tcPr>
            <w:tcW w:w="28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50"/>
        </w:trPr>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4,444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4,194</w:t>
            </w:r>
          </w:p>
        </w:tc>
      </w:tr>
      <w:tr>
        <w:trPr>
          <w:trHeight w:val="270"/>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3,817</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3,433</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-342265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653" w:lineRule="exact"/>
        <w:rPr>
          <w:sz w:val="20"/>
          <w:szCs w:val="20"/>
          <w:color w:val="auto"/>
        </w:rPr>
      </w:pPr>
    </w:p>
    <w:p>
      <w:pPr>
        <w:sectPr>
          <w:pgSz w:w="11900" w:h="16838" w:orient="portrait"/>
          <w:cols w:equalWidth="0" w:num="2">
            <w:col w:w="4400" w:space="720"/>
            <w:col w:w="6120"/>
          </w:cols>
          <w:pgMar w:left="320" w:top="1039"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sectPr>
      <w:pgSz w:w="11900" w:h="16838" w:orient="portrait"/>
      <w:cols w:equalWidth="0" w:num="1">
        <w:col w:w="11240"/>
      </w:cols>
      <w:pgMar w:left="320" w:top="10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2022-11-07T15:55:19Z</dcterms:created>
  <dcterms:modified xsi:type="dcterms:W3CDTF">2022-11-07T15:55:19Z</dcterms:modified>
</cp:coreProperties>
</file>