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13G/A</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2)*</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G8136L106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(Date of Event which Requires Filing of this Statement)</w:t>
      </w:r>
    </w:p>
    <w:p>
      <w:pPr>
        <w:spacing w:after="0" w:line="217"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896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38315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-106045</wp:posOffset>
            </wp:positionV>
            <wp:extent cx="238315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60" w:space="720"/>
            <w:col w:w="1500" w:space="720"/>
            <w:col w:w="3680"/>
          </w:cols>
          <w:pgMar w:left="320" w:top="121" w:right="299" w:bottom="1440" w:gutter="0" w:footer="0" w:header="0"/>
        </w:sectPr>
      </w:pP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w:t>
            </w:r>
          </w:p>
        </w:tc>
        <w:tc>
          <w:tcPr>
            <w:tcW w:w="982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tcPr>
          <w:p>
            <w:pPr>
              <w:spacing w:after="0"/>
              <w:rPr>
                <w:sz w:val="24"/>
                <w:szCs w:val="24"/>
                <w:color w:val="auto"/>
              </w:rPr>
            </w:pPr>
          </w:p>
        </w:tc>
        <w:tc>
          <w:tcPr>
            <w:tcW w:w="98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Polar Asset Management Partners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9820" w:type="dxa"/>
            <w:vAlign w:val="bottom"/>
            <w:tcBorders>
              <w:bottom w:val="single" w:sz="8" w:color="auto"/>
              <w:right w:val="single" w:sz="8" w:color="auto"/>
            </w:tcBorders>
            <w:gridSpan w:val="5"/>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2</w:t>
            </w:r>
          </w:p>
        </w:tc>
        <w:tc>
          <w:tcPr>
            <w:tcW w:w="98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 ]</w:t>
            </w:r>
          </w:p>
        </w:tc>
        <w:tc>
          <w:tcPr>
            <w:tcW w:w="88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 ]</w:t>
            </w:r>
          </w:p>
        </w:tc>
        <w:tc>
          <w:tcPr>
            <w:tcW w:w="88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9820" w:type="dxa"/>
            <w:vAlign w:val="bottom"/>
            <w:tcBorders>
              <w:bottom w:val="single" w:sz="8" w:color="auto"/>
              <w:right w:val="single" w:sz="8" w:color="auto"/>
            </w:tcBorders>
            <w:gridSpan w:val="5"/>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3</w:t>
            </w:r>
          </w:p>
        </w:tc>
        <w:tc>
          <w:tcPr>
            <w:tcW w:w="98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Sec Use Only</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9820" w:type="dxa"/>
            <w:vAlign w:val="bottom"/>
            <w:tcBorders>
              <w:bottom w:val="single" w:sz="8" w:color="auto"/>
              <w:right w:val="single" w:sz="8" w:color="auto"/>
            </w:tcBorders>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4</w:t>
            </w:r>
          </w:p>
        </w:tc>
        <w:tc>
          <w:tcPr>
            <w:tcW w:w="98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w w:val="91"/>
              </w:rPr>
              <w:t>Canada</w:t>
            </w:r>
          </w:p>
        </w:tc>
        <w:tc>
          <w:tcPr>
            <w:tcW w:w="34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2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5</w:t>
            </w:r>
          </w:p>
        </w:tc>
        <w:tc>
          <w:tcPr>
            <w:tcW w:w="340" w:type="dxa"/>
            <w:vAlign w:val="bottom"/>
            <w:tcBorders>
              <w:right w:val="single" w:sz="8" w:color="auto"/>
            </w:tcBorders>
          </w:tcPr>
          <w:p>
            <w:pPr>
              <w:spacing w:after="0"/>
              <w:rPr>
                <w:sz w:val="21"/>
                <w:szCs w:val="21"/>
                <w:color w:val="auto"/>
              </w:rPr>
            </w:pPr>
          </w:p>
        </w:tc>
        <w:tc>
          <w:tcPr>
            <w:tcW w:w="880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Sole Voting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1420" w:type="dxa"/>
            <w:vAlign w:val="bottom"/>
            <w:tcBorders>
              <w:left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3"/>
              </w:rPr>
              <w:t>Number of</w:t>
            </w:r>
          </w:p>
        </w:tc>
        <w:tc>
          <w:tcPr>
            <w:tcW w:w="3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8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725,000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420" w:type="dxa"/>
            <w:vAlign w:val="bottom"/>
            <w:tcBorders>
              <w:left w:val="single" w:sz="8" w:color="auto"/>
            </w:tcBorders>
            <w:vMerge w:val="restart"/>
          </w:tcPr>
          <w:p>
            <w:pPr>
              <w:jc w:val="center"/>
              <w:ind w:left="41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80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420" w:type="dxa"/>
            <w:vAlign w:val="bottom"/>
            <w:tcBorders>
              <w:left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6</w:t>
            </w:r>
          </w:p>
        </w:tc>
        <w:tc>
          <w:tcPr>
            <w:tcW w:w="340" w:type="dxa"/>
            <w:vAlign w:val="bottom"/>
            <w:tcBorders>
              <w:right w:val="single" w:sz="8" w:color="auto"/>
            </w:tcBorders>
          </w:tcPr>
          <w:p>
            <w:pPr>
              <w:spacing w:after="0"/>
              <w:rPr>
                <w:sz w:val="14"/>
                <w:szCs w:val="14"/>
                <w:color w:val="auto"/>
              </w:rPr>
            </w:pPr>
          </w:p>
        </w:tc>
        <w:tc>
          <w:tcPr>
            <w:tcW w:w="88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Shared Voting Power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420" w:type="dxa"/>
            <w:vAlign w:val="bottom"/>
            <w:tcBorders>
              <w:left w:val="single" w:sz="8" w:color="auto"/>
            </w:tcBorders>
            <w:vMerge w:val="restart"/>
          </w:tcPr>
          <w:p>
            <w:pPr>
              <w:jc w:val="center"/>
              <w:ind w:left="410"/>
              <w:spacing w:after="0"/>
              <w:rPr>
                <w:sz w:val="20"/>
                <w:szCs w:val="20"/>
                <w:color w:val="auto"/>
              </w:rPr>
            </w:pPr>
            <w:r>
              <w:rPr>
                <w:rFonts w:ascii="Arial" w:cs="Arial" w:eastAsia="Arial" w:hAnsi="Arial"/>
                <w:sz w:val="18"/>
                <w:szCs w:val="18"/>
                <w:b w:val="1"/>
                <w:bCs w:val="1"/>
                <w:color w:val="auto"/>
                <w:w w:val="87"/>
              </w:rPr>
              <w:t>Beneficially</w:t>
            </w:r>
          </w:p>
        </w:tc>
        <w:tc>
          <w:tcPr>
            <w:tcW w:w="34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880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420" w:type="dxa"/>
            <w:vAlign w:val="bottom"/>
            <w:tcBorders>
              <w:left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88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760" w:type="dxa"/>
            <w:vAlign w:val="bottom"/>
            <w:tcBorders>
              <w:lef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Owned by Each</w:t>
            </w:r>
          </w:p>
        </w:tc>
        <w:tc>
          <w:tcPr>
            <w:tcW w:w="1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88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760" w:type="dxa"/>
            <w:vAlign w:val="bottom"/>
            <w:tcBorders>
              <w:left w:val="single" w:sz="8" w:color="auto"/>
            </w:tcBorders>
            <w:gridSpan w:val="2"/>
          </w:tcPr>
          <w:p>
            <w:pPr>
              <w:jc w:val="center"/>
              <w:ind w:left="70"/>
              <w:spacing w:after="0" w:line="205" w:lineRule="exact"/>
              <w:rPr>
                <w:sz w:val="20"/>
                <w:szCs w:val="20"/>
                <w:color w:val="auto"/>
              </w:rPr>
            </w:pPr>
            <w:r>
              <w:rPr>
                <w:rFonts w:ascii="Arial" w:cs="Arial" w:eastAsia="Arial" w:hAnsi="Arial"/>
                <w:sz w:val="18"/>
                <w:szCs w:val="18"/>
                <w:b w:val="1"/>
                <w:bCs w:val="1"/>
                <w:color w:val="auto"/>
                <w:w w:val="90"/>
              </w:rPr>
              <w:t>Reporting Person</w:t>
            </w:r>
          </w:p>
        </w:tc>
        <w:tc>
          <w:tcPr>
            <w:tcW w:w="160" w:type="dxa"/>
            <w:vAlign w:val="bottom"/>
            <w:tcBorders>
              <w:right w:val="single" w:sz="8" w:color="auto"/>
            </w:tcBorders>
          </w:tcPr>
          <w:p>
            <w:pPr>
              <w:spacing w:after="0"/>
              <w:rPr>
                <w:sz w:val="17"/>
                <w:szCs w:val="17"/>
                <w:color w:val="auto"/>
              </w:rPr>
            </w:pPr>
          </w:p>
        </w:tc>
        <w:tc>
          <w:tcPr>
            <w:tcW w:w="18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99"/>
              </w:rPr>
              <w:t>7</w:t>
            </w:r>
          </w:p>
        </w:tc>
        <w:tc>
          <w:tcPr>
            <w:tcW w:w="340" w:type="dxa"/>
            <w:vAlign w:val="bottom"/>
            <w:tcBorders>
              <w:right w:val="single" w:sz="8" w:color="auto"/>
            </w:tcBorders>
          </w:tcPr>
          <w:p>
            <w:pPr>
              <w:spacing w:after="0"/>
              <w:rPr>
                <w:sz w:val="17"/>
                <w:szCs w:val="17"/>
                <w:color w:val="auto"/>
              </w:rPr>
            </w:pPr>
          </w:p>
        </w:tc>
        <w:tc>
          <w:tcPr>
            <w:tcW w:w="8800" w:type="dxa"/>
            <w:vAlign w:val="bottom"/>
            <w:tcBorders>
              <w:right w:val="single" w:sz="8" w:color="auto"/>
            </w:tcBorders>
          </w:tcPr>
          <w:p>
            <w:pPr>
              <w:ind w:left="280"/>
              <w:spacing w:after="0" w:line="205" w:lineRule="exact"/>
              <w:rPr>
                <w:sz w:val="20"/>
                <w:szCs w:val="20"/>
                <w:color w:val="auto"/>
              </w:rPr>
            </w:pPr>
            <w:r>
              <w:rPr>
                <w:rFonts w:ascii="Arial" w:cs="Arial" w:eastAsia="Arial" w:hAnsi="Arial"/>
                <w:sz w:val="18"/>
                <w:szCs w:val="18"/>
                <w:b w:val="1"/>
                <w:bCs w:val="1"/>
                <w:color w:val="auto"/>
              </w:rPr>
              <w:t>Sole Dispositive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7"/>
              </w:rPr>
              <w:t>With:</w:t>
            </w:r>
          </w:p>
        </w:tc>
        <w:tc>
          <w:tcPr>
            <w:tcW w:w="3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88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725,000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880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420" w:type="dxa"/>
            <w:vAlign w:val="bottom"/>
            <w:tcBorders>
              <w:lef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88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20" w:type="dxa"/>
            <w:vAlign w:val="bottom"/>
            <w:tcBorders>
              <w:lef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8</w:t>
            </w:r>
          </w:p>
        </w:tc>
        <w:tc>
          <w:tcPr>
            <w:tcW w:w="340" w:type="dxa"/>
            <w:vAlign w:val="bottom"/>
            <w:tcBorders>
              <w:right w:val="single" w:sz="8" w:color="auto"/>
            </w:tcBorders>
          </w:tcPr>
          <w:p>
            <w:pPr>
              <w:spacing w:after="0"/>
              <w:rPr>
                <w:sz w:val="21"/>
                <w:szCs w:val="21"/>
                <w:color w:val="auto"/>
              </w:rPr>
            </w:pPr>
          </w:p>
        </w:tc>
        <w:tc>
          <w:tcPr>
            <w:tcW w:w="880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Shared Dispositive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7"/>
        </w:trPr>
        <w:tc>
          <w:tcPr>
            <w:tcW w:w="142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gridSpan w:val="2"/>
          </w:tcPr>
          <w:p>
            <w:pPr>
              <w:spacing w:after="0"/>
              <w:rPr>
                <w:sz w:val="24"/>
                <w:szCs w:val="24"/>
                <w:color w:val="auto"/>
              </w:rPr>
            </w:pPr>
          </w:p>
        </w:tc>
        <w:tc>
          <w:tcPr>
            <w:tcW w:w="520" w:type="dxa"/>
            <w:vAlign w:val="bottom"/>
            <w:tcBorders>
              <w:bottom w:val="single" w:sz="8" w:color="auto"/>
              <w:right w:val="single" w:sz="8" w:color="auto"/>
            </w:tcBorders>
            <w:gridSpan w:val="2"/>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9</w:t>
            </w:r>
          </w:p>
        </w:tc>
        <w:tc>
          <w:tcPr>
            <w:tcW w:w="98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w w:val="89"/>
              </w:rPr>
              <w:t>725,000</w:t>
            </w:r>
          </w:p>
        </w:tc>
        <w:tc>
          <w:tcPr>
            <w:tcW w:w="34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88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10</w:t>
            </w:r>
          </w:p>
        </w:tc>
        <w:tc>
          <w:tcPr>
            <w:tcW w:w="98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88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11</w:t>
            </w:r>
          </w:p>
        </w:tc>
        <w:tc>
          <w:tcPr>
            <w:tcW w:w="98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88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12</w:t>
            </w:r>
          </w:p>
        </w:tc>
        <w:tc>
          <w:tcPr>
            <w:tcW w:w="98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IA</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left w:val="single" w:sz="8" w:color="auto"/>
              <w:right w:val="single" w:sz="8" w:color="auto"/>
            </w:tcBorders>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60" w:type="dxa"/>
            <w:vAlign w:val="bottom"/>
            <w:tcBorders>
              <w:right w:val="single" w:sz="8" w:color="auto"/>
            </w:tcBorders>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340" w:type="dxa"/>
            <w:vAlign w:val="bottom"/>
            <w:tcBorders>
              <w:right w:val="single" w:sz="8" w:color="auto"/>
            </w:tcBorders>
            <w:shd w:val="clear" w:color="auto" w:fill="000000"/>
          </w:tcPr>
          <w:p>
            <w:pPr>
              <w:spacing w:after="0"/>
              <w:rPr>
                <w:sz w:val="6"/>
                <w:szCs w:val="6"/>
                <w:color w:val="auto"/>
              </w:rPr>
            </w:pPr>
          </w:p>
        </w:tc>
        <w:tc>
          <w:tcPr>
            <w:tcW w:w="880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21" w:right="299" w:bottom="1440" w:gutter="0" w:footer="0" w:header="0"/>
          <w:type w:val="continuous"/>
        </w:sectPr>
      </w:pPr>
    </w:p>
    <w:bookmarkStart w:id="2" w:name="page3"/>
    <w:bookmarkEnd w:id="2"/>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38315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-106045</wp:posOffset>
            </wp:positionV>
            <wp:extent cx="238315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60" w:space="720"/>
            <w:col w:w="1500" w:space="720"/>
            <w:col w:w="3640"/>
          </w:cols>
          <w:pgMar w:left="320" w:top="121" w:right="3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700" w:hanging="692"/>
        <w:spacing w:after="0"/>
        <w:tabs>
          <w:tab w:leader="none" w:pos="7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issuer is Silver Spike Acquisition Corp.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0" w:lineRule="exact"/>
        <w:rPr>
          <w:sz w:val="20"/>
          <w:szCs w:val="20"/>
          <w:color w:val="auto"/>
        </w:rPr>
      </w:pPr>
    </w:p>
    <w:p>
      <w:pPr>
        <w:ind w:left="700" w:hanging="692"/>
        <w:spacing w:after="0"/>
        <w:tabs>
          <w:tab w:leader="none" w:pos="7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Company's principal executive offices are located at 660 Madison Ave., Suite 1600, New York, New York 10065.</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6" w:lineRule="exact"/>
        <w:rPr>
          <w:sz w:val="20"/>
          <w:szCs w:val="20"/>
          <w:color w:val="auto"/>
        </w:rPr>
      </w:pPr>
    </w:p>
    <w:p>
      <w:pPr>
        <w:ind w:left="680" w:hanging="672"/>
        <w:spacing w:after="0"/>
        <w:tabs>
          <w:tab w:leader="none" w:pos="6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This statement is filed by Polar Asset Management Partners Inc., a company incorporated under the laws of Ontario, Canada, which serves as the investment advisor to Polar Multi-Strategy Master Fund and Polar Long/Short Master Fund, Cayman Islands exempted companies (together, the "</w:t>
      </w:r>
      <w:r>
        <w:rPr>
          <w:rFonts w:ascii="Arial" w:cs="Arial" w:eastAsia="Arial" w:hAnsi="Arial"/>
          <w:sz w:val="22"/>
          <w:szCs w:val="22"/>
          <w:u w:val="single" w:color="auto"/>
          <w:color w:val="auto"/>
        </w:rPr>
        <w:t>Polar Funds</w:t>
      </w:r>
      <w:r>
        <w:rPr>
          <w:rFonts w:ascii="Arial" w:cs="Arial" w:eastAsia="Arial" w:hAnsi="Arial"/>
          <w:sz w:val="22"/>
          <w:szCs w:val="22"/>
          <w:color w:val="auto"/>
        </w:rPr>
        <w:t>") with respect to the Shares (as defined below) directly held by the Polar Funds.</w:t>
      </w:r>
    </w:p>
    <w:p>
      <w:pPr>
        <w:spacing w:after="0" w:line="179" w:lineRule="exact"/>
        <w:rPr>
          <w:sz w:val="20"/>
          <w:szCs w:val="20"/>
          <w:color w:val="auto"/>
        </w:rPr>
      </w:pPr>
    </w:p>
    <w:p>
      <w:pPr>
        <w:ind w:left="680" w:hanging="672"/>
        <w:spacing w:after="0"/>
        <w:tabs>
          <w:tab w:leader="none" w:pos="6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212"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address of the business office of the Reporting Person is 401 Bay Street, Suite 1900, PO Box 19, Toronto, Ontario M5H 2Y4, Canada.</w:t>
      </w:r>
    </w:p>
    <w:p>
      <w:pPr>
        <w:spacing w:after="0" w:line="169" w:lineRule="exact"/>
        <w:rPr>
          <w:sz w:val="20"/>
          <w:szCs w:val="20"/>
          <w:color w:val="auto"/>
        </w:rPr>
      </w:pPr>
    </w:p>
    <w:p>
      <w:pPr>
        <w:ind w:left="680" w:hanging="672"/>
        <w:spacing w:after="0"/>
        <w:tabs>
          <w:tab w:leader="none" w:pos="6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citizenship of the Reporting Person is Canada.</w:t>
      </w:r>
    </w:p>
    <w:p>
      <w:pPr>
        <w:spacing w:after="0" w:line="200" w:lineRule="exact"/>
        <w:rPr>
          <w:sz w:val="20"/>
          <w:szCs w:val="20"/>
          <w:color w:val="auto"/>
        </w:rPr>
      </w:pPr>
    </w:p>
    <w:p>
      <w:pPr>
        <w:ind w:left="680" w:hanging="672"/>
        <w:spacing w:after="0"/>
        <w:tabs>
          <w:tab w:leader="none" w:pos="6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Class of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Class A Ordinary Shares, par value $0.0001 per share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00" w:lineRule="exact"/>
        <w:rPr>
          <w:sz w:val="20"/>
          <w:szCs w:val="20"/>
          <w:color w:val="auto"/>
        </w:rPr>
      </w:pPr>
    </w:p>
    <w:p>
      <w:pPr>
        <w:jc w:val="both"/>
        <w:ind w:left="660" w:right="9480" w:hanging="652"/>
        <w:spacing w:after="0" w:line="504" w:lineRule="auto"/>
        <w:tabs>
          <w:tab w:leader="none" w:pos="68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No.: </w:t>
      </w:r>
      <w:r>
        <w:rPr>
          <w:rFonts w:ascii="Arial" w:cs="Arial" w:eastAsia="Arial" w:hAnsi="Arial"/>
          <w:sz w:val="19"/>
          <w:szCs w:val="19"/>
          <w:color w:val="auto"/>
        </w:rPr>
        <w:t>G8136L106</w:t>
      </w: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3.</w:t>
        <w:tab/>
        <w:t>If this statement is filed pursuant to §§ 240.13d-1(b) or 240.13d-2(b) or (c), check whether the person filing is a:</w:t>
      </w:r>
    </w:p>
    <w:p>
      <w:pPr>
        <w:spacing w:after="0" w:line="168" w:lineRule="exact"/>
        <w:rPr>
          <w:sz w:val="20"/>
          <w:szCs w:val="20"/>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38315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-106045</wp:posOffset>
            </wp:positionV>
            <wp:extent cx="238315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60" w:space="720"/>
            <w:col w:w="1500" w:space="720"/>
            <w:col w:w="3640"/>
          </w:cols>
          <w:pgMar w:left="320" w:top="121" w:right="339" w:bottom="1440" w:gutter="0" w:footer="0" w:header="0"/>
        </w:sectPr>
      </w:pPr>
    </w:p>
    <w:p>
      <w:pPr>
        <w:spacing w:after="0" w:line="58" w:lineRule="exact"/>
        <w:rPr>
          <w:sz w:val="20"/>
          <w:szCs w:val="20"/>
          <w:color w:val="auto"/>
        </w:rPr>
      </w:pPr>
    </w:p>
    <w:p>
      <w:pPr>
        <w:ind w:left="1340" w:hanging="684"/>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right="20" w:hanging="1304"/>
        <w:spacing w:after="0" w:line="250" w:lineRule="auto"/>
        <w:tabs>
          <w:tab w:leader="none" w:pos="1329" w:val="left"/>
        </w:tabs>
        <w:numPr>
          <w:ilvl w:val="0"/>
          <w:numId w:val="10"/>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4"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[X]</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Group, in accordance with Rule 240.13d-1(b)(1)(ii)(K).</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filing as a non-U.S. institution in accordance with Rule 240.13d-1(b)(1)(ii)(J), please specify the type of institution:</w:t>
      </w:r>
    </w:p>
    <w:p>
      <w:pPr>
        <w:spacing w:after="0" w:line="241"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Reporting Person is an investment fund manager, portfolio manager, exempt market dealer and commodity trading manager registered with the Ontario Securities Commission.</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jc w:val="both"/>
        <w:ind w:left="940"/>
        <w:spacing w:after="0"/>
        <w:rPr>
          <w:sz w:val="20"/>
          <w:szCs w:val="20"/>
          <w:color w:val="auto"/>
        </w:rPr>
      </w:pPr>
      <w:r>
        <w:rPr>
          <w:rFonts w:ascii="Arial" w:cs="Arial" w:eastAsia="Arial" w:hAnsi="Arial"/>
          <w:sz w:val="22"/>
          <w:szCs w:val="22"/>
          <w:color w:val="auto"/>
        </w:rPr>
        <w:t>The percentages used herein are calculated based upon 25,000,000 Shares outstanding as at November 13, 2020 as disclosed in the Company's Proxy Statement on Schedule 14A, filed with the Securities and Exchange Commission on December 21, 2020.</w:t>
      </w:r>
    </w:p>
    <w:p>
      <w:pPr>
        <w:spacing w:after="0" w:line="186" w:lineRule="exact"/>
        <w:rPr>
          <w:sz w:val="20"/>
          <w:szCs w:val="20"/>
          <w:color w:val="auto"/>
        </w:rPr>
      </w:pPr>
    </w:p>
    <w:p>
      <w:pPr>
        <w:jc w:val="both"/>
        <w:ind w:left="940" w:right="20"/>
        <w:spacing w:after="0" w:line="250" w:lineRule="auto"/>
        <w:rPr>
          <w:sz w:val="20"/>
          <w:szCs w:val="20"/>
          <w:color w:val="auto"/>
        </w:rPr>
      </w:pPr>
      <w:r>
        <w:rPr>
          <w:rFonts w:ascii="Arial" w:cs="Arial" w:eastAsia="Arial" w:hAnsi="Arial"/>
          <w:sz w:val="22"/>
          <w:szCs w:val="22"/>
          <w:color w:val="auto"/>
        </w:rPr>
        <w:t>The information required by Items 4(a) - (c) is set forth in Rows 5 - 11 of the cover page for the Reporting Person and is incorporated herein by reference.</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jc w:val="both"/>
        <w:ind w:left="94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CUSIP No. 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38315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-106045</wp:posOffset>
            </wp:positionV>
            <wp:extent cx="238315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60" w:space="720"/>
            <w:col w:w="1500" w:space="720"/>
            <w:col w:w="3640"/>
          </w:cols>
          <w:pgMar w:left="320" w:top="121" w:right="339" w:bottom="1440" w:gutter="0" w:footer="0" w:header="0"/>
        </w:sectPr>
      </w:pPr>
    </w:p>
    <w:p>
      <w:pPr>
        <w:spacing w:after="0" w:line="58"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schemes applicable to investment fund managers and broker-dealers are substantially comparable to the regulatory schemes applicable to the functionally equivalent U.S. institutions. The Reporting Person also undertakes to furnish to the Commission staff, upon request, information that would otherwise be disclosed in a Schedule 13D.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January 8,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POLAR ASSET MANAGEMENT PARTNERS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Andrew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855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557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Andrew Ma</w:t>
      </w:r>
    </w:p>
    <w:p>
      <w:pPr>
        <w:spacing w:after="0"/>
        <w:tabs>
          <w:tab w:leader="none" w:pos="680" w:val="left"/>
        </w:tabs>
        <w:rPr>
          <w:sz w:val="20"/>
          <w:szCs w:val="20"/>
          <w:color w:val="auto"/>
        </w:rPr>
      </w:pPr>
      <w:r>
        <w:rPr>
          <w:rFonts w:ascii="Arial" w:cs="Arial" w:eastAsia="Arial" w:hAnsi="Arial"/>
          <w:sz w:val="22"/>
          <w:szCs w:val="22"/>
          <w:color w:val="auto"/>
        </w:rPr>
        <w:t>Title:</w:t>
        <w:tab/>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2021-01-08T15:41:46Z</dcterms:created>
  <dcterms:modified xsi:type="dcterms:W3CDTF">2021-01-08T15:41:46Z</dcterms:modified>
</cp:coreProperties>
</file>