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January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43"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50"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4"/>
          <w:szCs w:val="24"/>
          <w:color w:val="auto"/>
        </w:rPr>
      </w:pPr>
    </w:p>
    <w:p>
      <w:pPr>
        <w:ind w:left="234"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318135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type w:val="continuous"/>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5, 2023, the Compensation Committee of the Board of Directors (the “Board”) of WM Technology, Inc., a Delaware corporation (the “Company”), granted Douglas Francis, Executive Chair of the Board, an award of 481,927 restricted stock units with an approximate value of $800,000, based on the average closing price of the Company’s Class A common stock for the 90-day period prior to the grant date (the “RSU Grant”), in recognition of his leadership of the Company’s executive team since August 2022. The shares subject to the RSU Grant will vest in two equal quarterly increments on May 15, 2023 and August 15, 2023, subject to Mr. Francis's Continuous Service (as defined in the Company's 2021 Equity Incentive Plan or award agreement) on each such vesting date. Mr. Francis has not received any cash compensation or other compensation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11, 2023</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00"/>
      </w:cols>
      <w:pgMar w:left="340" w:top="65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2023-01-12T05:02:29Z</dcterms:created>
  <dcterms:modified xsi:type="dcterms:W3CDTF">2023-01-12T05:02:29Z</dcterms:modified>
</cp:coreProperties>
</file>