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Hartfield Justin</w:t>
              </w:r>
            </w:hyperlink>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WM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MAPS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4"/>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6"/>
          </w:tcPr>
          <w:p>
            <w:pPr>
              <w:ind w:left="80"/>
              <w:spacing w:after="0"/>
              <w:rPr>
                <w:sz w:val="20"/>
                <w:szCs w:val="20"/>
                <w:color w:val="auto"/>
              </w:rPr>
            </w:pPr>
            <w:r>
              <w:rPr>
                <w:rFonts w:ascii="Arial" w:cs="Arial" w:eastAsia="Arial" w:hAnsi="Arial"/>
                <w:sz w:val="17"/>
                <w:szCs w:val="17"/>
                <w:color w:val="0000FF"/>
              </w:rPr>
              <w:t>06/16/2022</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41 DISCOVERY</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34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1660" w:type="dxa"/>
            <w:vAlign w:val="bottom"/>
            <w:gridSpan w:val="4"/>
          </w:tcPr>
          <w:p>
            <w:pPr>
              <w:ind w:left="580"/>
              <w:spacing w:after="0"/>
              <w:rPr>
                <w:sz w:val="20"/>
                <w:szCs w:val="20"/>
                <w:color w:val="auto"/>
              </w:rPr>
            </w:pPr>
            <w:r>
              <w:rPr>
                <w:rFonts w:ascii="Arial" w:cs="Arial" w:eastAsia="Arial" w:hAnsi="Arial"/>
                <w:sz w:val="17"/>
                <w:szCs w:val="17"/>
                <w:color w:val="0000FF"/>
              </w:rPr>
              <w:t>CA</w:t>
            </w: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4"/>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84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8"/>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0000FF"/>
              </w:rPr>
              <w:t>06/16/2022</w:t>
            </w: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84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10,093</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4.6633</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30,280</w:t>
            </w:r>
          </w:p>
        </w:tc>
        <w:tc>
          <w:tcPr>
            <w:tcW w:w="92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0000FF"/>
              </w:rPr>
              <w:t>06/21/2022</w:t>
            </w: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0000FF"/>
              </w:rPr>
              <w:t>41,493</w:t>
            </w:r>
            <w:r>
              <w:rPr>
                <w:rFonts w:ascii="Arial" w:cs="Arial" w:eastAsia="Arial" w:hAnsi="Arial"/>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71,773</w:t>
            </w:r>
          </w:p>
        </w:tc>
        <w:tc>
          <w:tcPr>
            <w:tcW w:w="92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(3)(4)</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19,278,067</w:t>
            </w:r>
          </w:p>
        </w:tc>
        <w:tc>
          <w:tcPr>
            <w:tcW w:w="92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(3)(4)</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8,469,191</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(3)(4)</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1,570,959</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92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jc w:val="right"/>
              <w:ind w:right="257"/>
              <w:spacing w:after="0" w:line="133"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w w:val="97"/>
              </w:rPr>
            </w:pPr>
            <w:hyperlink r:id="rId12">
              <w:r>
                <w:rPr>
                  <w:rFonts w:ascii="Arial" w:cs="Arial" w:eastAsia="Arial" w:hAnsi="Arial"/>
                  <w:sz w:val="21"/>
                  <w:szCs w:val="21"/>
                  <w:color w:val="0000EE"/>
                  <w:w w:val="97"/>
                </w:rPr>
                <w:t>Hartfield Justin</w:t>
              </w:r>
            </w:hyperlink>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41 DISCOVERY</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340" w:type="dxa"/>
            <w:vAlign w:val="bottom"/>
          </w:tcPr>
          <w:p>
            <w:pPr>
              <w:ind w:left="50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w w:val="97"/>
              </w:rPr>
            </w:pPr>
            <w:hyperlink r:id="rId14">
              <w:r>
                <w:rPr>
                  <w:rFonts w:ascii="Arial" w:cs="Arial" w:eastAsia="Arial" w:hAnsi="Arial"/>
                  <w:sz w:val="21"/>
                  <w:szCs w:val="21"/>
                  <w:color w:val="0000EE"/>
                  <w:w w:val="97"/>
                </w:rPr>
                <w:t>Ghost Media Group,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IRVINE</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5"/>
          <w:szCs w:val="15"/>
          <w:color w:val="0000FF"/>
        </w:rPr>
        <w:t>92618</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20" w:type="dxa"/>
            <w:vAlign w:val="bottom"/>
            <w:gridSpan w:val="3"/>
          </w:tcPr>
          <w:p>
            <w:pPr>
              <w:spacing w:after="0" w:line="221" w:lineRule="exact"/>
              <w:rPr>
                <w:rFonts w:ascii="Arial" w:cs="Arial" w:eastAsia="Arial" w:hAnsi="Arial"/>
                <w:sz w:val="21"/>
                <w:szCs w:val="21"/>
                <w:color w:val="0000EE"/>
                <w:w w:val="98"/>
              </w:rPr>
            </w:pPr>
            <w:hyperlink r:id="rId16">
              <w:r>
                <w:rPr>
                  <w:rFonts w:ascii="Arial" w:cs="Arial" w:eastAsia="Arial" w:hAnsi="Arial"/>
                  <w:sz w:val="21"/>
                  <w:szCs w:val="21"/>
                  <w:color w:val="0000EE"/>
                  <w:w w:val="98"/>
                </w:rPr>
                <w:t>WM Founders Legacy II, LLC</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rPr>
              <w:t>C/O WM TECHNOLOGY, INC.</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41 DISCOVERY</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IRVINE</w:t>
            </w:r>
          </w:p>
        </w:tc>
        <w:tc>
          <w:tcPr>
            <w:tcW w:w="1420" w:type="dxa"/>
            <w:vAlign w:val="bottom"/>
            <w:gridSpan w:val="2"/>
          </w:tcPr>
          <w:p>
            <w:pPr>
              <w:ind w:left="100"/>
              <w:spacing w:after="0"/>
              <w:rPr>
                <w:sz w:val="20"/>
                <w:szCs w:val="20"/>
                <w:color w:val="auto"/>
              </w:rPr>
            </w:pPr>
            <w:r>
              <w:rPr>
                <w:rFonts w:ascii="Arial" w:cs="Arial" w:eastAsia="Arial" w:hAnsi="Arial"/>
                <w:sz w:val="17"/>
                <w:szCs w:val="17"/>
                <w:color w:val="0000FF"/>
              </w:rPr>
              <w:t>CA</w:t>
            </w:r>
          </w:p>
        </w:tc>
        <w:tc>
          <w:tcPr>
            <w:tcW w:w="1440" w:type="dxa"/>
            <w:vAlign w:val="bottom"/>
          </w:tcPr>
          <w:p>
            <w:pPr>
              <w:ind w:left="80"/>
              <w:spacing w:after="0"/>
              <w:rPr>
                <w:sz w:val="20"/>
                <w:szCs w:val="20"/>
                <w:color w:val="auto"/>
              </w:rPr>
            </w:pPr>
            <w:r>
              <w:rPr>
                <w:rFonts w:ascii="Arial" w:cs="Arial" w:eastAsia="Arial" w:hAnsi="Arial"/>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6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9672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6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Price reported is a weighted-average sales price. The shares were sold at prices ranging from $4.58 to $4.74. The Reporting Person will provide upon request to the SEC, the Issuer or security holder of the Issuer, full information regarding the number of shares sold at each separate price.</w:t>
      </w:r>
    </w:p>
    <w:p>
      <w:pPr>
        <w:spacing w:after="0" w:line="1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The RSUs will fully vest on the earlier of June 21, 2023 or the date of the Issuer's next annual meeting of stockholders, subject to acceleration, and subject to the Reporting Person's Continuous Service (as defined in the Issuer's 2021 Equity Incentive Plan) through such vesting date.</w:t>
      </w:r>
    </w:p>
    <w:p>
      <w:pPr>
        <w:spacing w:after="0" w:line="25" w:lineRule="exact"/>
        <w:rPr>
          <w:rFonts w:ascii="Arial" w:cs="Arial" w:eastAsia="Arial" w:hAnsi="Arial"/>
          <w:sz w:val="13"/>
          <w:szCs w:val="13"/>
          <w:color w:val="008000"/>
        </w:rPr>
      </w:pPr>
    </w:p>
    <w:p>
      <w:pPr>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in footnote 4 below) held by such Class V Common Stock holder at the time of such vote.</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Post-Merger Class A Units represent non-voting limited liability company interests of WM Holding Company, LLC. Pursuant to the terms of an exchange agreement, these Class A units and an equivalent number of shares of Class V Common Stock are exchangeable on a one-for-one basis for shares of Class A Common Stock. These exchange rights do not expire.</w:t>
      </w:r>
    </w:p>
    <w:p>
      <w:pPr>
        <w:ind w:left="20" w:right="2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Ghost Media Group, LLC ("Ghost Media") is controlled by Mr. Hartfield. Accordingly, Mr. Hartfield may be deemed to be a beneficial owner of the shares held by Ghost Media Group, LLC.</w:t>
      </w:r>
    </w:p>
    <w:p>
      <w:pPr>
        <w:spacing w:after="0" w:line="15" w:lineRule="exact"/>
        <w:rPr>
          <w:rFonts w:ascii="Arial" w:cs="Arial" w:eastAsia="Arial" w:hAnsi="Arial"/>
          <w:sz w:val="13"/>
          <w:szCs w:val="13"/>
          <w:color w:val="008000"/>
        </w:rPr>
      </w:pPr>
    </w:p>
    <w:p>
      <w:pPr>
        <w:ind w:left="20" w:right="24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WM Founders Legacy II, LLC ("WM Founders") is controlled by Mr. Hartfield. Accordingly, Mr. Hartfield may be deemed to be a beneficial owner of the shares held by WM Founders.</w:t>
      </w:r>
    </w:p>
    <w:p>
      <w:pPr>
        <w:sectPr>
          <w:pgSz w:w="11900" w:h="16838" w:orient="portrait"/>
          <w:cols w:equalWidth="0" w:num="1">
            <w:col w:w="10900"/>
          </w:cols>
          <w:pgMar w:left="480" w:top="140" w:right="519" w:bottom="1440" w:gutter="0" w:footer="0" w:header="0"/>
        </w:sectPr>
      </w:pP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Justin Hartfield,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6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Ghost Media Group,LLC,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280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Justin Hartfield,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77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Ron A. Metzger,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WM Founders Legacy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18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by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7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63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06/21/2022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60" w:space="100"/>
            <w:col w:w="2140"/>
          </w:cols>
          <w:pgMar w:left="480" w:top="140"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4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2" Type="http://schemas.openxmlformats.org/officeDocument/2006/relationships/hyperlink" Target="http://www.sec.gov/cgi-bin/browse-edgar?action=getcompany&amp;CIK=0001857953" TargetMode="External"/><Relationship Id="rId13" Type="http://schemas.openxmlformats.org/officeDocument/2006/relationships/hyperlink" Target="http://www.sec.gov/cgi-bin/browse-edgar?action=getcompany&amp;CIK=0001779474" TargetMode="External"/><Relationship Id="rId14" Type="http://schemas.openxmlformats.org/officeDocument/2006/relationships/hyperlink" Target="http://www.sec.gov/cgi-bin/browse-edgar?action=getcompany&amp;CIK=0001859722" TargetMode="External"/><Relationship Id="rId16" Type="http://schemas.openxmlformats.org/officeDocument/2006/relationships/hyperlink" Target="http://www.sec.gov/cgi-bin/browse-edgar?action=getcompany&amp;CIK=0001857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2022-06-21T16:26:44Z</dcterms:created>
  <dcterms:modified xsi:type="dcterms:W3CDTF">2022-06-21T16:26:44Z</dcterms:modified>
</cp:coreProperties>
</file>