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Beals Christopher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03/02/2022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49,515</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5.635</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731,735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(3)</w:t>
            </w: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7"/>
                <w:szCs w:val="17"/>
                <w:color w:val="0000FF"/>
              </w:rPr>
              <w:t>6,166,819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made a prior election to sell only the number of shares of common stock necessary to cover applicable tax withholding obligations realized upon the vesting of restricted stock units, as well as any related brokerage commission fees. The shares were sold pursuant to a 10b5-1 plan.</w:t>
      </w:r>
    </w:p>
    <w:p>
      <w:pPr>
        <w:spacing w:after="0" w:line="1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$5.522 to $5.76. The reporting person will provide upon request to the SEC, the Issuer or security holder of the Issuer, full information regarding the number of shares sold at each separate price.</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below) held by such Class V Common Stock holder at the time of such vote.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Christopher Beals, by /s/ Ron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03/04/2022</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99"/>
              </w:rPr>
              <w:t>A. Metzger, Attorney-in-Fact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gridSpan w:val="2"/>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244"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2022-03-04T15:11:46Z</dcterms:created>
  <dcterms:modified xsi:type="dcterms:W3CDTF">2022-03-04T15:11:46Z</dcterms:modified>
</cp:coreProperties>
</file>