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BAY ANTHONY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480" w:type="dxa"/>
            <w:vAlign w:val="bottom"/>
            <w:gridSpan w:val="3"/>
          </w:tcPr>
          <w:p>
            <w:pPr>
              <w:ind w:left="80"/>
              <w:spacing w:after="0"/>
              <w:rPr>
                <w:sz w:val="20"/>
                <w:szCs w:val="20"/>
                <w:color w:val="auto"/>
              </w:rPr>
            </w:pPr>
            <w:r>
              <w:rPr>
                <w:rFonts w:ascii="Arial" w:cs="Arial" w:eastAsia="Arial" w:hAnsi="Arial"/>
                <w:sz w:val="17"/>
                <w:szCs w:val="17"/>
                <w:color w:val="0000FF"/>
              </w:rPr>
              <w:t>10/01/2023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156,250</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479,504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The RSUs will fully vest in equal annual installments on the date of each remaining annual meeting of stockholders that is part of the Reporting Person's current term, beginning with the annual meeting that is following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Anthony Bay, by /s/ Ron A.</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10/03/2023</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2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4114"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2023-10-03T18:13:58Z</dcterms:created>
  <dcterms:modified xsi:type="dcterms:W3CDTF">2023-10-03T18:13:58Z</dcterms:modified>
</cp:coreProperties>
</file>