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1.01</w:t>
        <w:tab/>
        <w:t>Entry into a Material Definitive Agreement.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7, 2024, the Board of Directors (the “Board”) of WM Technology, Inc., a Delaware corporation (the “Company”), approved the appointment of Douglas Francis to serve as Chief Executive Officer of the Company, effective as of November 7, 2024.</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the Company entered into an executive employment agreement with Mr. Francis (the “Employment Agreement”), dated November 7, 2024. Under the Employment Agreement, Mr. Francis is entitled to receive an annual base salary of $750,000. In addition, Mr. Francis is eligible to receive an annual target bonus equal to 100% of his annual salary. The Employment Agreement also provides that Mr. Francis will receive (i) service-based vesting restricted stock units under the Company’s 2021 Stock Incentive Plan (the “Plan”) with a grant date fair value of $3,995,000.00 (“Service RSUs”) and (iv) performance-based vesting restricted stock units under the Plan with a grant date fair value of $3,995,000.00 (“Performance RSUs”). The Service RSUs will vest quarterly in substantially equal installments over a three-year period, subject to Mr. Francis’ continuous service with the Company. The Performance RSUs will vest upon the achievement of certain stock performance milestones. Under the Employment Agreement, Mr. Francis is eligible to receive the benefits applicable to “Eligible Employees” as described in the Company’s Severance and Change in Control Plan previously adopted by the Audit Committee of the Board (the “Audit Committee”), and other benefits on the same basis as those benefits are made available to other similarly situated employees of the Company. In addition, Mr. Francis is eligible for a reimbursement of the annual membership fee for a concierge medical plan selected by Mr. Francis, subject to a net after-tax maximum yearly amount of $24,000.</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 of the Employment Agreement does not purport to be complete and is qualified in its entirety by reference to the full text of the Employment Agreement, a copy of which is filed with the Securities and Exchange Commission in the Company’s Quarterly Report on Form 10-Q for the quarter ended September 30, 2024.</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Appointment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2024, the Board approved the appointment of Douglas Francis, age 47, to serve as Chief Executive Officer of the Company, effective as of November 7, 2024.</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Francis has served as a member of the Board since June 2021, and as Executive Chair since August 2022. Mr. Francis is a co-founder of WM Holding Company, LLC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Francis and any other persons pursuant to which he was selected as an officer or director of the Company. There are also no family relationships between Mr. Francis and any director or executive officer of the Company.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Francis has direct or indirect material interest in the following related party transactions required to be disclosed pursuant to Item 404(a) of Regulation S-K. Glasir Group, LLC is a business owned by Mr. Francis and his spouse. During the second quarter of 2022, the Company entered into a sublease agreement with Glasir Group, LLC of the Company’s offices located at 43 Discovery, Irvine, California 92618. The sublease commenced on June 1, 2022, and the term is for the remainder of the amended lease term which expired on October 31, 2024. The monthly base rent, after the rent abatement period for the first four months, is $69,000. Glasir Group, LLC paid the Company a total of $169,095 in 2023 for rent under the sublease. Next, Shield Management Group, LLC is a business in which currently Mr. Francis indirectly owns a majority interest. In 2023, Shield Management Group, LLC used the Company’s listing products and participated in other brand promotion opportunities. Shield Management Group, LLC paid the Company a total of $427,797 in 2023 for such products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Appointment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the Company’s Current Report on Form 8-K filed on March 1, 2024 (the “March 8-K”), Susan Echard was appointed as the Company’s interim Chief Financial Officer. On November 7, 2024, the Board approved the appointment of Ms. Echard as the Company’s permanent Chief Financial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5.02 of the March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12, 2024, the Company announced its financial results for the third quarter ended September 30, 2024. The full text of the press release issued in connection with the announcement is furnished as Exhibit 99.1 to this Current Report on Form 8-K and is incorporated by reference.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1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57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12, 2024</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95885</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Third Quarter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Net Income Increased 312% Year-Over-Year to $5.3 million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Cash Increased 31% from Year-End to $45.0 million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Adjusted EBITDA of $11.3 million Represents Eighth Consecutive Quarter of Adjusted EBITDA Profitability</w:t>
      </w:r>
    </w:p>
    <w:p>
      <w:pPr>
        <w:spacing w:after="0" w:line="200" w:lineRule="exact"/>
        <w:rPr>
          <w:sz w:val="20"/>
          <w:szCs w:val="20"/>
          <w:color w:val="auto"/>
        </w:rPr>
      </w:pPr>
    </w:p>
    <w:p>
      <w:pPr>
        <w:spacing w:after="0" w:line="2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Irvine, Calif.--(BUSINESS WIRE)--November 12, 2024-- </w:t>
      </w:r>
      <w:r>
        <w:rPr>
          <w:rFonts w:ascii="Times New Roman" w:cs="Times New Roman" w:eastAsia="Times New Roman" w:hAnsi="Times New Roman"/>
          <w:sz w:val="18"/>
          <w:szCs w:val="18"/>
          <w:color w:val="auto"/>
        </w:rPr>
        <w:t>WM Technology, Inc. (“WM Technology” or the “Company”) (Nasdaq: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software infrastructure provider to the cannabis industry, today announced its financial results for the third quarter ended September 30,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quarter results mark yet another consecutive period of strong financial performance and positive cash flow, underscoring the solid foundation our team has built," said Doug Francis, CEO of WM Technology. "In the two years since I returned to lead the Company, first as its Executive Chair and now as its CEO, we have become a much more focused organization. Our success is a direct result of the team’s hard work, and with our increasing cash and debt-free balance sheet, we are well-positioned to make strategic growth investments in our people and marketplace as we move into next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business continue to strengthen, as evidenced by our eighth consecutive quarter of Adjusted EBITDA profitability," said Susan Echard, CFO of WM Technology. "We are also encouraged by the recent trend in revenue, despite the effects from the strategic actions to sunset certain products last year. We are excited to build on this positive momentum as we set the stage for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62" w:lineRule="exact"/>
        <w:rPr>
          <w:sz w:val="20"/>
          <w:szCs w:val="20"/>
          <w:color w:val="auto"/>
        </w:rPr>
      </w:pP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revenues of $46.6 million increased from $45.9 million in the prior quarter and decreased from $46.7 million in prior year period. The decrease from the prior year period was due to the impact on revenue related to the sunset of certain products in the fourth quarter of 2023, partially offset by growth in certain products.</w:t>
      </w:r>
    </w:p>
    <w:p>
      <w:pPr>
        <w:spacing w:after="0" w:line="78"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5,100 increased from 5,045 in the prior quarter and decreased from 5,414 in the prior year period. The decrease from the prior year period was primarily driven by the impact on client count related to the sunset of the aforementioned products, as well as the removal of clients from our platform who have become delinquent and expected client churn due to continued industry challenges, such as price deflation and ongoing consolidation.</w:t>
      </w:r>
    </w:p>
    <w:p>
      <w:pPr>
        <w:spacing w:after="0" w:line="76" w:lineRule="exact"/>
        <w:rPr>
          <w:rFonts w:ascii="Arial" w:cs="Arial" w:eastAsia="Arial" w:hAnsi="Arial"/>
          <w:sz w:val="22"/>
          <w:szCs w:val="22"/>
          <w:color w:val="auto"/>
        </w:rPr>
      </w:pPr>
    </w:p>
    <w:p>
      <w:pPr>
        <w:jc w:val="both"/>
        <w:ind w:left="1300" w:hanging="320"/>
        <w:spacing w:after="0"/>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$3,043 increased from $3,033 in the prior quarter and increased from $2,874 in the prior year period. The increase from the prior year period was due to sunset of certain products in December 2023, which had lower average monthly spending clients.</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$5.3 million from $1.2 million in the prior quarter and net loss of $2.5 million in the prior year period.</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$11.3 million from $10.1 million in the prior quarter and $10.7 million from the prior year period.</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152.9 million as of September 30, 2024.</w:t>
      </w:r>
    </w:p>
    <w:p>
      <w:pPr>
        <w:spacing w:after="0" w:line="4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increased to $45.0 million as of September 30, 2024, as compared to $34.4 million as of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included in this release.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 Average monthly net revenues per paying client has been retrospectively adjusted to reflect the restatement of previously reported net revenues.</w:t>
      </w:r>
    </w:p>
    <w:p>
      <w:pPr>
        <w:spacing w:after="0" w:line="1"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(loss), see “Reconciliation of Net Income (Loss) to EBITDA and Adjusted EBITDA” below.</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information available as of November 12, 2024, WM Technology is issuing guidance for the fourth quarter of 2024 as follows:</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are estimated to be approximately $46 million.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estimated to be approximately $7 million.</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the Company believes is realizable as of the date of this release. The Company is not readily able to provide a reconciliation of projected Non-GAAP Adjusted EBITDA to projected net income (loss) without unreasonable effort. This guidance assumes that no business acquisitions, investments, restructurings, or legal settlements are concluded in the period. The Company’s results are based on assumptions that it believes to be reasonable as of this date, but may be materially affected by many factors, as discussed below in “Forward-Looking Statements.” Actual results may vary from the guidance and the variations may be material. The Company undertakes no intent or obligation to publicly update or revise any of these projections, whether as a result of new information, future events or otherwise, except as required by law.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Reported 2023 Quarterly Revenues and Credit Losses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 September 30, 2023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Previously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200" w:type="dxa"/>
            <w:vAlign w:val="bottom"/>
          </w:tcPr>
          <w:p>
            <w:pPr>
              <w:spacing w:after="0"/>
              <w:rPr>
                <w:sz w:val="13"/>
                <w:szCs w:val="13"/>
                <w:color w:val="auto"/>
              </w:rPr>
            </w:pPr>
          </w:p>
        </w:tc>
        <w:tc>
          <w:tcPr>
            <w:tcW w:w="112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Previously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3"/>
                <w:szCs w:val="13"/>
                <w:color w:val="auto"/>
              </w:rPr>
            </w:pP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141,526</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147,439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 September 30, 2023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64"/>
        </w:trPr>
        <w:tc>
          <w:tcPr>
            <w:tcW w:w="578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23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0"/>
        </w:trPr>
        <w:tc>
          <w:tcPr>
            <w:tcW w:w="57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today, Tuesday, November 12, 2024, at 2:00 p.m. Pacific Time (5:00 p.m. Eastern Time) at https://edge.media-server.com/mmc/p/fw2hcour. A webcast replay will also be archived at ir.weedmaps.com.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9"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uncertain credit and global financial markets, recent and potential future disruptions in access to bank deposits or lending commitments due to bank failures and geopolitical events, including the military conflicts between Russia and Ukraine and Israel and Hamas and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2023 Annual Report on Form 10-K filed with the SEC on May 24, 2024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principles generally accepted in the United States of America (“GAAP”).</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29"/>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97,376,026</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September 30, 2024 and 94,383,053 shares issued and</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6"/>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97,811,251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-4323080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-4323080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22" w:lineRule="exact"/>
        <w:rPr>
          <w:sz w:val="20"/>
          <w:szCs w:val="20"/>
          <w:color w:val="auto"/>
        </w:rPr>
      </w:pPr>
    </w:p>
    <w:p>
      <w:pPr>
        <w:jc w:val="both"/>
        <w:ind w:firstLine="8"/>
        <w:spacing w:after="0" w:line="228" w:lineRule="auto"/>
        <w:tabs>
          <w:tab w:leader="none" w:pos="15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of Form 10-Q for the period ended September 30, 2024 filed with the SEC.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3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-4911090</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end of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4"/>
        </w:trPr>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28,583</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-334010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7260" w:space="720"/>
            <w:col w:w="3260"/>
          </w:cols>
          <w:pgMar w:left="320" w:top="1035" w:right="339" w:bottom="1440" w:gutter="0" w:footer="0" w:header="0"/>
          <w:type w:val="continuous"/>
        </w:sectPr>
      </w:pPr>
    </w:p>
    <w:p>
      <w:pPr>
        <w:jc w:val="both"/>
        <w:ind w:firstLine="8"/>
        <w:spacing w:after="0" w:line="237" w:lineRule="auto"/>
        <w:tabs>
          <w:tab w:leader="none" w:pos="11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of Form 10-Q for the period ended September 30, 2024 filed with the SEC.</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3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60" w:type="dxa"/>
            <w:vAlign w:val="bottom"/>
          </w:tcPr>
          <w:p>
            <w:pPr>
              <w:spacing w:after="0"/>
              <w:rPr>
                <w:sz w:val="23"/>
                <w:szCs w:val="23"/>
                <w:color w:val="auto"/>
              </w:rPr>
            </w:pPr>
          </w:p>
        </w:tc>
        <w:tc>
          <w:tcPr>
            <w:tcW w:w="32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3"/>
                <w:szCs w:val="23"/>
                <w:color w:val="auto"/>
              </w:rPr>
            </w:pPr>
          </w:p>
        </w:tc>
        <w:tc>
          <w:tcPr>
            <w:tcW w:w="2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r>
      <w:tr>
        <w:trPr>
          <w:trHeight w:val="229"/>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28,028</w:t>
            </w:r>
          </w:p>
        </w:tc>
      </w:tr>
      <w:tr>
        <w:trPr>
          <w:trHeight w:val="21"/>
        </w:trPr>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investors@weedmaps.com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press@weedmaps.com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2024-11-12T16:12:58Z</dcterms:created>
  <dcterms:modified xsi:type="dcterms:W3CDTF">2024-11-12T16:12:58Z</dcterms:modified>
</cp:coreProperties>
</file>