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1725295</wp:posOffset>
            </wp:positionH>
            <wp:positionV relativeFrom="page">
              <wp:posOffset>525780</wp:posOffset>
            </wp:positionV>
            <wp:extent cx="4105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page">
              <wp:posOffset>1725295</wp:posOffset>
            </wp:positionH>
            <wp:positionV relativeFrom="page">
              <wp:posOffset>405765</wp:posOffset>
            </wp:positionV>
            <wp:extent cx="410591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0591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June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61" w:lineRule="exact"/>
        <w:rPr>
          <w:sz w:val="24"/>
          <w:szCs w:val="24"/>
          <w:color w:val="auto"/>
        </w:rPr>
      </w:pPr>
    </w:p>
    <w:p>
      <w:pPr>
        <w:ind w:left="2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43"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4"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1150" w:right="539" w:bottom="1440"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81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23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313055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24, 2025, WM Technology, Inc, (the “Company”) held its 2025 Annual Meeting of Stockholders (the “Annual Meeting”). As of April 28, 2025, the record date for the Annual Meeting (the “Record Date”), 154,373,308 shares of the Company’s common stock were outstanding and entitled to vote at the Annual Meeting. A summary of the matters voted upon by stockholders at the Annual Meeting is set forth below.</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total of 117,465,020 shares of the Company’s common stock were present at the Annual Meeting in person, by virtual attendance, or by proxy, which represents approximately 76% of the shares of the Company’s common stock outstanding as of the Record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stockholders elected the two persons listed below as Class I Directors, each to serve until the Company’s 2028 Annual Meeting of Stockholders or until their successors are duly elected and qualified or until their earlier death, resignation or removal. The final voting results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94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22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3"/>
        </w:trPr>
        <w:tc>
          <w:tcPr>
            <w:tcW w:w="2920" w:type="dxa"/>
            <w:vAlign w:val="bottom"/>
            <w:tcBorders>
              <w:bottom w:val="single" w:sz="8" w:color="CCEEFF"/>
            </w:tcBorders>
            <w:gridSpan w:val="2"/>
            <w:shd w:val="clear" w:color="auto" w:fill="CCEEFF"/>
          </w:tcPr>
          <w:p>
            <w:pPr>
              <w:jc w:val="center"/>
              <w:ind w:right="680"/>
              <w:spacing w:after="0"/>
              <w:rPr>
                <w:sz w:val="20"/>
                <w:szCs w:val="20"/>
                <w:color w:val="auto"/>
              </w:rPr>
            </w:pPr>
            <w:r>
              <w:rPr>
                <w:rFonts w:ascii="Times New Roman" w:cs="Times New Roman" w:eastAsia="Times New Roman" w:hAnsi="Times New Roman"/>
                <w:sz w:val="18"/>
                <w:szCs w:val="18"/>
                <w:color w:val="auto"/>
                <w:w w:val="99"/>
              </w:rPr>
              <w:t>Anthony Bay</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63,265,772</w:t>
            </w:r>
          </w:p>
        </w:tc>
        <w:tc>
          <w:tcPr>
            <w:tcW w:w="7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23,616,419</w:t>
            </w:r>
          </w:p>
        </w:tc>
        <w:tc>
          <w:tcPr>
            <w:tcW w:w="7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30,582,829</w:t>
            </w:r>
          </w:p>
        </w:tc>
      </w:tr>
      <w:tr>
        <w:trPr>
          <w:trHeight w:val="243"/>
        </w:trPr>
        <w:tc>
          <w:tcPr>
            <w:tcW w:w="29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Glen Ibbott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85,062,827</w:t>
            </w:r>
          </w:p>
        </w:tc>
        <w:tc>
          <w:tcPr>
            <w:tcW w:w="700" w:type="dxa"/>
            <w:vAlign w:val="bottom"/>
          </w:tcPr>
          <w:p>
            <w:pPr>
              <w:spacing w:after="0"/>
              <w:rPr>
                <w:sz w:val="21"/>
                <w:szCs w:val="21"/>
                <w:color w:val="auto"/>
              </w:rPr>
            </w:pPr>
          </w:p>
        </w:tc>
        <w:tc>
          <w:tcPr>
            <w:tcW w:w="22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1,819,364</w:t>
            </w:r>
          </w:p>
        </w:tc>
        <w:tc>
          <w:tcPr>
            <w:tcW w:w="700" w:type="dxa"/>
            <w:vAlign w:val="bottom"/>
          </w:tcPr>
          <w:p>
            <w:pPr>
              <w:spacing w:after="0"/>
              <w:rPr>
                <w:sz w:val="21"/>
                <w:szCs w:val="21"/>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30,582,829</w:t>
            </w:r>
          </w:p>
        </w:tc>
      </w:tr>
    </w:tbl>
    <w:p>
      <w:pPr>
        <w:spacing w:after="0" w:line="19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2. Advisory Vote, on an Non-Binding Basis, to approve the Compensation of the Company’s Named Executive Officers for the Year Ended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on a non-binding advisory basis, the compensation of the Company’s named executive officers as disclosed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definitive proxy statement relating to the Annual Meeting. The final voting results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94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22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37"/>
        </w:trPr>
        <w:tc>
          <w:tcPr>
            <w:tcW w:w="22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82,257,989</w:t>
            </w:r>
          </w:p>
        </w:tc>
        <w:tc>
          <w:tcPr>
            <w:tcW w:w="700" w:type="dxa"/>
            <w:vAlign w:val="bottom"/>
            <w:shd w:val="clear" w:color="auto" w:fill="CCEEFF"/>
          </w:tcPr>
          <w:p>
            <w:pPr>
              <w:spacing w:after="0"/>
              <w:rPr>
                <w:sz w:val="20"/>
                <w:szCs w:val="20"/>
                <w:color w:val="auto"/>
              </w:rPr>
            </w:pPr>
          </w:p>
        </w:tc>
        <w:tc>
          <w:tcPr>
            <w:tcW w:w="224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4,545,191</w:t>
            </w:r>
          </w:p>
        </w:tc>
        <w:tc>
          <w:tcPr>
            <w:tcW w:w="700" w:type="dxa"/>
            <w:vAlign w:val="bottom"/>
            <w:shd w:val="clear" w:color="auto" w:fill="CCEEFF"/>
          </w:tcPr>
          <w:p>
            <w:pPr>
              <w:spacing w:after="0"/>
              <w:rPr>
                <w:sz w:val="20"/>
                <w:szCs w:val="20"/>
                <w:color w:val="auto"/>
              </w:rPr>
            </w:pPr>
          </w:p>
        </w:tc>
        <w:tc>
          <w:tcPr>
            <w:tcW w:w="224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79,011</w:t>
            </w:r>
          </w:p>
        </w:tc>
        <w:tc>
          <w:tcPr>
            <w:tcW w:w="700" w:type="dxa"/>
            <w:vAlign w:val="bottom"/>
            <w:shd w:val="clear" w:color="auto" w:fill="CCEEFF"/>
          </w:tcPr>
          <w:p>
            <w:pPr>
              <w:spacing w:after="0"/>
              <w:rPr>
                <w:sz w:val="20"/>
                <w:szCs w:val="20"/>
                <w:color w:val="auto"/>
              </w:rPr>
            </w:pPr>
          </w:p>
        </w:tc>
        <w:tc>
          <w:tcPr>
            <w:tcW w:w="22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30,582,829</w:t>
            </w:r>
          </w:p>
        </w:tc>
      </w:tr>
      <w:tr>
        <w:trPr>
          <w:trHeight w:val="27"/>
        </w:trPr>
        <w:tc>
          <w:tcPr>
            <w:tcW w:w="2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Ratification of Selection of Independent Registered Public Accounting Firm.</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selection of Baker Tilly US, LLP by the Audit Committee of the Board as the Company’s independent registered public accounting firm for the fiscal year ending December 31, 2025. The final voting results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9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20" w:type="dxa"/>
            <w:vAlign w:val="bottom"/>
            <w:gridSpan w:val="2"/>
          </w:tcPr>
          <w:p>
            <w:pPr>
              <w:spacing w:after="0"/>
              <w:rPr>
                <w:sz w:val="2"/>
                <w:szCs w:val="2"/>
                <w:color w:val="auto"/>
              </w:rPr>
            </w:pPr>
          </w:p>
        </w:tc>
      </w:tr>
      <w:tr>
        <w:trPr>
          <w:trHeight w:val="244"/>
        </w:trPr>
        <w:tc>
          <w:tcPr>
            <w:tcW w:w="2220" w:type="dxa"/>
            <w:vAlign w:val="bottom"/>
            <w:tcBorders>
              <w:top w:val="single" w:sz="8" w:color="auto"/>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114,845,681</w:t>
            </w: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2240" w:type="dxa"/>
            <w:vAlign w:val="bottom"/>
            <w:tcBorders>
              <w:top w:val="single" w:sz="8" w:color="auto"/>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2,472,903</w:t>
            </w: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auto"/>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146,436</w:t>
            </w: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2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1"/>
                <w:szCs w:val="21"/>
                <w:color w:val="auto"/>
              </w:rPr>
            </w:pPr>
          </w:p>
        </w:tc>
      </w:tr>
      <w:tr>
        <w:trPr>
          <w:trHeight w:val="1330"/>
        </w:trPr>
        <w:tc>
          <w:tcPr>
            <w:tcW w:w="2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27, 2025</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3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Susan Echard</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000"/>
      </w:cols>
      <w:pgMar w:left="340" w:top="65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2025-06-27T15:25:25Z</dcterms:created>
  <dcterms:modified xsi:type="dcterms:W3CDTF">2025-06-27T15:25:25Z</dcterms:modified>
</cp:coreProperties>
</file>