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287020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278765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7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92971A 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7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JUSTIN HARTFIELD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DOUGLAS FRANCIS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GHOST MEDIA GROUP, LLC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WM FOUNDERS LEGACY I, LLC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WM FOUNDERS LEGACY II, LLC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GENCO INCENTIVES, LLC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49 DISCOVERY, SUITE 200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TELEPHONE: (844) 933-3627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36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May 31,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279400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CUSIP No. 92971A 109</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Hartfield</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38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38683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1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61,679 shares of Class A common stock</w:t>
            </w:r>
          </w:p>
        </w:tc>
        <w:tc>
          <w:tcPr>
            <w:tcW w:w="0" w:type="dxa"/>
            <w:vAlign w:val="bottom"/>
          </w:tcPr>
          <w:p>
            <w:pPr>
              <w:spacing w:after="0"/>
              <w:rPr>
                <w:sz w:val="1"/>
                <w:szCs w:val="1"/>
                <w:color w:val="auto"/>
              </w:rPr>
            </w:pPr>
          </w:p>
        </w:tc>
      </w:tr>
      <w:tr>
        <w:trPr>
          <w:trHeight w:val="180"/>
        </w:trPr>
        <w:tc>
          <w:tcPr>
            <w:tcW w:w="1280" w:type="dxa"/>
            <w:vAlign w:val="bottom"/>
            <w:vMerge w:val="continue"/>
          </w:tcPr>
          <w:p>
            <w:pPr>
              <w:spacing w:after="0"/>
              <w:rPr>
                <w:sz w:val="15"/>
                <w:szCs w:val="15"/>
                <w:color w:val="auto"/>
              </w:rPr>
            </w:pPr>
          </w:p>
        </w:tc>
        <w:tc>
          <w:tcPr>
            <w:tcW w:w="94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19,278,067 shares of Class V common stock</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9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  10,040,150 shares of Class V common stock (2)</w:t>
            </w:r>
          </w:p>
        </w:tc>
        <w:tc>
          <w:tcPr>
            <w:tcW w:w="0" w:type="dxa"/>
            <w:vAlign w:val="bottom"/>
          </w:tcPr>
          <w:p>
            <w:pPr>
              <w:spacing w:after="0"/>
              <w:rPr>
                <w:sz w:val="1"/>
                <w:szCs w:val="1"/>
                <w:color w:val="auto"/>
              </w:rPr>
            </w:pPr>
          </w:p>
        </w:tc>
      </w:tr>
      <w:tr>
        <w:trPr>
          <w:trHeight w:val="125"/>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9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  61,679 shares of Class A common stock</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80" w:type="dxa"/>
            <w:vAlign w:val="bottom"/>
            <w:vMerge w:val="continue"/>
          </w:tcPr>
          <w:p>
            <w:pPr>
              <w:spacing w:after="0"/>
              <w:rPr>
                <w:sz w:val="7"/>
                <w:szCs w:val="7"/>
                <w:color w:val="auto"/>
              </w:rPr>
            </w:pPr>
          </w:p>
        </w:tc>
        <w:tc>
          <w:tcPr>
            <w:tcW w:w="9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  19,278,067 shares of Class V common stock</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9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SHARED DISPOSITIVE POWER</w:t>
            </w: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10,040,150 shares of Class V common stock (2)</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29,379,896 shares of Class A common stock and Class V common stock</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(as defined below) is filed by Justin Hartfield (“Hartfield”), Douglas Francis (“Francis”), Ghost Media Group, LLC (“Ghost Media”), WM Founders Legacy I, LLC (“WMFL I”), WM Founders Legacy II, LLC (“WMFL II”) and Genco Incentives LLC (“Genco”) (Hartfield, Francis, Ghost Media, WMFL I, WMFL II and Genco are herein collectively referred to as the “Reporting Persons”). The Reporting Persons expressly disclaim status as a “group” for purposes of this Schedule 13D (as defined below).</w:t>
      </w:r>
    </w:p>
    <w:p>
      <w:pPr>
        <w:spacing w:after="0" w:line="2"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8,469,191 shares held directly by Ghost Media and 1,570,959 shares held directly by WMFL II. Ghost Media is controlled by Hartfield and Francis, and WMFL II is controlled by Hartfield. Accordingly, Hartfield may be deemed to be a beneficial owner of the shares held by Ghost Media and WMFL II.</w:t>
      </w:r>
    </w:p>
    <w:p>
      <w:pPr>
        <w:spacing w:after="0" w:line="1" w:lineRule="exact"/>
        <w:rPr>
          <w:rFonts w:ascii="Times New Roman" w:cs="Times New Roman" w:eastAsia="Times New Roman" w:hAnsi="Times New Roman"/>
          <w:sz w:val="18"/>
          <w:szCs w:val="18"/>
          <w:color w:val="auto"/>
        </w:rPr>
      </w:pPr>
    </w:p>
    <w:p>
      <w:pPr>
        <w:ind w:left="424" w:right="46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ectPr>
          <w:pgSz w:w="11900" w:h="16838" w:orient="portrait"/>
          <w:cols w:equalWidth="0" w:num="1">
            <w:col w:w="10904"/>
          </w:cols>
          <w:pgMar w:left="436" w:top="270" w:right="5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CUSIP No. 92971A 109</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38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38619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1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4,792,347 shares of Class A common stock</w:t>
            </w:r>
          </w:p>
        </w:tc>
        <w:tc>
          <w:tcPr>
            <w:tcW w:w="0" w:type="dxa"/>
            <w:vAlign w:val="bottom"/>
          </w:tcPr>
          <w:p>
            <w:pPr>
              <w:spacing w:after="0"/>
              <w:rPr>
                <w:sz w:val="1"/>
                <w:szCs w:val="1"/>
                <w:color w:val="auto"/>
              </w:rPr>
            </w:pPr>
          </w:p>
        </w:tc>
      </w:tr>
      <w:tr>
        <w:trPr>
          <w:trHeight w:val="180"/>
        </w:trPr>
        <w:tc>
          <w:tcPr>
            <w:tcW w:w="1280" w:type="dxa"/>
            <w:vAlign w:val="bottom"/>
            <w:vMerge w:val="continue"/>
          </w:tcPr>
          <w:p>
            <w:pPr>
              <w:spacing w:after="0"/>
              <w:rPr>
                <w:sz w:val="15"/>
                <w:szCs w:val="15"/>
                <w:color w:val="auto"/>
              </w:rPr>
            </w:pPr>
          </w:p>
        </w:tc>
        <w:tc>
          <w:tcPr>
            <w:tcW w:w="94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12,431,818 shares of Class V common stock</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9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  10,538,365 shares of Class V common stock (2)</w:t>
            </w:r>
          </w:p>
        </w:tc>
        <w:tc>
          <w:tcPr>
            <w:tcW w:w="0" w:type="dxa"/>
            <w:vAlign w:val="bottom"/>
          </w:tcPr>
          <w:p>
            <w:pPr>
              <w:spacing w:after="0"/>
              <w:rPr>
                <w:sz w:val="1"/>
                <w:szCs w:val="1"/>
                <w:color w:val="auto"/>
              </w:rPr>
            </w:pPr>
          </w:p>
        </w:tc>
      </w:tr>
      <w:tr>
        <w:trPr>
          <w:trHeight w:val="125"/>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9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  4,792,347 shares of Class A common stock</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80" w:type="dxa"/>
            <w:vAlign w:val="bottom"/>
            <w:vMerge w:val="continue"/>
          </w:tcPr>
          <w:p>
            <w:pPr>
              <w:spacing w:after="0"/>
              <w:rPr>
                <w:sz w:val="7"/>
                <w:szCs w:val="7"/>
                <w:color w:val="auto"/>
              </w:rPr>
            </w:pPr>
          </w:p>
        </w:tc>
        <w:tc>
          <w:tcPr>
            <w:tcW w:w="9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  12,431,818 shares of Class V common stock</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9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SHARED DISPOSITIVE POWER</w:t>
            </w: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10,538,365 shares of Class V common stock (2)</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27,762,529 shares of Class A common stock and Class V common stock</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filed by the Reporting Persons.</w:t>
      </w:r>
    </w:p>
    <w:p>
      <w:pPr>
        <w:spacing w:after="0" w:line="27" w:lineRule="exact"/>
        <w:rPr>
          <w:rFonts w:ascii="Times New Roman" w:cs="Times New Roman" w:eastAsia="Times New Roman" w:hAnsi="Times New Roman"/>
          <w:sz w:val="18"/>
          <w:szCs w:val="18"/>
          <w:color w:val="auto"/>
        </w:rPr>
      </w:pPr>
    </w:p>
    <w:p>
      <w:pPr>
        <w:ind w:left="424" w:right="38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8,469,191 shares held directly by Ghost Media, 1,468,555 shares held directly by WMFL I and 600,618 shares held directly by Genco. Ghost Media is controlled by Hartfield and Francis, and WMFL I and Genco are controlled by Francis. Accordingly, Francis may be deemed to be a beneficial owner of the shares held by Ghost Media, WMFL I and Genco.</w:t>
      </w:r>
    </w:p>
    <w:p>
      <w:pPr>
        <w:spacing w:after="0" w:line="1" w:lineRule="exact"/>
        <w:rPr>
          <w:rFonts w:ascii="Times New Roman" w:cs="Times New Roman" w:eastAsia="Times New Roman" w:hAnsi="Times New Roman"/>
          <w:sz w:val="18"/>
          <w:szCs w:val="18"/>
          <w:color w:val="auto"/>
        </w:rPr>
      </w:pPr>
    </w:p>
    <w:p>
      <w:pPr>
        <w:ind w:left="424" w:right="46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ectPr>
          <w:pgSz w:w="11900" w:h="16838" w:orient="portrait"/>
          <w:cols w:equalWidth="0" w:num="1">
            <w:col w:w="10904"/>
          </w:cols>
          <w:pgMar w:left="436" w:top="270" w:right="5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CUSIP No. 92971A 109</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Ghost Media Group,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8,469,191 shares of Class V common stock (2)</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8,469,191 shares of Class V common stock (2)</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8,469,191 shares of Class V common stock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filed by the Reporting Persons.</w:t>
      </w:r>
    </w:p>
    <w:p>
      <w:pPr>
        <w:spacing w:after="0" w:line="27"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Ghost Media. Ghost Media is controlled by Hartfield and Francis. Accordingly, Hartfield and Francis may be deemed to be beneficial owners of the shares held by Ghost Media.</w:t>
      </w:r>
    </w:p>
    <w:p>
      <w:pPr>
        <w:ind w:left="424" w:right="460" w:hanging="424"/>
        <w:spacing w:after="0" w:line="26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ectPr>
          <w:pgSz w:w="11900" w:h="16838" w:orient="portrait"/>
          <w:cols w:equalWidth="0" w:num="1">
            <w:col w:w="10904"/>
          </w:cols>
          <w:pgMar w:left="436" w:top="270" w:right="5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CUSIP No. 92971A 109</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WM Founders Legacy I, LLC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1,468,555 shares of Class V common stock (2)</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1,468,555 shares of Class V common stock (2)</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1,468,555 shares of Class V common stock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filed by the Reporting Persons.</w:t>
      </w:r>
    </w:p>
    <w:p>
      <w:pPr>
        <w:spacing w:after="0" w:line="27"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WMFL I. WMFL I is controlled by Francis. Accordingly, Francis may be deemed to be beneficial owner of the shares held by WMFL I.</w:t>
      </w:r>
    </w:p>
    <w:p>
      <w:pPr>
        <w:ind w:left="424" w:right="460" w:hanging="424"/>
        <w:spacing w:after="0" w:line="26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ectPr>
          <w:pgSz w:w="11900" w:h="16838" w:orient="portrait"/>
          <w:cols w:equalWidth="0" w:num="1">
            <w:col w:w="10904"/>
          </w:cols>
          <w:pgMar w:left="436" w:top="270" w:right="55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CUSIP No. 92971A 109</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WM Founders Legacy II, LLC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1,570,959 shares of Class V common stock (2)</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1,570,959 shares of Class V common stock (2)</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1,570,959 shares of Class V common stock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filed by the Reporting Persons.</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WMFL II. WMFL II is controlled by Hartfield. Accordingly, Hartfield may be deemed to be beneficial owner of the shares held by WMFL II.</w:t>
      </w:r>
    </w:p>
    <w:p>
      <w:pPr>
        <w:ind w:left="424" w:right="480" w:hanging="424"/>
        <w:spacing w:after="0" w:line="26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ectPr>
          <w:pgSz w:w="11900" w:h="16838" w:orient="portrait"/>
          <w:cols w:equalWidth="0" w:num="1">
            <w:col w:w="10924"/>
          </w:cols>
          <w:pgMar w:left="436" w:top="270" w:right="5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CUSIP No. 92971A 109</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Genco Incentives,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BOX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600,618 shares of Class V common stock (2)</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600,618 shares of Class V common stock (2)</w:t>
      </w:r>
    </w:p>
    <w:p>
      <w:pPr>
        <w:spacing w:after="0" w:line="36" w:lineRule="exact"/>
        <w:rPr>
          <w:sz w:val="20"/>
          <w:szCs w:val="20"/>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600,618 shares of Class V common stock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(3)</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filed by the Reporting Persons.</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Genco. Genco is controlled by Francis. Accordingly, Francis may be deemed to be beneficial owner of the shares held by Genco.</w:t>
      </w:r>
    </w:p>
    <w:p>
      <w:pPr>
        <w:ind w:left="424" w:right="520" w:hanging="424"/>
        <w:spacing w:after="0" w:line="26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ectPr>
          <w:pgSz w:w="11900" w:h="16838" w:orient="portrait"/>
          <w:cols w:equalWidth="0" w:num="1">
            <w:col w:w="10964"/>
          </w:cols>
          <w:pgMar w:left="436" w:top="27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Amendment No. 1 (this “Amendment”) amends and supplements the Schedule 13D originally filed by the undersigned with the Securities and Exchange Commission on June 28, 2021 (the “Original Schedule 13D” and, as amended by this Amendment, this “Schedule 13D”). Only those items that are hereby reported are amended; all other items reported in the Original Schedule 13D are materially unchanged. Information given in response to each item shall be deemed incorporated by reference in all other items, as applicable. Capitalized terms not defined in this Amendment have the meanings ascribed to them in the Original Schedule 13D.</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Reporting Persons originally acquired an aggregate of 48,559,969 shares of Class V common stock of the Issuer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consideration used to acquire beneficial ownership of such shares of Class V common stock of the Issuer consisted solely of securities of WMH. An aggregate of 4,740,760 of such shares of Class V common stock of the Issuer have since been exchanged on a one-for-one basis for shares of Class A common stock of the issuer pursuant to that certain Exchange Agreement, dated June 16, 2021, by and among the Issuer, WMH and the holders from time to time party thereto.</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61,679 shares of Class A common stock of the Issuer beneficially owned by Hartfield were acquired by Hartfield upon the vesting of restricted stock units awarded to Hartfield under the Issuer’s 2021 Equity Incentive Plan.</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61,680 of the shares of Class A common stock of the Issuer beneficially owned by Francis were acquired by Francis upon the vesting of restricted stock units awarded to Francis under the Issuer’s 2021 Equity Incentive Plan.</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Original Schedule 13D was filed to report that the Reporting Persons purchased the aforementioned securities for investment purposes with the aim of increasing the value of their investments in the Issuer. Subject to applicable legal requirements, one or more of the Reporting Persons may purchase additional securities of the Issuer from time to time in open market or private transactions on such terms and at such times as each may decide. In addition, depending upon the factors referred to above and herein, the Reporting Persons may dispose of all or a portion of their securities of the Issuer at any time. The Reporting Persons may also engage from time to time, in ordinary course transactions with financial institutions with respect to the securities described herein.</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Reporting Persons have determined to consider and evaluate one or more potential transactions which may result in one or more of the actions specified in clauses (a) through (j) of Item 4 of Schedule 13D of the Act, including, but not limited to, an extraordinary corporate transaction, such as a merger, reorganization or liquidation, sale of a material amount of assets of the Issuer or its subsidiaries, or other transactions which might have the effect of causing the Class A common stock to become eligible for termination of registration under Section 12(g) of the Act.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part of this consideration and evaluation, the Reporting Persons will be engaging in discussions on an ongoing basis with potential sources of debt and equity financing and with representatives of the Issuer. The Reporting Persons do not intend to amend this schedule in relation to such evaluation and discussions unless and until a formal proposal has been delivered to the Issuer or an agreement has been reached, except if facts and circumstances otherwise require the Reporting Persons to do so.</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Reporting Persons retain the right to change their investment intent at any time and there is no assurance the Reporting Persons will continue consideration or evaluation of any transactions or make a formal proposal or that any transaction so considered, evaluated or discussed will be pursued and, if pursued, will be consummated. Moreover, any actions described in this Item 4 that the Reporting Persons might undertake may be made at any time and from time to time and such determinations will be dependent upon the Reporting Persons’ review of numerous factors, including, but not limited to, an ongoing evaluation of the Issuer’s business, financial condition, operations and prospects; availability and terms of financing; price levels of the Issuer’s securities; general market, industry and economic conditions; and other future developments affecting the Issuer.</w:t>
      </w:r>
    </w:p>
    <w:p>
      <w:pPr>
        <w:sectPr>
          <w:pgSz w:w="11900" w:h="16838" w:orient="portrait"/>
          <w:cols w:equalWidth="0" w:num="1">
            <w:col w:w="10980"/>
          </w:cols>
          <w:pgMar w:left="440" w:top="266" w:right="479" w:bottom="1440" w:gutter="0" w:footer="0" w:header="0"/>
        </w:sectPr>
      </w:pPr>
    </w:p>
    <w:bookmarkStart w:id="8" w:name="page9"/>
    <w:bookmarkEnd w:id="8"/>
    <w:p>
      <w:pPr>
        <w:ind w:left="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as described in this Item 4 above, the Reporting Persons do not have any current plans or proposals that relate to or that would result in any of the transactions or other matters specified in clauses (a) through (j) of Item 4 of Schedule 13D of the Act.</w:t>
      </w:r>
    </w:p>
    <w:p>
      <w:pPr>
        <w:spacing w:after="0" w:line="30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(a)(b) The following information with respect to the ownership of the Class A common stock and Class V common stock of the Issuer by the Reporting Persons filing this Schedule 13D is provided as of the date of this filing:</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w:t>
            </w:r>
          </w:p>
        </w:tc>
        <w:tc>
          <w:tcPr>
            <w:tcW w:w="2460" w:type="dxa"/>
            <w:vAlign w:val="bottom"/>
          </w:tcPr>
          <w:p>
            <w:pPr>
              <w:jc w:val="center"/>
              <w:ind w:left="129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Sole</w:t>
            </w: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0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9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2460" w:type="dxa"/>
            <w:vAlign w:val="bottom"/>
          </w:tcPr>
          <w:p>
            <w:pPr>
              <w:jc w:val="center"/>
              <w:ind w:left="1276"/>
              <w:spacing w:after="0" w:line="149" w:lineRule="exact"/>
              <w:rPr>
                <w:sz w:val="20"/>
                <w:szCs w:val="20"/>
                <w:color w:val="auto"/>
              </w:rPr>
            </w:pPr>
            <w:r>
              <w:rPr>
                <w:rFonts w:ascii="Times New Roman" w:cs="Times New Roman" w:eastAsia="Times New Roman" w:hAnsi="Times New Roman"/>
                <w:sz w:val="14"/>
                <w:szCs w:val="14"/>
                <w:b w:val="1"/>
                <w:bCs w:val="1"/>
                <w:color w:val="auto"/>
              </w:rPr>
              <w:t>Held</w:t>
            </w:r>
          </w:p>
        </w:tc>
        <w:tc>
          <w:tcPr>
            <w:tcW w:w="1020" w:type="dxa"/>
            <w:vAlign w:val="bottom"/>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02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10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Persons (1)</w:t>
            </w:r>
          </w:p>
        </w:tc>
        <w:tc>
          <w:tcPr>
            <w:tcW w:w="2460" w:type="dxa"/>
            <w:vAlign w:val="bottom"/>
          </w:tcPr>
          <w:p>
            <w:pPr>
              <w:jc w:val="center"/>
              <w:ind w:left="1296"/>
              <w:spacing w:after="0"/>
              <w:rPr>
                <w:sz w:val="20"/>
                <w:szCs w:val="20"/>
                <w:color w:val="auto"/>
              </w:rPr>
            </w:pPr>
            <w:r>
              <w:rPr>
                <w:rFonts w:ascii="Times New Roman" w:cs="Times New Roman" w:eastAsia="Times New Roman" w:hAnsi="Times New Roman"/>
                <w:sz w:val="14"/>
                <w:szCs w:val="14"/>
                <w:b w:val="1"/>
                <w:bCs w:val="1"/>
                <w:color w:val="auto"/>
                <w:w w:val="99"/>
              </w:rPr>
              <w:t>Directly</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of Class (2)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Hartfield</w:t>
            </w:r>
          </w:p>
        </w:tc>
        <w:tc>
          <w:tcPr>
            <w:tcW w:w="2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19,339,746</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19,339,746</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10,040,150</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19,339,746</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10,040,150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29,379,896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Francis</w:t>
            </w:r>
          </w:p>
        </w:tc>
        <w:tc>
          <w:tcPr>
            <w:tcW w:w="2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17,224,165</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17,224,165</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10,538,365</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17,224,165</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10,538,365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27,762,530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Ghost Media</w:t>
            </w:r>
          </w:p>
        </w:tc>
        <w:tc>
          <w:tcPr>
            <w:tcW w:w="2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8,469,191</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8,469,191</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8,469,191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WMFL I</w:t>
            </w:r>
          </w:p>
        </w:tc>
        <w:tc>
          <w:tcPr>
            <w:tcW w:w="2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1,468,555</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1,468,555</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1,468,555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1,468,555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WMFL II</w:t>
            </w:r>
          </w:p>
        </w:tc>
        <w:tc>
          <w:tcPr>
            <w:tcW w:w="2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1,570,959</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1,570,959</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1,570,959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1,570,959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Genco</w:t>
            </w:r>
          </w:p>
        </w:tc>
        <w:tc>
          <w:tcPr>
            <w:tcW w:w="2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600,618</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600,618</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600,618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120" w:hanging="424"/>
        <w:spacing w:after="0" w:line="253"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Class A common stock and Class V common stock currently underlying all Securities held by the Reporting Persons. The shares are owned as follows: (i) 61,679 shares of Class A common stock and 19,278,067 shares of Class V common stock by Hartfield, (ii) 4,792,347 shares of Class A common stock and 12,431,818 shares of Class V common stock by Francis, (iii) 8,469,191 shares of Class V common stock by Ghost Media, (iv) 1,468,555 shares of Class V common stock by WMFL I, (v) 1,570,959 shares of Class V common stock by WMFL II and (vi) 600,618 shares of Class V common stock by Genco. Ghost Media is controlled by Hartfield and Francis, WMFL II is controlled by Hartfield and WMFL I and Genco are controlled by Francis. Accordingly, Hartfield and Francis may be deemed to be the beneficial owners of the shares held by Ghost Media, Hartfield may be deemed to be the beneficial owner of the shares held by WMFL II and Francis may be deemed to be the beneficial owner of the shares held by WMFL I and Genco.</w:t>
      </w:r>
    </w:p>
    <w:p>
      <w:pPr>
        <w:ind w:left="424" w:right="580" w:hanging="424"/>
        <w:spacing w:after="0" w:line="26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set forth on the cover sheets is calculated based on a total of 150,538,096 shares of the Issuer’s Class A common stock and Class V common stock outstanding as of May 13, 2024.</w:t>
      </w:r>
    </w:p>
    <w:p>
      <w:pPr>
        <w:spacing w:after="0" w:line="87" w:lineRule="exact"/>
        <w:rPr>
          <w:sz w:val="20"/>
          <w:szCs w:val="20"/>
          <w:color w:val="auto"/>
        </w:rPr>
      </w:pPr>
    </w:p>
    <w:p>
      <w:pPr>
        <w:ind w:left="424" w:right="8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effected any transactions in the Class A common stock or Class V common stock in the sixty (60) days preceding the date of this Schedule 13D.</w:t>
      </w:r>
    </w:p>
    <w:p>
      <w:pPr>
        <w:spacing w:after="0" w:line="6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6 hereof, no person has the right to receive or the power to direct the receipt of dividends from, or the proceeds from the sale of, the Class A common stock and Class V common stock reported herein.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furnished in Item 3 is incorporated into this Item 6 by reference.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135"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regarding filing of joint Schedule 13D</w:t>
      </w:r>
    </w:p>
    <w:p>
      <w:pPr>
        <w:sectPr>
          <w:pgSz w:w="11900" w:h="16838" w:orient="portrait"/>
          <w:cols w:equalWidth="0" w:num="1">
            <w:col w:w="11024"/>
          </w:cols>
          <w:pgMar w:left="436" w:top="270"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31, 2024</w:t>
      </w:r>
    </w:p>
    <w:p>
      <w:pPr>
        <w:spacing w:after="0" w:line="225"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Justin Hartfield</w:t>
      </w:r>
    </w:p>
    <w:p>
      <w:pPr>
        <w:spacing w:after="0" w:line="225"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Douglas Francis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Ghost Media, LLC</w:t>
      </w:r>
    </w:p>
    <w:p>
      <w:pPr>
        <w:spacing w:after="0" w:line="225"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Douglas Francis</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TS</w:t>
      </w:r>
      <w:r>
        <w:rPr>
          <w:rFonts w:ascii="Times New Roman" w:cs="Times New Roman" w:eastAsia="Times New Roman" w:hAnsi="Times New Roman"/>
          <w:sz w:val="18"/>
          <w:szCs w:val="18"/>
          <w:color w:val="auto"/>
        </w:rPr>
        <w:t>: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WM Founders Legacy I, LLC</w:t>
      </w:r>
    </w:p>
    <w:p>
      <w:pPr>
        <w:spacing w:after="0" w:line="225"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Douglas Francis</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TS</w:t>
      </w:r>
      <w:r>
        <w:rPr>
          <w:rFonts w:ascii="Times New Roman" w:cs="Times New Roman" w:eastAsia="Times New Roman" w:hAnsi="Times New Roman"/>
          <w:sz w:val="18"/>
          <w:szCs w:val="18"/>
          <w:color w:val="auto"/>
        </w:rPr>
        <w:t>: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WM Founders Legacy II, LLC</w:t>
      </w:r>
    </w:p>
    <w:p>
      <w:pPr>
        <w:spacing w:after="0" w:line="225"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By: Justin Hartfield</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Its: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Genco Incentives, LLC</w:t>
      </w:r>
    </w:p>
    <w:p>
      <w:pPr>
        <w:spacing w:after="0" w:line="225"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Douglas Francis</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TS</w:t>
      </w:r>
      <w:r>
        <w:rPr>
          <w:rFonts w:ascii="Times New Roman" w:cs="Times New Roman" w:eastAsia="Times New Roman" w:hAnsi="Times New Roman"/>
          <w:sz w:val="18"/>
          <w:szCs w:val="18"/>
          <w:color w:val="auto"/>
        </w:rPr>
        <w:t>: Manager</w:t>
      </w:r>
    </w:p>
    <w:p>
      <w:pPr>
        <w:spacing w:after="0" w:line="20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ind w:left="3344"/>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w:t>
      </w:r>
    </w:p>
    <w:p>
      <w:pPr>
        <w:spacing w:after="0" w:line="31"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18"/>
          <w:szCs w:val="18"/>
          <w:b w:val="1"/>
          <w:bCs w:val="1"/>
          <w:color w:val="auto"/>
        </w:rPr>
        <w:t>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266" w:right="51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ind w:left="784" w:hanging="784"/>
        <w:spacing w:after="0"/>
        <w:tabs>
          <w:tab w:leader="none" w:pos="7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regarding filing of joint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266"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 the undersigned, hereby express my agreement that the attached Schedule 13D (and any amendments thereto) relating to the Class A common stock of WM Technology, Inc. is filed on behalf of each of the undersigned.</w:t>
      </w:r>
    </w:p>
    <w:p>
      <w:pPr>
        <w:spacing w:after="0" w:line="1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31, 2024</w:t>
      </w:r>
    </w:p>
    <w:p>
      <w:pPr>
        <w:spacing w:after="0" w:line="225" w:lineRule="exact"/>
        <w:rPr>
          <w:sz w:val="20"/>
          <w:szCs w:val="20"/>
          <w:color w:val="auto"/>
        </w:rPr>
      </w:pPr>
    </w:p>
    <w:p>
      <w:pPr>
        <w:ind w:left="544" w:right="9160" w:hanging="544"/>
        <w:spacing w:after="0" w:line="313"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 Justin Hartfield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-193675</wp:posOffset>
            </wp:positionV>
            <wp:extent cx="24517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2451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Douglas Francis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Ghost Media, LLC</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24517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Douglas Francis</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TS</w:t>
      </w:r>
      <w:r>
        <w:rPr>
          <w:rFonts w:ascii="Times New Roman" w:cs="Times New Roman" w:eastAsia="Times New Roman" w:hAnsi="Times New Roman"/>
          <w:sz w:val="18"/>
          <w:szCs w:val="18"/>
          <w:color w:val="auto"/>
        </w:rPr>
        <w:t>: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WM Founders Legacy I, LLC</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24517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Douglas Francis</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TS</w:t>
      </w:r>
      <w:r>
        <w:rPr>
          <w:rFonts w:ascii="Times New Roman" w:cs="Times New Roman" w:eastAsia="Times New Roman" w:hAnsi="Times New Roman"/>
          <w:sz w:val="18"/>
          <w:szCs w:val="18"/>
          <w:color w:val="auto"/>
        </w:rPr>
        <w:t>: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WM Founders Legacy II, LLC</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24517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By: Justin Hartfield</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Genco Incentives, LLC</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2451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 Douglas Francis</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TS</w:t>
      </w:r>
      <w:r>
        <w:rPr>
          <w:rFonts w:ascii="Times New Roman" w:cs="Times New Roman" w:eastAsia="Times New Roman" w:hAnsi="Times New Roman"/>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
      <w:numFmt w:val="bullet"/>
      <w:start w:val="1"/>
    </w:lvl>
    <w:lvl w:ilvl="1">
      <w:lvlJc w:val="left"/>
      <w:lvlText w:val=" "/>
      <w:numFmt w:val="bullet"/>
      <w:start w:val="1"/>
    </w:lvl>
  </w:abstractNum>
  <w:abstractNum w:abstractNumId="2">
    <w:nsid w:val="3F2DBA3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7C83E45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257130A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62BBD95A"/>
    <w:multiLevelType w:val="hybridMultilevel"/>
    <w:lvl w:ilvl="0">
      <w:lvlJc w:val="left"/>
      <w:lvlText w:val=" "/>
      <w:numFmt w:val="bullet"/>
      <w:start w:val="1"/>
    </w:lvl>
    <w:lvl w:ilvl="1">
      <w:lvlJc w:val="left"/>
      <w:lvlText w:val=" "/>
      <w:numFmt w:val="bullet"/>
      <w:start w:val="1"/>
    </w:lvl>
  </w:abstractNum>
  <w:abstractNum w:abstractNumId="6">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628C895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333AB10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721DA317"/>
    <w:multiLevelType w:val="hybridMultilevel"/>
    <w:lvl w:ilvl="0">
      <w:lvlJc w:val="left"/>
      <w:lvlText w:val=" "/>
      <w:numFmt w:val="bullet"/>
      <w:start w:val="1"/>
    </w:lvl>
    <w:lvl w:ilvl="1">
      <w:lvlJc w:val="left"/>
      <w:lvlText w:val=" "/>
      <w:numFmt w:val="bullet"/>
      <w:start w:val="1"/>
    </w:lvl>
  </w:abstractNum>
  <w:abstractNum w:abstractNumId="10">
    <w:nsid w:val="2443A8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2D1D5AE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6763845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75A2A8D4"/>
    <w:multiLevelType w:val="hybridMultilevel"/>
    <w:lvl w:ilvl="0">
      <w:lvlJc w:val="left"/>
      <w:lvlText w:val=" "/>
      <w:numFmt w:val="bullet"/>
      <w:start w:val="1"/>
    </w:lvl>
    <w:lvl w:ilvl="1">
      <w:lvlJc w:val="left"/>
      <w:lvlText w:val=" "/>
      <w:numFmt w:val="bullet"/>
      <w:start w:val="1"/>
    </w:lvl>
  </w:abstractNum>
  <w:abstractNum w:abstractNumId="14">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79838CB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4353D0C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B03E0C6"/>
    <w:multiLevelType w:val="hybridMultilevel"/>
    <w:lvl w:ilvl="0">
      <w:lvlJc w:val="left"/>
      <w:lvlText w:val=" "/>
      <w:numFmt w:val="bullet"/>
      <w:start w:val="1"/>
    </w:lvl>
    <w:lvl w:ilvl="1">
      <w:lvlJc w:val="left"/>
      <w:lvlText w:val=" "/>
      <w:numFmt w:val="bullet"/>
      <w:start w:val="1"/>
    </w:lvl>
  </w:abstractNum>
  <w:abstractNum w:abstractNumId="18">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54E49EB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71F3245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2CA88611"/>
    <w:multiLevelType w:val="hybridMultilevel"/>
    <w:lvl w:ilvl="0">
      <w:lvlJc w:val="left"/>
      <w:lvlText w:val=" "/>
      <w:numFmt w:val="bullet"/>
      <w:start w:val="1"/>
    </w:lvl>
    <w:lvl w:ilvl="1">
      <w:lvlJc w:val="left"/>
      <w:lvlText w:val=" "/>
      <w:numFmt w:val="bullet"/>
      <w:start w:val="1"/>
    </w:lvl>
  </w:abstractNum>
  <w:abstractNum w:abstractNumId="22">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2901D8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3A95F87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upperLetter"/>
      <w:start w:val="1"/>
    </w:lvl>
  </w:abstractNum>
  <w:abstractNum w:abstractNumId="28">
    <w:nsid w:val="737B8DDC"/>
    <w:multiLevelType w:val="hybridMultilevel"/>
    <w:lvl w:ilvl="0">
      <w:lvlJc w:val="left"/>
      <w:lvlText w:val=" "/>
      <w:numFmt w:val="bullet"/>
      <w:start w:val="1"/>
    </w:lvl>
  </w:abstractNum>
  <w:abstractNum w:abstractNumId="29">
    <w:nsid w:val="6CEAF087"/>
    <w:multiLevelType w:val="hybridMultilevel"/>
    <w:lvl w:ilvl="0">
      <w:lvlJc w:val="left"/>
      <w:lvlText w:val=" "/>
      <w:numFmt w:val="bullet"/>
      <w:start w:val="1"/>
    </w:lvl>
  </w:abstractNum>
  <w:abstractNum w:abstractNumId="30">
    <w:nsid w:val="22221A70"/>
    <w:multiLevelType w:val="hybridMultilevel"/>
    <w:lvl w:ilvl="0">
      <w:lvlJc w:val="left"/>
      <w:lvlText w:val=" "/>
      <w:numFmt w:val="bullet"/>
      <w:start w:val="1"/>
    </w:lvl>
  </w:abstractNum>
  <w:abstractNum w:abstractNumId="31">
    <w:nsid w:val="4516DDE9"/>
    <w:multiLevelType w:val="hybridMultilevel"/>
    <w:lvl w:ilvl="0">
      <w:lvlJc w:val="left"/>
      <w:lvlText w:val=" "/>
      <w:numFmt w:val="bullet"/>
      <w:start w:val="1"/>
    </w:lvl>
  </w:abstractNum>
  <w:abstractNum w:abstractNumId="32">
    <w:nsid w:val="3006C83E"/>
    <w:multiLevelType w:val="hybridMultilevel"/>
    <w:lvl w:ilvl="0">
      <w:lvlJc w:val="left"/>
      <w:lvlText w:val="%1."/>
      <w:numFmt w:val="upperLetter"/>
      <w:start w:val="1"/>
    </w:lvl>
  </w:abstractNum>
  <w:abstractNum w:abstractNumId="33">
    <w:nsid w:val="614FD4A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2024-05-31T15:21:09Z</dcterms:created>
  <dcterms:modified xsi:type="dcterms:W3CDTF">2024-05-31T15:21:09Z</dcterms:modified>
</cp:coreProperties>
</file>