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1717040</wp:posOffset>
            </wp:positionH>
            <wp:positionV relativeFrom="page">
              <wp:posOffset>405765</wp:posOffset>
            </wp:positionV>
            <wp:extent cx="41148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14800" cy="34290"/>
                    </a:xfrm>
                    <a:prstGeom prst="rect">
                      <a:avLst/>
                    </a:prstGeom>
                    <a:noFill/>
                  </pic:spPr>
                </pic:pic>
              </a:graphicData>
            </a:graphic>
          </wp:anchor>
        </w:drawing>
        <w:drawing>
          <wp:anchor simplePos="0" relativeHeight="251657728" behindDoc="1" locked="0" layoutInCell="0" allowOverlap="1">
            <wp:simplePos x="0" y="0"/>
            <wp:positionH relativeFrom="page">
              <wp:posOffset>1717040</wp:posOffset>
            </wp:positionH>
            <wp:positionV relativeFrom="page">
              <wp:posOffset>517525</wp:posOffset>
            </wp:positionV>
            <wp:extent cx="41148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0" cy="8255"/>
                    </a:xfrm>
                    <a:prstGeom prst="rect">
                      <a:avLst/>
                    </a:prstGeom>
                    <a:noFill/>
                  </pic:spPr>
                </pic:pic>
              </a:graphicData>
            </a:graphic>
          </wp:anchor>
        </w:drawing>
        <w:t>UNITED STATES</w:t>
      </w:r>
    </w:p>
    <w:p>
      <w:pPr>
        <w:spacing w:after="0" w:line="41" w:lineRule="exact"/>
        <w:rPr>
          <w:sz w:val="24"/>
          <w:szCs w:val="24"/>
          <w:color w:val="auto"/>
        </w:rPr>
      </w:pPr>
    </w:p>
    <w:p>
      <w:pPr>
        <w:jc w:val="center"/>
        <w:ind w:right="-193"/>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22"/>
          <w:szCs w:val="22"/>
          <w:b w:val="1"/>
          <w:bCs w:val="1"/>
          <w:color w:val="auto"/>
        </w:rPr>
        <w:t>Washington, D.C. 20549</w:t>
      </w:r>
    </w:p>
    <w:p>
      <w:pPr>
        <w:spacing w:after="0" w:line="224" w:lineRule="exact"/>
        <w:rPr>
          <w:sz w:val="24"/>
          <w:szCs w:val="24"/>
          <w:color w:val="auto"/>
        </w:rPr>
      </w:pPr>
    </w:p>
    <w:p>
      <w:pPr>
        <w:jc w:val="center"/>
        <w:ind w:right="-193"/>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65"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Date of Report (Date of earliest event reported): July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2002790</wp:posOffset>
            </wp:positionH>
            <wp:positionV relativeFrom="paragraph">
              <wp:posOffset>237490</wp:posOffset>
            </wp:positionV>
            <wp:extent cx="31032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3"/>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2002790</wp:posOffset>
            </wp:positionH>
            <wp:positionV relativeFrom="paragraph">
              <wp:posOffset>141605</wp:posOffset>
            </wp:positionV>
            <wp:extent cx="31032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ind w:left="2674"/>
        <w:spacing w:after="0"/>
        <w:tabs>
          <w:tab w:leader="none" w:pos="5334" w:val="left"/>
          <w:tab w:leader="none" w:pos="7854"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001-39021</w:t>
      </w:r>
      <w:r>
        <w:rPr>
          <w:sz w:val="20"/>
          <w:szCs w:val="20"/>
          <w:color w:val="auto"/>
        </w:rPr>
        <w:tab/>
      </w:r>
      <w:r>
        <w:rPr>
          <w:rFonts w:ascii="Arial" w:cs="Arial" w:eastAsia="Arial" w:hAnsi="Arial"/>
          <w:sz w:val="16"/>
          <w:szCs w:val="16"/>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w:t>
      </w:r>
    </w:p>
    <w:p>
      <w:pPr>
        <w:spacing w:after="0" w:line="23" w:lineRule="exact"/>
        <w:rPr>
          <w:sz w:val="24"/>
          <w:szCs w:val="24"/>
          <w:color w:val="auto"/>
        </w:rPr>
      </w:pPr>
    </w:p>
    <w:p>
      <w:pPr>
        <w:ind w:left="2514"/>
        <w:spacing w:after="0"/>
        <w:tabs>
          <w:tab w:leader="none" w:pos="8134"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No.)</w:t>
      </w:r>
    </w:p>
    <w:p>
      <w:pPr>
        <w:spacing w:after="0" w:line="396" w:lineRule="exact"/>
        <w:rPr>
          <w:sz w:val="24"/>
          <w:szCs w:val="24"/>
          <w:color w:val="auto"/>
        </w:rPr>
      </w:pPr>
    </w:p>
    <w:p>
      <w:pPr>
        <w:ind w:left="2234"/>
        <w:spacing w:after="0"/>
        <w:rPr>
          <w:sz w:val="20"/>
          <w:szCs w:val="20"/>
          <w:color w:val="auto"/>
        </w:rPr>
      </w:pPr>
      <w:r>
        <w:rPr>
          <w:rFonts w:ascii="Arial" w:cs="Arial" w:eastAsia="Arial" w:hAnsi="Arial"/>
          <w:sz w:val="18"/>
          <w:szCs w:val="18"/>
          <w:b w:val="1"/>
          <w:bCs w:val="1"/>
          <w:color w:val="auto"/>
        </w:rPr>
        <w:t>41 Discovery</w:t>
      </w:r>
    </w:p>
    <w:p>
      <w:pPr>
        <w:spacing w:after="0" w:line="27" w:lineRule="exact"/>
        <w:rPr>
          <w:sz w:val="24"/>
          <w:szCs w:val="24"/>
          <w:color w:val="auto"/>
        </w:rPr>
      </w:pPr>
    </w:p>
    <w:p>
      <w:pPr>
        <w:ind w:left="2054"/>
        <w:spacing w:after="0"/>
        <w:tabs>
          <w:tab w:leader="none" w:pos="8214" w:val="left"/>
        </w:tabs>
        <w:rPr>
          <w:sz w:val="20"/>
          <w:szCs w:val="20"/>
          <w:color w:val="auto"/>
        </w:rPr>
      </w:pPr>
      <w:r>
        <w:rPr>
          <w:rFonts w:ascii="Arial" w:cs="Arial" w:eastAsia="Arial" w:hAnsi="Arial"/>
          <w:sz w:val="18"/>
          <w:szCs w:val="18"/>
          <w:b w:val="1"/>
          <w:bCs w:val="1"/>
          <w:color w:val="auto"/>
        </w:rPr>
        <w:t>Irvine, California</w:t>
      </w:r>
      <w:r>
        <w:rPr>
          <w:sz w:val="20"/>
          <w:szCs w:val="20"/>
          <w:color w:val="auto"/>
        </w:rPr>
        <w:tab/>
      </w:r>
      <w:r>
        <w:rPr>
          <w:rFonts w:ascii="Arial" w:cs="Arial" w:eastAsia="Arial" w:hAnsi="Arial"/>
          <w:sz w:val="15"/>
          <w:szCs w:val="15"/>
          <w:b w:val="1"/>
          <w:bCs w:val="1"/>
          <w:color w:val="auto"/>
        </w:rPr>
        <w:t>92618</w:t>
      </w:r>
    </w:p>
    <w:p>
      <w:pPr>
        <w:spacing w:after="0" w:line="49" w:lineRule="exact"/>
        <w:rPr>
          <w:sz w:val="24"/>
          <w:szCs w:val="24"/>
          <w:color w:val="auto"/>
        </w:rPr>
      </w:pPr>
    </w:p>
    <w:p>
      <w:pPr>
        <w:ind w:left="1294"/>
        <w:spacing w:after="0"/>
        <w:tabs>
          <w:tab w:leader="none" w:pos="8034"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35" w:lineRule="exact"/>
        <w:rPr>
          <w:sz w:val="24"/>
          <w:szCs w:val="24"/>
          <w:color w:val="auto"/>
        </w:rPr>
      </w:pPr>
    </w:p>
    <w:p>
      <w:pPr>
        <w:ind w:left="5034"/>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4"/>
          <w:szCs w:val="24"/>
          <w:color w:val="auto"/>
        </w:rPr>
      </w:pPr>
    </w:p>
    <w:p>
      <w:pPr>
        <w:ind w:left="3694"/>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ind w:left="23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4"/>
          <w:szCs w:val="24"/>
          <w:color w:val="auto"/>
        </w:rPr>
      </w:pPr>
    </w:p>
    <w:p>
      <w:pPr>
        <w:ind w:left="474" w:hanging="474"/>
        <w:spacing w:after="0"/>
        <w:tabs>
          <w:tab w:leader="none" w:pos="47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74" w:hanging="474"/>
        <w:spacing w:after="0"/>
        <w:tabs>
          <w:tab w:leader="none" w:pos="47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74" w:hanging="474"/>
        <w:spacing w:after="0"/>
        <w:tabs>
          <w:tab w:leader="none" w:pos="47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74" w:hanging="474"/>
        <w:spacing w:after="0"/>
        <w:tabs>
          <w:tab w:leader="none" w:pos="47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74"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34290</wp:posOffset>
            </wp:positionV>
            <wp:extent cx="6789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9420" cy="8890"/>
                    </a:xfrm>
                    <a:prstGeom prst="rect">
                      <a:avLst/>
                    </a:prstGeom>
                    <a:noFill/>
                  </pic:spPr>
                </pic:pic>
              </a:graphicData>
            </a:graphic>
          </wp:anchor>
        </w:drawing>
      </w:r>
    </w:p>
    <w:p>
      <w:pPr>
        <w:sectPr>
          <w:pgSz w:w="11900" w:h="16838" w:orient="portrait"/>
          <w:cols w:equalWidth="0" w:num="1">
            <w:col w:w="11014"/>
          </w:cols>
          <w:pgMar w:left="346" w:top="1156"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Arial" w:cs="Arial" w:eastAsia="Arial" w:hAnsi="Arial"/>
          <w:sz w:val="17"/>
          <w:szCs w:val="17"/>
          <w:color w:val="auto"/>
        </w:rPr>
        <w:t>Class A Common Stock, $0.0001 par value per share</w:t>
      </w:r>
    </w:p>
    <w:p>
      <w:pPr>
        <w:spacing w:after="0" w:line="75" w:lineRule="exact"/>
        <w:rPr>
          <w:sz w:val="24"/>
          <w:szCs w:val="24"/>
          <w:color w:val="auto"/>
        </w:rPr>
      </w:pPr>
    </w:p>
    <w:p>
      <w:pPr>
        <w:jc w:val="both"/>
        <w:ind w:left="254" w:right="500"/>
        <w:spacing w:after="0" w:line="263" w:lineRule="auto"/>
        <w:rPr>
          <w:sz w:val="20"/>
          <w:szCs w:val="20"/>
          <w:color w:val="auto"/>
        </w:rPr>
      </w:pPr>
      <w:r>
        <w:rPr>
          <w:rFonts w:ascii="Arial" w:cs="Arial" w:eastAsia="Arial" w:hAnsi="Arial"/>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Arial" w:cs="Arial" w:eastAsia="Arial" w:hAnsi="Arial"/>
          <w:sz w:val="16"/>
          <w:szCs w:val="16"/>
          <w:color w:val="auto"/>
        </w:rPr>
        <w:t>MAPS</w:t>
      </w:r>
      <w:r>
        <w:rPr>
          <w:sz w:val="20"/>
          <w:szCs w:val="20"/>
          <w:color w:val="auto"/>
        </w:rPr>
        <w:tab/>
      </w:r>
      <w:r>
        <w:rPr>
          <w:rFonts w:ascii="Arial" w:cs="Arial" w:eastAsia="Arial" w:hAnsi="Arial"/>
          <w:sz w:val="16"/>
          <w:szCs w:val="16"/>
          <w:color w:val="auto"/>
        </w:rPr>
        <w:t>The Nasdaq Global Select Market</w:t>
      </w:r>
    </w:p>
    <w:p>
      <w:pPr>
        <w:spacing w:after="0" w:line="86" w:lineRule="exact"/>
        <w:rPr>
          <w:sz w:val="24"/>
          <w:szCs w:val="24"/>
          <w:color w:val="auto"/>
        </w:rPr>
      </w:pPr>
    </w:p>
    <w:p>
      <w:pPr>
        <w:spacing w:after="0"/>
        <w:tabs>
          <w:tab w:leader="none" w:pos="1860" w:val="left"/>
        </w:tabs>
        <w:rPr>
          <w:sz w:val="20"/>
          <w:szCs w:val="20"/>
          <w:color w:val="auto"/>
        </w:rPr>
      </w:pPr>
      <w:r>
        <w:rPr>
          <w:rFonts w:ascii="Arial" w:cs="Arial" w:eastAsia="Arial" w:hAnsi="Arial"/>
          <w:sz w:val="16"/>
          <w:szCs w:val="16"/>
          <w:color w:val="auto"/>
        </w:rPr>
        <w:t>MAPSW</w:t>
      </w:r>
      <w:r>
        <w:rPr>
          <w:sz w:val="20"/>
          <w:szCs w:val="20"/>
          <w:color w:val="auto"/>
        </w:rPr>
        <w:tab/>
      </w:r>
      <w:r>
        <w:rPr>
          <w:rFonts w:ascii="Arial" w:cs="Arial" w:eastAsia="Arial" w:hAnsi="Arial"/>
          <w:sz w:val="16"/>
          <w:szCs w:val="16"/>
          <w:color w:val="auto"/>
        </w:rPr>
        <w:t>The Nasdaq Global Select Market</w:t>
      </w:r>
    </w:p>
    <w:p>
      <w:pPr>
        <w:spacing w:after="0" w:line="709" w:lineRule="exact"/>
        <w:rPr>
          <w:sz w:val="24"/>
          <w:szCs w:val="24"/>
          <w:color w:val="auto"/>
        </w:rPr>
      </w:pPr>
    </w:p>
    <w:p>
      <w:pPr>
        <w:sectPr>
          <w:pgSz w:w="11900" w:h="16838" w:orient="portrait"/>
          <w:cols w:equalWidth="0" w:num="2">
            <w:col w:w="4934" w:space="720"/>
            <w:col w:w="5360"/>
          </w:cols>
          <w:pgMar w:left="346" w:top="1156" w:right="539" w:bottom="1440" w:gutter="0" w:footer="0" w:header="0"/>
          <w:type w:val="continuous"/>
        </w:sectPr>
      </w:pPr>
    </w:p>
    <w:p>
      <w:pPr>
        <w:spacing w:after="0" w:line="267" w:lineRule="exact"/>
        <w:rPr>
          <w:sz w:val="24"/>
          <w:szCs w:val="24"/>
          <w:color w:val="auto"/>
        </w:rPr>
      </w:pPr>
    </w:p>
    <w:p>
      <w:pPr>
        <w:ind w:left="23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ind w:left="881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20" w:lineRule="exact"/>
        <w:rPr>
          <w:sz w:val="24"/>
          <w:szCs w:val="24"/>
          <w:color w:val="auto"/>
        </w:rPr>
      </w:pPr>
    </w:p>
    <w:p>
      <w:pPr>
        <w:ind w:left="23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304165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6" w:right="539" w:bottom="1440" w:gutter="0" w:footer="0" w:header="0"/>
          <w:type w:val="continuous"/>
        </w:sectPr>
      </w:pPr>
    </w:p>
    <w:bookmarkStart w:id="1" w:name="page2"/>
    <w:bookmarkEnd w:id="1"/>
    <w:p>
      <w:pPr>
        <w:ind w:right="2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64719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719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64719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71920" cy="1714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16, 2023, WM Technology, Inc. (the “Company”) appointed Mary Hoitt as interim Chief Financial Officer (“CFO”), effective as of July 17, 2023, until a permanent CFO is identified. In such role, Ms. Hoitt will serve as the Company’s interim principal financial officer and principal accounting officer.</w:t>
      </w:r>
    </w:p>
    <w:p>
      <w:pPr>
        <w:spacing w:after="0" w:line="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Ms. Hoitt, age 66, has served as a Partner of SeatonHill Partners, LP (“SeatonHill”), a leading national CFO services firm that also offers project based financial leadership, since December 2020. Ms. Hoitt co-founded and served as Southern California Managing Partner for Sterling Foxx LLC, a business consulting and services firm, from 2010 to December 2020. Ms. Hoitt is an accomplished executive with over 25 years in CFO and VP of Finance roles serving both public and private companies, from early-stage start-ups to mature global entities. Ms. Hoitt has a Bachelor’s degree in accounting from National University, and a Masters of Business Administration in Finance from the University of Phoenix. She is a Certified Public Accountant in the State of Maryland and a Chartered Global Management Accountant.</w:t>
      </w:r>
    </w:p>
    <w:p>
      <w:pPr>
        <w:spacing w:after="0" w:line="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Ms. Hoitt was appointed as interim CFO pursuant to an executive services agreement (the “Executive Services Agreement”), dated July 16, 2023, entered into by and between the Company and SeatonHill. Under the Executive Services Agreement, the Company will pay SeatonHill a retainer of $60,000 a month, or at the option of the Company, $3,000 per day. In addition, the Company will directly pay or reimburse SeatonHill for reasonable expenses incurred by Ms. Hoitt in connection with her service to the Company. The Agreement also requires the Company to indemnify Ms. Hoitt and SeatonHill in connection with the performance of services for the Company. The Agreement has an indefinite term and is terminable by either party upon 30 days’ advance written notice.</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Executive Services Agreement is qualified in its entirety by reference to the full text of the Executive Services Agreement, which will be filed as an exhibit to the Company’s Quarterly Report on Form 10-Q for the quarter ending June 30, 2023.</w:t>
      </w:r>
    </w:p>
    <w:p>
      <w:pPr>
        <w:spacing w:after="0" w:line="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Other than as disclosed herein, there are no arrangements or understandings between Ms. Hoitt and any other person pursuant to which Ms. Hoitt was selected as an officer of the Company, and Ms. Hoitt has no direct or indirect material interest in any transaction required to be disclosed pursuant to Item 404(a) of Regulation S-K. Ms. Hoitt does not have any family relationship with any director or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July 20, 2023</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5109845</wp:posOffset>
            </wp:positionH>
            <wp:positionV relativeFrom="paragraph">
              <wp:posOffset>31750</wp:posOffset>
            </wp:positionV>
            <wp:extent cx="18770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Douglas Francis</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00"/>
      </w:cols>
      <w:pgMar w:left="340" w:top="6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2023-07-20T15:42:08Z</dcterms:created>
  <dcterms:modified xsi:type="dcterms:W3CDTF">2023-07-20T15:42:08Z</dcterms:modified>
</cp:coreProperties>
</file>