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jc w:val="center"/>
        <w:spacing w:after="0" w:line="230" w:lineRule="auto"/>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July 1, 2021</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WM TECHNOLOGY,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149860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0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3"/>
              </w:rPr>
              <w:t>Delaware</w:t>
            </w:r>
          </w:p>
        </w:tc>
        <w:tc>
          <w:tcPr>
            <w:tcW w:w="304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001-39021</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98-1605615</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 of Incorporation)</w:t>
            </w:r>
          </w:p>
        </w:tc>
        <w:tc>
          <w:tcPr>
            <w:tcW w:w="2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040" w:type="dxa"/>
            <w:vAlign w:val="bottom"/>
            <w:tcBorders>
              <w:top w:val="single" w:sz="8" w:color="auto"/>
            </w:tcBorders>
            <w:gridSpan w:val="3"/>
          </w:tcPr>
          <w:p>
            <w:pPr>
              <w:jc w:val="center"/>
              <w:ind w:right="560"/>
              <w:spacing w:after="0"/>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26"/>
        </w:trPr>
        <w:tc>
          <w:tcPr>
            <w:tcW w:w="44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8"/>
              </w:rPr>
              <w:t>41 Discovery</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40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4"/>
              </w:rPr>
              <w:t>Irvine, California</w:t>
            </w:r>
          </w:p>
        </w:tc>
        <w:tc>
          <w:tcPr>
            <w:tcW w:w="10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50"/>
              <w:spacing w:after="0"/>
              <w:rPr>
                <w:sz w:val="20"/>
                <w:szCs w:val="20"/>
                <w:color w:val="auto"/>
              </w:rPr>
            </w:pPr>
            <w:r>
              <w:rPr>
                <w:rFonts w:ascii="Arial" w:cs="Arial" w:eastAsia="Arial" w:hAnsi="Arial"/>
                <w:sz w:val="18"/>
                <w:szCs w:val="18"/>
                <w:b w:val="1"/>
                <w:bCs w:val="1"/>
                <w:color w:val="auto"/>
              </w:rPr>
              <w:t>92618</w:t>
            </w:r>
          </w:p>
        </w:tc>
      </w:tr>
      <w:tr>
        <w:trPr>
          <w:trHeight w:val="230"/>
        </w:trPr>
        <w:tc>
          <w:tcPr>
            <w:tcW w:w="440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30"/>
              <w:spacing w:after="0"/>
              <w:rPr>
                <w:sz w:val="20"/>
                <w:szCs w:val="20"/>
                <w:color w:val="auto"/>
              </w:rPr>
            </w:pPr>
            <w:r>
              <w:rPr>
                <w:rFonts w:ascii="Arial" w:cs="Arial" w:eastAsia="Arial" w:hAnsi="Arial"/>
                <w:sz w:val="18"/>
                <w:szCs w:val="18"/>
                <w:color w:val="auto"/>
                <w:w w:val="94"/>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145415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(844) 933-3627</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jc w:val="center"/>
        <w:spacing w:after="0" w:line="230" w:lineRule="auto"/>
        <w:rPr>
          <w:sz w:val="20"/>
          <w:szCs w:val="20"/>
          <w:color w:val="auto"/>
        </w:rPr>
      </w:pPr>
      <w:r>
        <w:rPr>
          <w:rFonts w:ascii="Arial" w:cs="Arial" w:eastAsia="Arial" w:hAnsi="Arial"/>
          <w:sz w:val="22"/>
          <w:szCs w:val="22"/>
          <w:b w:val="1"/>
          <w:bCs w:val="1"/>
          <w:color w:val="auto"/>
        </w:rPr>
        <w:t>N/A</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jc w:val="both"/>
        <w:ind w:firstLine="324"/>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obligations of the registrant under any of the following provisions:</w:t>
      </w:r>
    </w:p>
    <w:p>
      <w:pPr>
        <w:spacing w:after="0" w:line="20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9" w:lineRule="exact"/>
        <w:rPr>
          <w:sz w:val="24"/>
          <w:szCs w:val="24"/>
          <w:color w:val="auto"/>
        </w:rPr>
      </w:pPr>
    </w:p>
    <w:p>
      <w:pPr>
        <w:ind w:left="340"/>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Class A Common Stock, $0.0001 par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MAPS</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The Nasdaq Global Select Market</w:t>
            </w: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value per share</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Warrants, each whole warrant</w:t>
            </w:r>
          </w:p>
        </w:tc>
        <w:tc>
          <w:tcPr>
            <w:tcW w:w="3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MAPSW</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The Nasdaq Global Select Market</w:t>
            </w: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exercisable for one share of Class A</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Common Stock at an exercise price</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of $11.50 per 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22" w:lineRule="exact"/>
        <w:rPr>
          <w:sz w:val="24"/>
          <w:szCs w:val="24"/>
          <w:color w:val="auto"/>
        </w:rPr>
      </w:pPr>
    </w:p>
    <w:p>
      <w:pPr>
        <w:jc w:val="both"/>
        <w:ind w:firstLine="324"/>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105" w:lineRule="exact"/>
        <w:rPr>
          <w:sz w:val="24"/>
          <w:szCs w:val="24"/>
          <w:color w:val="auto"/>
        </w:rPr>
      </w:pPr>
    </w:p>
    <w:p>
      <w:pPr>
        <w:ind w:left="8640"/>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308" w:lineRule="exact"/>
        <w:rPr>
          <w:sz w:val="24"/>
          <w:szCs w:val="24"/>
          <w:color w:val="auto"/>
        </w:rPr>
      </w:pPr>
    </w:p>
    <w:p>
      <w:pPr>
        <w:jc w:val="both"/>
        <w:ind w:firstLine="324"/>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 w:name="page2"/>
    <w:bookmarkEnd w:id="1"/>
    <w:p>
      <w:pPr>
        <w:ind w:left="1300" w:right="106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85" w:lineRule="exact"/>
        <w:rPr>
          <w:sz w:val="20"/>
          <w:szCs w:val="20"/>
          <w:color w:val="auto"/>
        </w:rPr>
      </w:pPr>
    </w:p>
    <w:p>
      <w:pPr>
        <w:ind w:right="240" w:firstLine="648"/>
        <w:spacing w:after="0" w:line="328" w:lineRule="auto"/>
        <w:rPr>
          <w:sz w:val="20"/>
          <w:szCs w:val="20"/>
          <w:color w:val="auto"/>
        </w:rPr>
      </w:pPr>
      <w:r>
        <w:rPr>
          <w:rFonts w:ascii="Arial" w:cs="Arial" w:eastAsia="Arial" w:hAnsi="Arial"/>
          <w:sz w:val="19"/>
          <w:szCs w:val="19"/>
          <w:color w:val="212529"/>
        </w:rPr>
        <w:t xml:space="preserve">As previously reported in a Current Report on Form 8-K, Steven Jung transitioned from his role as </w:t>
      </w:r>
      <w:r>
        <w:rPr>
          <w:rFonts w:ascii="Arial" w:cs="Arial" w:eastAsia="Arial" w:hAnsi="Arial"/>
          <w:sz w:val="19"/>
          <w:szCs w:val="19"/>
          <w:color w:val="000000"/>
        </w:rPr>
        <w:t>President and Chief</w:t>
      </w:r>
      <w:r>
        <w:rPr>
          <w:rFonts w:ascii="Arial" w:cs="Arial" w:eastAsia="Arial" w:hAnsi="Arial"/>
          <w:sz w:val="19"/>
          <w:szCs w:val="19"/>
          <w:color w:val="212529"/>
        </w:rPr>
        <w:t xml:space="preserve"> </w:t>
      </w:r>
      <w:r>
        <w:rPr>
          <w:rFonts w:ascii="Arial" w:cs="Arial" w:eastAsia="Arial" w:hAnsi="Arial"/>
          <w:sz w:val="19"/>
          <w:szCs w:val="19"/>
          <w:color w:val="000000"/>
        </w:rPr>
        <w:t>Operating Officer of WM Technology, Inc. (the “Company”) to a paid employee advisory role effective as of July 1, 2021.</w:t>
      </w:r>
    </w:p>
    <w:p>
      <w:pPr>
        <w:spacing w:after="0" w:line="132"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On July 7, 2021, the Board of Directors of the Company appointed Juanjo Feijoo (previously the Company’s Chief Marketing Officer), age 35, to replace Mr. Jung as the Company’s Chief Operating Officer, effective as of July 1, 2021. Mr. Feijoo previously served as the Company’s Chief Marketing Officer from June 2021 to July 2021 and as WM Holding Company, LLC’s Chief Marketing Officer from May 2019 to June 2021. Previously, Mr. Feijoo served as Senior Director of Customer Engagement for Creative Cloud at Adobe, a publicly-held global technology company, from 2017 to 2019. Prior to that, from 2015 to 2017, Mr. Feijoo served various roles at Maplebear inc (d/b/a Instacart), a private company, including Vice President of Central Operations &amp; Marketing. Prior that, from 2008 to 2015, Mr. Feijoo held several roles at Google, Inc, a publicly-held global technology company, including Head of Consumer Experience, Consumer Operations. Mr. Feijoo holds a B.S. in International Business Management from Oxford Brookes University.</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Family Relationships; Arrangements or Understandings</w:t>
      </w:r>
    </w:p>
    <w:p>
      <w:pPr>
        <w:spacing w:after="0" w:line="233" w:lineRule="exact"/>
        <w:rPr>
          <w:sz w:val="20"/>
          <w:szCs w:val="20"/>
          <w:color w:val="auto"/>
        </w:rPr>
      </w:pPr>
    </w:p>
    <w:p>
      <w:pPr>
        <w:jc w:val="both"/>
        <w:ind w:right="160" w:firstLine="648"/>
        <w:spacing w:after="0" w:line="297" w:lineRule="auto"/>
        <w:rPr>
          <w:sz w:val="20"/>
          <w:szCs w:val="20"/>
          <w:color w:val="auto"/>
        </w:rPr>
      </w:pPr>
      <w:r>
        <w:rPr>
          <w:rFonts w:ascii="Arial" w:cs="Arial" w:eastAsia="Arial" w:hAnsi="Arial"/>
          <w:sz w:val="19"/>
          <w:szCs w:val="19"/>
          <w:color w:val="auto"/>
        </w:rPr>
        <w:t>Mr. Feijoo does not have any family relationships with any director, executive officer or person nominated or chosen by the Company to become a director or executive officer of the Company. There are no arrangements or understandings between Mr. Feijoo and any other person pursuant to which Mr. Feijoo was selected as an officer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Related Party Transactions</w:t>
      </w:r>
    </w:p>
    <w:p>
      <w:pPr>
        <w:spacing w:after="0" w:line="233"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There are no related party transactions between Mr. Feijoo and the Company that would require disclosure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July 8, 2021</w:t>
      </w:r>
    </w:p>
    <w:p>
      <w:pPr>
        <w:spacing w:after="0" w:line="23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WM TECHNOLOGY,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Arden Lee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2021-07-08T15:16:52Z</dcterms:created>
  <dcterms:modified xsi:type="dcterms:W3CDTF">2021-07-08T15:16:52Z</dcterms:modified>
</cp:coreProperties>
</file>