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26, 2019.</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333-232734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38735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S-1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40005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00" w:type="dxa"/>
        <w:tblCellMar>
          <w:top w:w="0" w:type="dxa"/>
          <w:left w:w="0" w:type="dxa"/>
          <w:bottom w:w="0" w:type="dxa"/>
          <w:right w:w="0" w:type="dxa"/>
        </w:tblCellMar>
      </w:tblPr>
      <w:tr>
        <w:trPr>
          <w:trHeight w:val="220"/>
        </w:trPr>
        <w:tc>
          <w:tcPr>
            <w:tcW w:w="3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Cayman Islands</w:t>
            </w:r>
          </w:p>
        </w:tc>
        <w:tc>
          <w:tcPr>
            <w:tcW w:w="43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6770</w:t>
            </w:r>
          </w:p>
        </w:tc>
        <w:tc>
          <w:tcPr>
            <w:tcW w:w="2260" w:type="dxa"/>
            <w:vAlign w:val="bottom"/>
          </w:tcPr>
          <w:p>
            <w:pPr>
              <w:jc w:val="center"/>
              <w:ind w:left="490"/>
              <w:spacing w:after="0"/>
              <w:rPr>
                <w:sz w:val="20"/>
                <w:szCs w:val="20"/>
                <w:color w:val="auto"/>
              </w:rPr>
            </w:pPr>
            <w:r>
              <w:rPr>
                <w:rFonts w:ascii="Arial" w:cs="Arial" w:eastAsia="Arial" w:hAnsi="Arial"/>
                <w:sz w:val="18"/>
                <w:szCs w:val="18"/>
                <w:b w:val="1"/>
                <w:bCs w:val="1"/>
                <w:color w:val="auto"/>
              </w:rPr>
              <w:t>N/A</w:t>
            </w:r>
          </w:p>
        </w:tc>
      </w:tr>
      <w:tr>
        <w:trPr>
          <w:trHeight w:val="216"/>
        </w:trPr>
        <w:tc>
          <w:tcPr>
            <w:tcW w:w="352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 or</w:t>
            </w:r>
          </w:p>
        </w:tc>
        <w:tc>
          <w:tcPr>
            <w:tcW w:w="4300" w:type="dxa"/>
            <w:vAlign w:val="bottom"/>
          </w:tcPr>
          <w:p>
            <w:pPr>
              <w:jc w:val="center"/>
              <w:ind w:right="290"/>
              <w:spacing w:after="0"/>
              <w:rPr>
                <w:sz w:val="20"/>
                <w:szCs w:val="20"/>
                <w:color w:val="auto"/>
              </w:rPr>
            </w:pPr>
            <w:r>
              <w:rPr>
                <w:rFonts w:ascii="Arial" w:cs="Arial" w:eastAsia="Arial" w:hAnsi="Arial"/>
                <w:sz w:val="18"/>
                <w:szCs w:val="18"/>
                <w:color w:val="auto"/>
                <w:w w:val="91"/>
              </w:rPr>
              <w:t>(Primary Standard Industrial Classification Code</w:t>
            </w:r>
          </w:p>
        </w:tc>
        <w:tc>
          <w:tcPr>
            <w:tcW w:w="2260" w:type="dxa"/>
            <w:vAlign w:val="bottom"/>
          </w:tcPr>
          <w:p>
            <w:pPr>
              <w:jc w:val="center"/>
              <w:ind w:left="450"/>
              <w:spacing w:after="0"/>
              <w:rPr>
                <w:sz w:val="20"/>
                <w:szCs w:val="20"/>
                <w:color w:val="auto"/>
              </w:rPr>
            </w:pPr>
            <w:r>
              <w:rPr>
                <w:rFonts w:ascii="Arial" w:cs="Arial" w:eastAsia="Arial" w:hAnsi="Arial"/>
                <w:sz w:val="18"/>
                <w:szCs w:val="18"/>
                <w:color w:val="auto"/>
                <w:w w:val="93"/>
              </w:rPr>
              <w:t>(I.R.S. Employer</w:t>
            </w:r>
          </w:p>
        </w:tc>
      </w:tr>
      <w:tr>
        <w:trPr>
          <w:trHeight w:val="230"/>
        </w:trPr>
        <w:tc>
          <w:tcPr>
            <w:tcW w:w="3520" w:type="dxa"/>
            <w:vAlign w:val="bottom"/>
          </w:tcPr>
          <w:p>
            <w:pPr>
              <w:jc w:val="center"/>
              <w:ind w:right="110"/>
              <w:spacing w:after="0"/>
              <w:rPr>
                <w:sz w:val="20"/>
                <w:szCs w:val="20"/>
                <w:color w:val="auto"/>
              </w:rPr>
            </w:pPr>
            <w:r>
              <w:rPr>
                <w:rFonts w:ascii="Arial" w:cs="Arial" w:eastAsia="Arial" w:hAnsi="Arial"/>
                <w:sz w:val="18"/>
                <w:szCs w:val="18"/>
                <w:color w:val="auto"/>
                <w:w w:val="92"/>
              </w:rPr>
              <w:t>organization)</w:t>
            </w:r>
          </w:p>
        </w:tc>
        <w:tc>
          <w:tcPr>
            <w:tcW w:w="4300" w:type="dxa"/>
            <w:vAlign w:val="bottom"/>
          </w:tcPr>
          <w:p>
            <w:pPr>
              <w:jc w:val="center"/>
              <w:ind w:right="290"/>
              <w:spacing w:after="0"/>
              <w:rPr>
                <w:sz w:val="20"/>
                <w:szCs w:val="20"/>
                <w:color w:val="auto"/>
              </w:rPr>
            </w:pPr>
            <w:r>
              <w:rPr>
                <w:rFonts w:ascii="Arial" w:cs="Arial" w:eastAsia="Arial" w:hAnsi="Arial"/>
                <w:sz w:val="18"/>
                <w:szCs w:val="18"/>
                <w:color w:val="auto"/>
                <w:w w:val="91"/>
              </w:rPr>
              <w:t>Number)</w:t>
            </w:r>
          </w:p>
        </w:tc>
        <w:tc>
          <w:tcPr>
            <w:tcW w:w="2260" w:type="dxa"/>
            <w:vAlign w:val="bottom"/>
          </w:tcPr>
          <w:p>
            <w:pPr>
              <w:jc w:val="center"/>
              <w:ind w:left="510"/>
              <w:spacing w:after="0"/>
              <w:rPr>
                <w:sz w:val="20"/>
                <w:szCs w:val="20"/>
                <w:color w:val="auto"/>
              </w:rPr>
            </w:pPr>
            <w:r>
              <w:rPr>
                <w:rFonts w:ascii="Arial" w:cs="Arial" w:eastAsia="Arial" w:hAnsi="Arial"/>
                <w:sz w:val="18"/>
                <w:szCs w:val="18"/>
                <w:color w:val="auto"/>
                <w:w w:val="94"/>
              </w:rPr>
              <w:t>Identification Number)</w:t>
            </w:r>
          </w:p>
        </w:tc>
      </w:tr>
    </w:tbl>
    <w:p>
      <w:pPr>
        <w:ind w:left="4800"/>
        <w:spacing w:after="0"/>
        <w:rPr>
          <w:sz w:val="20"/>
          <w:szCs w:val="20"/>
          <w:color w:val="auto"/>
        </w:rPr>
      </w:pPr>
      <w:r>
        <w:rPr>
          <w:rFonts w:ascii="Arial" w:cs="Arial" w:eastAsia="Arial" w:hAnsi="Arial"/>
          <w:sz w:val="18"/>
          <w:szCs w:val="18"/>
          <w:b w:val="1"/>
          <w:bCs w:val="1"/>
          <w:color w:val="auto"/>
        </w:rPr>
        <w:t>1114 6th Ave, 41st Floor</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United States of America</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(212) 905-4923</w:t>
      </w:r>
    </w:p>
    <w:p>
      <w:pPr>
        <w:spacing w:after="0" w:line="9"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40005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2"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Scott Gordon, Chief Executive Officer</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Gregory Gentile, Chief Financial Officer</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 Silver Spike Acquisition Corp.</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1114 6th Ave, 41st Floor</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United States of America</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(212) 905-4923</w:t>
      </w:r>
    </w:p>
    <w:p>
      <w:pPr>
        <w:spacing w:after="0" w:line="9"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40005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5620" w:type="dxa"/>
            <w:vAlign w:val="bottom"/>
          </w:tcPr>
          <w:p>
            <w:pPr>
              <w:ind w:left="680"/>
              <w:spacing w:after="0"/>
              <w:rPr>
                <w:sz w:val="20"/>
                <w:szCs w:val="20"/>
                <w:color w:val="auto"/>
              </w:rPr>
            </w:pPr>
            <w:r>
              <w:rPr>
                <w:rFonts w:ascii="Arial" w:cs="Arial" w:eastAsia="Arial" w:hAnsi="Arial"/>
                <w:sz w:val="18"/>
                <w:szCs w:val="18"/>
                <w:color w:val="auto"/>
              </w:rPr>
              <w:t>Copies to:</w:t>
            </w:r>
          </w:p>
        </w:tc>
      </w:tr>
      <w:tr>
        <w:trPr>
          <w:trHeight w:val="414"/>
        </w:trPr>
        <w:tc>
          <w:tcPr>
            <w:tcW w:w="2900" w:type="dxa"/>
            <w:vAlign w:val="bottom"/>
          </w:tcPr>
          <w:p>
            <w:pPr>
              <w:jc w:val="center"/>
              <w:ind w:right="590"/>
              <w:spacing w:after="0"/>
              <w:rPr>
                <w:sz w:val="20"/>
                <w:szCs w:val="20"/>
                <w:color w:val="auto"/>
              </w:rPr>
            </w:pPr>
            <w:r>
              <w:rPr>
                <w:rFonts w:ascii="Arial" w:cs="Arial" w:eastAsia="Arial" w:hAnsi="Arial"/>
                <w:sz w:val="18"/>
                <w:szCs w:val="18"/>
                <w:b w:val="1"/>
                <w:bCs w:val="1"/>
                <w:color w:val="auto"/>
                <w:w w:val="96"/>
              </w:rPr>
              <w:t>Deanna L. Kirkpatrick</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Gregg A. Noel</w:t>
            </w:r>
          </w:p>
        </w:tc>
      </w:tr>
      <w:tr>
        <w:trPr>
          <w:trHeight w:val="216"/>
        </w:trPr>
        <w:tc>
          <w:tcPr>
            <w:tcW w:w="29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Derek J. Dostal</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Jonathan Ko</w:t>
            </w:r>
          </w:p>
        </w:tc>
      </w:t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Davis Polk &amp; Wardwell LLP</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2900" w:type="dxa"/>
            <w:vAlign w:val="bottom"/>
          </w:tcPr>
          <w:p>
            <w:pPr>
              <w:jc w:val="center"/>
              <w:ind w:right="590"/>
              <w:spacing w:after="0"/>
              <w:rPr>
                <w:sz w:val="20"/>
                <w:szCs w:val="20"/>
                <w:color w:val="auto"/>
              </w:rPr>
            </w:pPr>
            <w:r>
              <w:rPr>
                <w:rFonts w:ascii="Arial" w:cs="Arial" w:eastAsia="Arial" w:hAnsi="Arial"/>
                <w:sz w:val="18"/>
                <w:szCs w:val="18"/>
                <w:b w:val="1"/>
                <w:bCs w:val="1"/>
                <w:color w:val="auto"/>
                <w:w w:val="88"/>
              </w:rPr>
              <w:t>450 Lexington Avenue</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300 South Grand Avenue, Suite 3400</w:t>
            </w:r>
          </w:p>
        </w:tc>
      </w:tr>
      <w:tr>
        <w:trPr>
          <w:trHeight w:val="216"/>
        </w:trPr>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New York, NY 10017</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Los Angeles, CA 90071</w:t>
            </w:r>
          </w:p>
        </w:tc>
      </w:tr>
      <w:tr>
        <w:trPr>
          <w:trHeight w:val="234"/>
        </w:trPr>
        <w:tc>
          <w:tcPr>
            <w:tcW w:w="29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Telephone: (212) 450-4000</w:t>
            </w:r>
          </w:p>
        </w:tc>
        <w:tc>
          <w:tcPr>
            <w:tcW w:w="562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Telephone: (213)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308610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soon as practicable after the effective date of this registration statement.</w:t>
      </w:r>
    </w:p>
    <w:p>
      <w:pPr>
        <w:spacing w:after="0" w:line="21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ind w:left="5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6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820" w:type="dxa"/>
            <w:vAlign w:val="bottom"/>
          </w:tcPr>
          <w:p>
            <w:pPr>
              <w:ind w:left="6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960" w:type="dxa"/>
            <w:vAlign w:val="bottom"/>
          </w:tcPr>
          <w:p>
            <w:pPr>
              <w:ind w:left="44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60" w:type="dxa"/>
            <w:vAlign w:val="bottom"/>
          </w:tcPr>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r>
        <w:trPr>
          <w:trHeight w:val="331"/>
        </w:trPr>
        <w:tc>
          <w:tcPr>
            <w:tcW w:w="29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238" w:gutter="0" w:footer="0" w:header="0"/>
        </w:sectPr>
      </w:pPr>
    </w:p>
    <w:bookmarkStart w:id="1" w:name="page2"/>
    <w:bookmarkEnd w:id="1"/>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680" w:type="dxa"/>
            <w:vAlign w:val="bottom"/>
            <w:tcBorders>
              <w:top w:val="single" w:sz="8" w:color="auto"/>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 of Security</w:t>
            </w:r>
          </w:p>
        </w:tc>
        <w:tc>
          <w:tcPr>
            <w:tcW w:w="18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Amount Being</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r>
      <w:tr>
        <w:trPr>
          <w:trHeight w:val="270"/>
        </w:trPr>
        <w:tc>
          <w:tcPr>
            <w:tcW w:w="20" w:type="dxa"/>
            <w:vAlign w:val="bottom"/>
          </w:tcPr>
          <w:p>
            <w:pPr>
              <w:spacing w:after="0"/>
              <w:rPr>
                <w:sz w:val="23"/>
                <w:szCs w:val="23"/>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Being Registered</w:t>
            </w:r>
          </w:p>
        </w:tc>
        <w:tc>
          <w:tcPr>
            <w:tcW w:w="18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Registered</w:t>
            </w:r>
          </w:p>
        </w:tc>
        <w:tc>
          <w:tcPr>
            <w:tcW w:w="18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5"/>
              </w:rPr>
              <w:t>Security</w:t>
            </w:r>
            <w:r>
              <w:rPr>
                <w:rFonts w:ascii="Arial" w:cs="Arial" w:eastAsia="Arial" w:hAnsi="Arial"/>
                <w:sz w:val="30"/>
                <w:szCs w:val="30"/>
                <w:b w:val="1"/>
                <w:bCs w:val="1"/>
                <w:color w:val="auto"/>
                <w:w w:val="85"/>
                <w:vertAlign w:val="superscript"/>
              </w:rPr>
              <w:t>(1)</w:t>
            </w:r>
          </w:p>
        </w:tc>
        <w:tc>
          <w:tcPr>
            <w:tcW w:w="1880" w:type="dxa"/>
            <w:vAlign w:val="bottom"/>
            <w:tcBorders>
              <w:bottom w:val="single" w:sz="8" w:color="auto"/>
            </w:tcBorders>
          </w:tcPr>
          <w:p>
            <w:pPr>
              <w:ind w:left="660"/>
              <w:spacing w:after="0" w:line="269" w:lineRule="exact"/>
              <w:rPr>
                <w:sz w:val="20"/>
                <w:szCs w:val="20"/>
                <w:color w:val="auto"/>
              </w:rPr>
            </w:pPr>
            <w:r>
              <w:rPr>
                <w:rFonts w:ascii="Arial" w:cs="Arial" w:eastAsia="Arial" w:hAnsi="Arial"/>
                <w:sz w:val="18"/>
                <w:szCs w:val="18"/>
                <w:b w:val="1"/>
                <w:bCs w:val="1"/>
                <w:color w:val="auto"/>
              </w:rPr>
              <w:t>Price</w:t>
            </w:r>
            <w:r>
              <w:rPr>
                <w:rFonts w:ascii="Arial" w:cs="Arial" w:eastAsia="Arial" w:hAnsi="Arial"/>
                <w:sz w:val="30"/>
                <w:szCs w:val="30"/>
                <w:b w:val="1"/>
                <w:bCs w:val="1"/>
                <w:color w:val="auto"/>
                <w:vertAlign w:val="superscript"/>
              </w:rPr>
              <w:t>(1)</w:t>
            </w:r>
          </w:p>
        </w:tc>
        <w:tc>
          <w:tcPr>
            <w:tcW w:w="168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Registration Fee</w:t>
            </w:r>
            <w:r>
              <w:rPr>
                <w:rFonts w:ascii="Arial" w:cs="Arial" w:eastAsia="Arial" w:hAnsi="Arial"/>
                <w:sz w:val="30"/>
                <w:szCs w:val="30"/>
                <w:b w:val="1"/>
                <w:bCs w:val="1"/>
                <w:color w:val="auto"/>
                <w:w w:val="86"/>
                <w:vertAlign w:val="superscript"/>
              </w:rPr>
              <w:t>(2)</w:t>
            </w:r>
          </w:p>
        </w:tc>
      </w:tr>
      <w:tr>
        <w:trPr>
          <w:trHeight w:val="195"/>
        </w:trPr>
        <w:tc>
          <w:tcPr>
            <w:tcW w:w="2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w w:val="98"/>
              </w:rPr>
              <w:t>Units, each consisting of one Class A ordinary share,</w:t>
            </w: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0"/>
        </w:trPr>
        <w:tc>
          <w:tcPr>
            <w:tcW w:w="4180" w:type="dxa"/>
            <w:vAlign w:val="bottom"/>
            <w:gridSpan w:val="2"/>
          </w:tcPr>
          <w:p>
            <w:pPr>
              <w:spacing w:after="0"/>
              <w:rPr>
                <w:sz w:val="20"/>
                <w:szCs w:val="20"/>
                <w:color w:val="auto"/>
              </w:rPr>
            </w:pPr>
            <w:r>
              <w:rPr>
                <w:rFonts w:ascii="Arial" w:cs="Arial" w:eastAsia="Arial" w:hAnsi="Arial"/>
                <w:sz w:val="18"/>
                <w:szCs w:val="18"/>
                <w:color w:val="auto"/>
              </w:rPr>
              <w:t>$0.0001 par value, and one-half of one redeemable</w:t>
            </w:r>
          </w:p>
        </w:tc>
        <w:tc>
          <w:tcPr>
            <w:tcW w:w="1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67"/>
        </w:trPr>
        <w:tc>
          <w:tcPr>
            <w:tcW w:w="4180" w:type="dxa"/>
            <w:vAlign w:val="bottom"/>
            <w:tcBorders>
              <w:bottom w:val="single" w:sz="8" w:color="auto"/>
            </w:tcBorders>
            <w:gridSpan w:val="2"/>
          </w:tcPr>
          <w:p>
            <w:pPr>
              <w:spacing w:after="0" w:line="266" w:lineRule="exact"/>
              <w:rPr>
                <w:sz w:val="20"/>
                <w:szCs w:val="20"/>
                <w:color w:val="auto"/>
              </w:rPr>
            </w:pPr>
            <w:r>
              <w:rPr>
                <w:rFonts w:ascii="Arial" w:cs="Arial" w:eastAsia="Arial" w:hAnsi="Arial"/>
                <w:sz w:val="18"/>
                <w:szCs w:val="18"/>
                <w:color w:val="auto"/>
              </w:rPr>
              <w:t>warrant</w:t>
            </w:r>
            <w:r>
              <w:rPr>
                <w:rFonts w:ascii="Arial" w:cs="Arial" w:eastAsia="Arial" w:hAnsi="Arial"/>
                <w:sz w:val="30"/>
                <w:szCs w:val="30"/>
                <w:color w:val="auto"/>
                <w:vertAlign w:val="superscript"/>
              </w:rPr>
              <w:t>(3)</w:t>
            </w:r>
          </w:p>
        </w:tc>
        <w:tc>
          <w:tcPr>
            <w:tcW w:w="18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28,750,000 Units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$10.00</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$287,500,000</w:t>
            </w:r>
          </w:p>
        </w:tc>
        <w:tc>
          <w:tcPr>
            <w:tcW w:w="16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89"/>
              </w:rPr>
              <w:t>$34,845</w:t>
            </w:r>
          </w:p>
        </w:tc>
      </w:tr>
      <w:tr>
        <w:trPr>
          <w:trHeight w:val="250"/>
        </w:trPr>
        <w:tc>
          <w:tcPr>
            <w:tcW w:w="41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17"/>
                <w:szCs w:val="17"/>
                <w:color w:val="auto"/>
              </w:rPr>
              <w:t>Class A ordinary shares included as part of the units</w:t>
            </w:r>
            <w:r>
              <w:rPr>
                <w:rFonts w:ascii="Arial" w:cs="Arial" w:eastAsia="Arial" w:hAnsi="Arial"/>
                <w:sz w:val="28"/>
                <w:szCs w:val="28"/>
                <w:color w:val="auto"/>
                <w:vertAlign w:val="superscript"/>
              </w:rPr>
              <w:t>(4)</w:t>
            </w:r>
          </w:p>
        </w:tc>
        <w:tc>
          <w:tcPr>
            <w:tcW w:w="18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28,750,000 Shares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(5)</w:t>
            </w:r>
          </w:p>
        </w:tc>
      </w:tr>
      <w:tr>
        <w:trPr>
          <w:trHeight w:val="250"/>
        </w:trPr>
        <w:tc>
          <w:tcPr>
            <w:tcW w:w="41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17"/>
                <w:szCs w:val="17"/>
                <w:color w:val="auto"/>
              </w:rPr>
              <w:t>Redeemable warrants included as part of the units</w:t>
            </w:r>
            <w:r>
              <w:rPr>
                <w:rFonts w:ascii="Arial" w:cs="Arial" w:eastAsia="Arial" w:hAnsi="Arial"/>
                <w:sz w:val="28"/>
                <w:szCs w:val="28"/>
                <w:color w:val="auto"/>
                <w:vertAlign w:val="superscript"/>
              </w:rPr>
              <w:t>(4)</w:t>
            </w:r>
          </w:p>
        </w:tc>
        <w:tc>
          <w:tcPr>
            <w:tcW w:w="18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14,375,000 Warrants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(5)</w:t>
            </w:r>
          </w:p>
        </w:tc>
      </w:tr>
      <w:tr>
        <w:trPr>
          <w:trHeight w:val="217"/>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$287,500,000</w:t>
            </w:r>
          </w:p>
        </w:tc>
        <w:tc>
          <w:tcPr>
            <w:tcW w:w="16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89"/>
              </w:rPr>
              <w:t>$34,845</w:t>
            </w:r>
          </w:p>
        </w:tc>
      </w:tr>
    </w:tbl>
    <w:p>
      <w:pPr>
        <w:spacing w:after="0" w:line="2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3,750,000 units, consisting of 3,750,000 Class A ordinary shares and 1,875,000 warrants, which may be issued upon exercise of a 45-day option granted to the underwriter to cover over-allotments, if any.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are also being registered an indeterminable number of additional securities as may be issued to prevent dilution resulting from share splits, share dividends or similar transactions.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ind w:right="10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FF0000"/>
        </w:rPr>
        <w:t>SUBJECT TO COMPLETION, DATED JULY 26,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 Units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Silver Spike Acquisition Corp. is a newly incorporated blank check company incorporated as a Cayman Islands exempted company and incorporated for the purpose of effecting a merger, amalgamation, share exchange, asset acquisition, share purchase, reorganization or similar business combination with one or more businesses, which we refer to throughout this prospectus as our initial business combination. We have not selected any business combination target and we have not, nor has anyone on our behalf, initiated any substantive discussions, directly or indirectly, with any business combination target. 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as provided herein, and only whole warrants are exercisable.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have also granted the underwriter a 45-day option to purchase up to an additional 3,750,000 units to cover over-allotments, if any.</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as of two business days prior to the completion of our initial business combination, including interest (which interest shall be net of taxes payable), divided by the number of then issued and outstanding Class A ordinary shares that were sold as part of the units in this offering, which we refer to collectively as our public shares, subject to the limitations described herein. If we are unable to complete our initial business combination within 24 months from the closing of this offering, we will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subject to applicable law and as further described herein.</w:t>
      </w:r>
    </w:p>
    <w:p>
      <w:pPr>
        <w:spacing w:after="0" w:line="1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sponsor, Silver Spike Sponsor, LLC, a Delaware limited liability company (which we refer to as our “sponsor” throughout this prospectus), has committed to purchase an aggregate of 7,000,000 warrants (or 7,750,000 warrants if the underwriter’s over-allotment option is exercised in full) at a price of $1.00 per warrant ($7,000,000 in the aggregate or $7,750,000 in the aggregate if the underwriter’s over-allotment option is exercised in full) in a private placement that will close simultaneously with the closing of this offering. We refer to these warrants throughout this prospectus as the private placement warrants. Each private placement warrant entitles the holder thereof to purchase one Class A ordinary share at $11.50 per share, subject to adjustment as provided herein.</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initial shareholders currently hold 7,187,500 Class B ordinary shares (which we refer to as “founders shares,” as further described herein), up to 937,500 of which are subject to forfeiture by our sponsor depending on the extent to which the underwriter’s over-allotment option is exercised. Holders of Class A ordinary shares and Class B ordinary shares are entitled to one vote for each share held on all matters to be voted on by our shareholders, except as required by law; provided that, prior to our initial business combination, only holders of our Class B ordinary shares will have the right to vote on the election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The Class B ordinary shares held by our initial shareholders will automatically convert into Class A ordinary shares on the first business day following the completion of our initial business combination on a one-for-one basis, subject to adjustment as provided herein.</w:t>
      </w:r>
    </w:p>
    <w:p>
      <w:pPr>
        <w:spacing w:after="0" w:line="18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Prior to this offering, there has been no public market for our units, ordinary shares or warrants. We intend to apply to list our units on the Nasdaq Capital Market, or Nasdaq, under the symbol “SSPKU” on or promptly after the date of this prospectus. We cannot guarantee that our securities will be approved for listing on Nasdaq. The Class A ordinary shares and warrants constituting the units will begin separate trading on the 52nd day following the date of this prospectus unless Credit Suisse Securities (USA) LLC informs us of its decision to allow earlier separate trading, subject to our filing a Current Report on Form 8-K with the Securities and Exchange Commission, or the “SEC”, containing an audited balance sheet of the Company reflecting our receipt of the gross proceeds of this offering and issuing a press release announcing when such separate trading will begin. Once the securities constituting the units begin separate trading, we expect that the Class A ordinary shares and warrants will be listed on Nasdaq under the symbols “SSPK” and “ SSPKW,” respectively.</w:t>
      </w:r>
    </w:p>
    <w:p>
      <w:pPr>
        <w:spacing w:after="0" w:line="16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We are an “emerging growth company” under applicable federal securities laws and will be subject to reduced public company reporting requirements. Investing in our securities involves risks. See the section of this prospectus entitled “Risk Factors” beginning on page 29. Investors will not be entitled to protections normally afforded to investors in Rule 419 blank check offerings.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Borders>
              <w:bottom w:val="single" w:sz="8" w:color="D5EAEA"/>
            </w:tcBorders>
          </w:tcPr>
          <w:p>
            <w:pPr>
              <w:spacing w:after="0"/>
              <w:rPr>
                <w:sz w:val="20"/>
                <w:szCs w:val="20"/>
                <w:color w:val="auto"/>
              </w:rPr>
            </w:pPr>
          </w:p>
        </w:tc>
        <w:tc>
          <w:tcPr>
            <w:tcW w:w="3340" w:type="dxa"/>
            <w:vAlign w:val="bottom"/>
            <w:tcBorders>
              <w:bottom w:val="single" w:sz="8" w:color="D5EAEA"/>
            </w:tcBorders>
          </w:tcPr>
          <w:p>
            <w:pPr>
              <w:spacing w:after="0"/>
              <w:rPr>
                <w:sz w:val="20"/>
                <w:szCs w:val="20"/>
                <w:color w:val="auto"/>
              </w:rPr>
            </w:pPr>
          </w:p>
        </w:tc>
        <w:tc>
          <w:tcPr>
            <w:tcW w:w="2480" w:type="dxa"/>
            <w:vAlign w:val="bottom"/>
            <w:tcBorders>
              <w:bottom w:val="single" w:sz="8" w:color="D5EAEA"/>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Per Unit</w:t>
            </w:r>
          </w:p>
        </w:tc>
        <w:tc>
          <w:tcPr>
            <w:tcW w:w="100" w:type="dxa"/>
            <w:vAlign w:val="bottom"/>
            <w:tcBorders>
              <w:bottom w:val="single" w:sz="8" w:color="D5EAEA"/>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2480" w:type="dxa"/>
            <w:vAlign w:val="bottom"/>
            <w:shd w:val="clear" w:color="auto" w:fill="D5EAEA"/>
          </w:tcPr>
          <w:p>
            <w:pPr>
              <w:spacing w:after="0"/>
              <w:rPr>
                <w:sz w:val="18"/>
                <w:szCs w:val="18"/>
                <w:color w:val="auto"/>
              </w:rPr>
            </w:pPr>
          </w:p>
        </w:tc>
        <w:tc>
          <w:tcPr>
            <w:tcW w:w="2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5EAEA"/>
          </w:tcPr>
          <w:p>
            <w:pPr>
              <w:spacing w:after="0"/>
              <w:rPr>
                <w:sz w:val="18"/>
                <w:szCs w:val="18"/>
                <w:color w:val="auto"/>
              </w:rPr>
            </w:pPr>
          </w:p>
        </w:tc>
        <w:tc>
          <w:tcPr>
            <w:tcW w:w="340" w:type="dxa"/>
            <w:vAlign w:val="bottom"/>
            <w:shd w:val="clear" w:color="auto" w:fill="D5EAEA"/>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250,000,000</w:t>
            </w:r>
          </w:p>
        </w:tc>
      </w:tr>
      <w:tr>
        <w:trPr>
          <w:trHeight w:val="257"/>
        </w:trPr>
        <w:tc>
          <w:tcPr>
            <w:tcW w:w="5640" w:type="dxa"/>
            <w:vAlign w:val="bottom"/>
            <w:gridSpan w:val="2"/>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13,750,000</w:t>
            </w:r>
          </w:p>
        </w:tc>
      </w:tr>
      <w:tr>
        <w:trPr>
          <w:trHeight w:val="216"/>
        </w:trPr>
        <w:tc>
          <w:tcPr>
            <w:tcW w:w="56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Proceeds, before expenses, to us</w:t>
            </w:r>
          </w:p>
        </w:tc>
        <w:tc>
          <w:tcPr>
            <w:tcW w:w="276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9.45</w:t>
            </w:r>
          </w:p>
        </w:tc>
        <w:tc>
          <w:tcPr>
            <w:tcW w:w="440" w:type="dxa"/>
            <w:vAlign w:val="bottom"/>
            <w:gridSpan w:val="2"/>
            <w:shd w:val="clear" w:color="auto" w:fill="D5EAEA"/>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236,250,000</w:t>
            </w:r>
          </w:p>
        </w:tc>
      </w:tr>
      <w:tr>
        <w:trPr>
          <w:trHeight w:val="297"/>
        </w:trPr>
        <w:tc>
          <w:tcPr>
            <w:tcW w:w="2300" w:type="dxa"/>
            <w:vAlign w:val="bottom"/>
            <w:tcBorders>
              <w:bottom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84" w:right="239" w:bottom="0" w:gutter="0" w:footer="0" w:header="0"/>
        </w:sectPr>
      </w:pPr>
    </w:p>
    <w:bookmarkStart w:id="3" w:name="page4"/>
    <w:bookmarkEnd w:id="3"/>
    <w:p>
      <w:pPr>
        <w:ind w:left="318" w:hanging="318"/>
        <w:spacing w:after="0" w:line="259" w:lineRule="auto"/>
        <w:tabs>
          <w:tab w:leader="none" w:pos="31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$0.35 per unit, or $8,750,000 (or up to $10,062,500 if the underwriter’s over-allotment option is exercised in full) in the aggregate, payable to the underwriter for deferred underwriting commissions to be placed in a trust account located in the United States as described herein. Does not include certain fees and expenses payable to the underwriter in connection with this offering. See also “Underwriting” for a description of compensation and other items of value payable to the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359410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8"/>
          </w:cols>
          <w:pgMar w:left="302" w:top="125" w:right="359" w:bottom="1440" w:gutter="0" w:footer="0" w:header="0"/>
        </w:sectPr>
      </w:pPr>
    </w:p>
    <w:bookmarkStart w:id="4" w:name="page5"/>
    <w:bookmarkEnd w:id="4"/>
    <w:p>
      <w:pPr>
        <w:ind w:right="20"/>
        <w:spacing w:after="0" w:line="270" w:lineRule="auto"/>
        <w:rPr>
          <w:sz w:val="20"/>
          <w:szCs w:val="20"/>
          <w:color w:val="auto"/>
        </w:rPr>
      </w:pPr>
      <w:r>
        <w:rPr>
          <w:rFonts w:ascii="Arial" w:cs="Arial" w:eastAsia="Arial" w:hAnsi="Arial"/>
          <w:sz w:val="17"/>
          <w:szCs w:val="17"/>
          <w:color w:val="auto"/>
        </w:rPr>
        <w:t>Of the proceeds we receive from this offering and the sale of the private placement warrants described in this prospectus, $250,000,000 or $287,500,000 if the underwriter’s over-allotment option is exercised in full ($10.00 per unit), will be deposited into a U.S.-based trust account with Continental Stock Transfer &amp; Trust Company acting as trustee. 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The proceeds deposited in the trust account could become subject to the claims of our creditors, if any, which could have priority over the claims of our public shareholders.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sz w:val="20"/>
                <w:szCs w:val="20"/>
                <w:color w:val="auto"/>
              </w:rPr>
            </w:pPr>
            <w:r>
              <w:rPr>
                <w:rFonts w:ascii="Arial" w:cs="Arial" w:eastAsia="Arial" w:hAnsi="Arial"/>
                <w:sz w:val="18"/>
                <w:szCs w:val="18"/>
                <w:color w:val="auto"/>
                <w:w w:val="94"/>
              </w:rPr>
              <w:t>The underwriter is offering the units for sale on a firm commitment basis. Delivery of the units will be made on or about</w:t>
            </w:r>
          </w:p>
        </w:tc>
        <w:tc>
          <w:tcPr>
            <w:tcW w:w="7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19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Sole Book-Running Manager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Credit Suisse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4140"/>
              <w:spacing w:after="0"/>
              <w:rPr>
                <w:sz w:val="20"/>
                <w:szCs w:val="20"/>
                <w:color w:val="auto"/>
              </w:rPr>
            </w:pPr>
            <w:r>
              <w:rPr>
                <w:rFonts w:ascii="Arial" w:cs="Arial" w:eastAsia="Arial" w:hAnsi="Arial"/>
                <w:sz w:val="18"/>
                <w:szCs w:val="18"/>
                <w:color w:val="auto"/>
              </w:rPr>
              <w:t>The date of this prospectus is</w:t>
            </w:r>
          </w:p>
        </w:tc>
        <w:tc>
          <w:tcPr>
            <w:tcW w:w="4880" w:type="dxa"/>
            <w:vAlign w:val="bottom"/>
          </w:tcPr>
          <w:p>
            <w:pPr>
              <w:jc w:val="right"/>
              <w:ind w:right="4050"/>
              <w:spacing w:after="0"/>
              <w:rPr>
                <w:sz w:val="20"/>
                <w:szCs w:val="20"/>
                <w:color w:val="auto"/>
              </w:rPr>
            </w:pPr>
            <w:r>
              <w:rPr>
                <w:rFonts w:ascii="Arial" w:cs="Arial" w:eastAsia="Arial" w:hAnsi="Arial"/>
                <w:sz w:val="18"/>
                <w:szCs w:val="18"/>
                <w:color w:val="auto"/>
              </w:rPr>
              <w:t>, 2019</w:t>
            </w:r>
          </w:p>
        </w:tc>
      </w:tr>
      <w:tr>
        <w:trPr>
          <w:trHeight w:val="567"/>
        </w:trPr>
        <w:tc>
          <w:tcPr>
            <w:tcW w:w="6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8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400" w:type="dxa"/>
            <w:vAlign w:val="bottom"/>
            <w:gridSpan w:val="7"/>
            <w:vMerge w:val="restart"/>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19"/>
            <w:shd w:val="clear" w:color="auto" w:fill="D5EAEA"/>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3380" w:type="dxa"/>
            <w:vAlign w:val="bottom"/>
            <w:gridSpan w:val="6"/>
            <w:shd w:val="clear" w:color="auto" w:fill="D5EAEA"/>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110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46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D5EAEA"/>
            </w:tcBorders>
            <w:shd w:val="clear" w:color="auto" w:fill="D5EAEA"/>
          </w:tcPr>
          <w:p>
            <w:pPr>
              <w:spacing w:after="0" w:line="20" w:lineRule="exact"/>
              <w:rPr>
                <w:sz w:val="1"/>
                <w:szCs w:val="1"/>
                <w:color w:val="auto"/>
              </w:rPr>
            </w:pPr>
          </w:p>
        </w:tc>
        <w:tc>
          <w:tcPr>
            <w:tcW w:w="230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304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19"/>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The Offering</w:t>
              </w:r>
            </w:hyperlink>
          </w:p>
        </w:tc>
        <w:tc>
          <w:tcPr>
            <w:tcW w:w="3380" w:type="dxa"/>
            <w:vAlign w:val="bottom"/>
            <w:gridSpan w:val="6"/>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4"/>
            <w:shd w:val="clear" w:color="auto" w:fill="D5EAEA"/>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7120" w:type="dxa"/>
            <w:vAlign w:val="bottom"/>
            <w:tcBorders>
              <w:bottom w:val="single" w:sz="8" w:color="D5EAEA"/>
            </w:tcBorders>
            <w:gridSpan w:val="15"/>
            <w:shd w:val="clear" w:color="auto" w:fill="D5EAEA"/>
          </w:tcPr>
          <w:p>
            <w:pPr>
              <w:spacing w:after="0"/>
              <w:rPr>
                <w:sz w:val="17"/>
                <w:szCs w:val="17"/>
                <w:color w:val="auto"/>
              </w:rPr>
            </w:pPr>
          </w:p>
        </w:tc>
        <w:tc>
          <w:tcPr>
            <w:tcW w:w="3200" w:type="dxa"/>
            <w:vAlign w:val="bottom"/>
            <w:tcBorders>
              <w:bottom w:val="single" w:sz="8" w:color="D5EAEA"/>
            </w:tcBorders>
            <w:gridSpan w:val="4"/>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19"/>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Cautionary Note Regarding Forward-Looking Statements</w:t>
              </w:r>
            </w:hyperlink>
          </w:p>
        </w:tc>
        <w:tc>
          <w:tcPr>
            <w:tcW w:w="3380" w:type="dxa"/>
            <w:vAlign w:val="bottom"/>
            <w:gridSpan w:val="6"/>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71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8"/>
            <w:shd w:val="clear" w:color="auto" w:fill="D5EAEA"/>
          </w:tcPr>
          <w:p>
            <w:pPr>
              <w:spacing w:after="0" w:line="176" w:lineRule="exact"/>
              <w:rPr>
                <w:rFonts w:ascii="Arial" w:cs="Arial" w:eastAsia="Arial" w:hAnsi="Arial"/>
                <w:sz w:val="18"/>
                <w:szCs w:val="18"/>
                <w:color w:val="0000EE"/>
                <w:w w:val="85"/>
              </w:rPr>
            </w:pPr>
            <w:hyperlink w:anchor="page78">
              <w:r>
                <w:rPr>
                  <w:rFonts w:ascii="Arial" w:cs="Arial" w:eastAsia="Arial" w:hAnsi="Arial"/>
                  <w:sz w:val="18"/>
                  <w:szCs w:val="18"/>
                  <w:color w:val="0000EE"/>
                  <w:w w:val="85"/>
                </w:rPr>
                <w:t>Use of Proceeds</w:t>
              </w:r>
            </w:hyperlink>
          </w:p>
        </w:tc>
        <w:tc>
          <w:tcPr>
            <w:tcW w:w="6860" w:type="dxa"/>
            <w:vAlign w:val="bottom"/>
            <w:tcBorders>
              <w:bottom w:val="single" w:sz="8" w:color="D5EAEA"/>
            </w:tcBorders>
            <w:gridSpan w:val="11"/>
            <w:shd w:val="clear" w:color="auto" w:fill="D5EAEA"/>
          </w:tcPr>
          <w:p>
            <w:pPr>
              <w:spacing w:after="0"/>
              <w:rPr>
                <w:sz w:val="17"/>
                <w:szCs w:val="17"/>
                <w:color w:val="auto"/>
              </w:rPr>
            </w:pPr>
          </w:p>
        </w:tc>
        <w:tc>
          <w:tcPr>
            <w:tcW w:w="3200" w:type="dxa"/>
            <w:vAlign w:val="bottom"/>
            <w:tcBorders>
              <w:bottom w:val="single" w:sz="8" w:color="D5EAEA"/>
            </w:tcBorders>
            <w:gridSpan w:val="4"/>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19"/>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Dividend Policy</w:t>
              </w:r>
            </w:hyperlink>
          </w:p>
        </w:tc>
        <w:tc>
          <w:tcPr>
            <w:tcW w:w="3380" w:type="dxa"/>
            <w:vAlign w:val="bottom"/>
            <w:gridSpan w:val="6"/>
          </w:tcPr>
          <w:p>
            <w:pPr>
              <w:jc w:val="right"/>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76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19"/>
            <w:shd w:val="clear" w:color="auto" w:fill="D5EAEA"/>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Dilution</w:t>
              </w:r>
            </w:hyperlink>
          </w:p>
        </w:tc>
        <w:tc>
          <w:tcPr>
            <w:tcW w:w="3380" w:type="dxa"/>
            <w:vAlign w:val="bottom"/>
            <w:gridSpan w:val="6"/>
            <w:shd w:val="clear" w:color="auto" w:fill="D5EAEA"/>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77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110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46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D5EAEA"/>
            </w:tcBorders>
            <w:shd w:val="clear" w:color="auto" w:fill="D5EAEA"/>
          </w:tcPr>
          <w:p>
            <w:pPr>
              <w:spacing w:after="0" w:line="20" w:lineRule="exact"/>
              <w:rPr>
                <w:sz w:val="1"/>
                <w:szCs w:val="1"/>
                <w:color w:val="auto"/>
              </w:rPr>
            </w:pPr>
          </w:p>
        </w:tc>
        <w:tc>
          <w:tcPr>
            <w:tcW w:w="230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304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19"/>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Capitalization</w:t>
              </w:r>
            </w:hyperlink>
          </w:p>
        </w:tc>
        <w:tc>
          <w:tcPr>
            <w:tcW w:w="3380" w:type="dxa"/>
            <w:vAlign w:val="bottom"/>
            <w:gridSpan w:val="6"/>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79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20" w:type="dxa"/>
            <w:vAlign w:val="bottom"/>
            <w:gridSpan w:val="19"/>
            <w:shd w:val="clear" w:color="auto" w:fill="D5EAEA"/>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 Financial Condition and Results of Operations</w:t>
              </w:r>
            </w:hyperlink>
          </w:p>
        </w:tc>
        <w:tc>
          <w:tcPr>
            <w:tcW w:w="3380" w:type="dxa"/>
            <w:vAlign w:val="bottom"/>
            <w:gridSpan w:val="6"/>
            <w:shd w:val="clear" w:color="auto" w:fill="D5EAEA"/>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Proposed Business</w:t>
              </w:r>
            </w:hyperlink>
          </w:p>
        </w:tc>
        <w:tc>
          <w:tcPr>
            <w:tcW w:w="1580" w:type="dxa"/>
            <w:vAlign w:val="bottom"/>
            <w:tcBorders>
              <w:top w:val="single" w:sz="8" w:color="D5EAEA"/>
            </w:tcBorders>
          </w:tcPr>
          <w:p>
            <w:pPr>
              <w:spacing w:after="0"/>
              <w:rPr>
                <w:sz w:val="15"/>
                <w:szCs w:val="15"/>
                <w:color w:val="auto"/>
              </w:rPr>
            </w:pPr>
          </w:p>
        </w:tc>
        <w:tc>
          <w:tcPr>
            <w:tcW w:w="3200" w:type="dxa"/>
            <w:vAlign w:val="bottom"/>
            <w:tcBorders>
              <w:top w:val="single" w:sz="8" w:color="D5EAEA"/>
            </w:tcBorders>
            <w:gridSpan w:val="4"/>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86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19"/>
            <w:shd w:val="clear" w:color="auto" w:fill="D5EAEA"/>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Management</w:t>
              </w:r>
            </w:hyperlink>
          </w:p>
        </w:tc>
        <w:tc>
          <w:tcPr>
            <w:tcW w:w="3380" w:type="dxa"/>
            <w:vAlign w:val="bottom"/>
            <w:gridSpan w:val="6"/>
            <w:shd w:val="clear" w:color="auto" w:fill="D5EAEA"/>
          </w:tcPr>
          <w:p>
            <w:pPr>
              <w:jc w:val="right"/>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111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110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46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D5EAEA"/>
            </w:tcBorders>
            <w:shd w:val="clear" w:color="auto" w:fill="D5EAEA"/>
          </w:tcPr>
          <w:p>
            <w:pPr>
              <w:spacing w:after="0" w:line="20" w:lineRule="exact"/>
              <w:rPr>
                <w:sz w:val="1"/>
                <w:szCs w:val="1"/>
                <w:color w:val="auto"/>
              </w:rPr>
            </w:pPr>
          </w:p>
        </w:tc>
        <w:tc>
          <w:tcPr>
            <w:tcW w:w="230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304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19"/>
          </w:tcPr>
          <w:p>
            <w:pPr>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Principal Shareholders</w:t>
              </w:r>
            </w:hyperlink>
          </w:p>
        </w:tc>
        <w:tc>
          <w:tcPr>
            <w:tcW w:w="3380" w:type="dxa"/>
            <w:vAlign w:val="bottom"/>
            <w:gridSpan w:val="6"/>
          </w:tcPr>
          <w:p>
            <w:pPr>
              <w:jc w:val="right"/>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120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19"/>
            <w:shd w:val="clear" w:color="auto" w:fill="D5EAEA"/>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Certain Relationships and Related Party Transactions</w:t>
              </w:r>
            </w:hyperlink>
          </w:p>
        </w:tc>
        <w:tc>
          <w:tcPr>
            <w:tcW w:w="3380" w:type="dxa"/>
            <w:vAlign w:val="bottom"/>
            <w:gridSpan w:val="6"/>
            <w:shd w:val="clear" w:color="auto" w:fill="D5EAEA"/>
          </w:tcPr>
          <w:p>
            <w:pPr>
              <w:jc w:val="right"/>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123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110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460" w:type="dxa"/>
            <w:vAlign w:val="bottom"/>
            <w:tcBorders>
              <w:top w:val="single" w:sz="8" w:color="0000EE"/>
            </w:tcBorders>
            <w:shd w:val="clear" w:color="auto" w:fill="D5EAEA"/>
          </w:tcPr>
          <w:p>
            <w:pPr>
              <w:spacing w:after="0" w:line="20" w:lineRule="exact"/>
              <w:rPr>
                <w:sz w:val="1"/>
                <w:szCs w:val="1"/>
                <w:color w:val="auto"/>
              </w:rPr>
            </w:pPr>
          </w:p>
        </w:tc>
        <w:tc>
          <w:tcPr>
            <w:tcW w:w="320" w:type="dxa"/>
            <w:vAlign w:val="bottom"/>
            <w:tcBorders>
              <w:top w:val="single" w:sz="8" w:color="D5EAEA"/>
            </w:tcBorders>
            <w:shd w:val="clear" w:color="auto" w:fill="D5EAEA"/>
          </w:tcPr>
          <w:p>
            <w:pPr>
              <w:spacing w:after="0" w:line="20" w:lineRule="exact"/>
              <w:rPr>
                <w:sz w:val="1"/>
                <w:szCs w:val="1"/>
                <w:color w:val="auto"/>
              </w:rPr>
            </w:pPr>
          </w:p>
        </w:tc>
        <w:tc>
          <w:tcPr>
            <w:tcW w:w="230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304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16"/>
          </w:tcPr>
          <w:p>
            <w:pPr>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Description of Securities</w:t>
              </w:r>
            </w:hyperlink>
          </w:p>
        </w:tc>
        <w:tc>
          <w:tcPr>
            <w:tcW w:w="4200" w:type="dxa"/>
            <w:vAlign w:val="bottom"/>
            <w:gridSpan w:val="3"/>
          </w:tcPr>
          <w:p>
            <w:pPr>
              <w:spacing w:after="0"/>
              <w:rPr>
                <w:sz w:val="15"/>
                <w:szCs w:val="15"/>
                <w:color w:val="auto"/>
              </w:rPr>
            </w:pPr>
          </w:p>
        </w:tc>
        <w:tc>
          <w:tcPr>
            <w:tcW w:w="3380" w:type="dxa"/>
            <w:vAlign w:val="bottom"/>
            <w:gridSpan w:val="6"/>
          </w:tcPr>
          <w:p>
            <w:pPr>
              <w:jc w:val="right"/>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126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19"/>
            <w:shd w:val="clear" w:color="auto" w:fill="D5EAEA"/>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Income Tax Considerations</w:t>
              </w:r>
            </w:hyperlink>
          </w:p>
        </w:tc>
        <w:tc>
          <w:tcPr>
            <w:tcW w:w="3380" w:type="dxa"/>
            <w:vAlign w:val="bottom"/>
            <w:gridSpan w:val="6"/>
            <w:shd w:val="clear" w:color="auto" w:fill="D5EAEA"/>
          </w:tcPr>
          <w:p>
            <w:pPr>
              <w:jc w:val="right"/>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143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110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46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D5EAEA"/>
            </w:tcBorders>
            <w:shd w:val="clear" w:color="auto" w:fill="D5EAEA"/>
          </w:tcPr>
          <w:p>
            <w:pPr>
              <w:spacing w:after="0" w:line="20" w:lineRule="exact"/>
              <w:rPr>
                <w:sz w:val="1"/>
                <w:szCs w:val="1"/>
                <w:color w:val="auto"/>
              </w:rPr>
            </w:pPr>
          </w:p>
        </w:tc>
        <w:tc>
          <w:tcPr>
            <w:tcW w:w="230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304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60" w:type="dxa"/>
            <w:vAlign w:val="bottom"/>
            <w:gridSpan w:val="12"/>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Underwriting</w:t>
              </w:r>
            </w:hyperlink>
          </w:p>
        </w:tc>
        <w:tc>
          <w:tcPr>
            <w:tcW w:w="6060" w:type="dxa"/>
            <w:vAlign w:val="bottom"/>
            <w:gridSpan w:val="7"/>
          </w:tcPr>
          <w:p>
            <w:pPr>
              <w:spacing w:after="0"/>
              <w:rPr>
                <w:sz w:val="15"/>
                <w:szCs w:val="15"/>
                <w:color w:val="auto"/>
              </w:rPr>
            </w:pPr>
          </w:p>
        </w:tc>
        <w:tc>
          <w:tcPr>
            <w:tcW w:w="3380" w:type="dxa"/>
            <w:vAlign w:val="bottom"/>
            <w:gridSpan w:val="6"/>
          </w:tcPr>
          <w:p>
            <w:pPr>
              <w:jc w:val="right"/>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153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7"/>
            <w:shd w:val="clear" w:color="auto" w:fill="D5EAEA"/>
          </w:tcPr>
          <w:p>
            <w:pPr>
              <w:spacing w:after="0" w:line="17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Legal Matters</w:t>
              </w:r>
            </w:hyperlink>
          </w:p>
        </w:tc>
        <w:tc>
          <w:tcPr>
            <w:tcW w:w="7020" w:type="dxa"/>
            <w:vAlign w:val="bottom"/>
            <w:gridSpan w:val="12"/>
            <w:shd w:val="clear" w:color="auto" w:fill="D5EAEA"/>
          </w:tcPr>
          <w:p>
            <w:pPr>
              <w:spacing w:after="0"/>
              <w:rPr>
                <w:sz w:val="15"/>
                <w:szCs w:val="15"/>
                <w:color w:val="auto"/>
              </w:rPr>
            </w:pPr>
          </w:p>
        </w:tc>
        <w:tc>
          <w:tcPr>
            <w:tcW w:w="3380" w:type="dxa"/>
            <w:vAlign w:val="bottom"/>
            <w:gridSpan w:val="6"/>
            <w:shd w:val="clear" w:color="auto" w:fill="D5EAEA"/>
          </w:tcPr>
          <w:p>
            <w:pPr>
              <w:jc w:val="right"/>
              <w:spacing w:after="0" w:line="176" w:lineRule="exact"/>
              <w:rPr>
                <w:rFonts w:ascii="Arial" w:cs="Arial" w:eastAsia="Arial" w:hAnsi="Arial"/>
                <w:sz w:val="18"/>
                <w:szCs w:val="18"/>
                <w:color w:val="0000EE"/>
              </w:rPr>
            </w:pPr>
            <w:hyperlink w:anchor="page165">
              <w:r>
                <w:rPr>
                  <w:rFonts w:ascii="Arial" w:cs="Arial" w:eastAsia="Arial" w:hAnsi="Arial"/>
                  <w:sz w:val="18"/>
                  <w:szCs w:val="18"/>
                  <w:color w:val="0000EE"/>
                </w:rPr>
                <w:t>159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110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46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D5EAEA"/>
            </w:tcBorders>
            <w:shd w:val="clear" w:color="auto" w:fill="D5EAEA"/>
          </w:tcPr>
          <w:p>
            <w:pPr>
              <w:spacing w:after="0" w:line="20" w:lineRule="exact"/>
              <w:rPr>
                <w:sz w:val="1"/>
                <w:szCs w:val="1"/>
                <w:color w:val="auto"/>
              </w:rPr>
            </w:pPr>
          </w:p>
        </w:tc>
        <w:tc>
          <w:tcPr>
            <w:tcW w:w="230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304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165">
              <w:r>
                <w:rPr>
                  <w:rFonts w:ascii="Arial" w:cs="Arial" w:eastAsia="Arial" w:hAnsi="Arial"/>
                  <w:sz w:val="18"/>
                  <w:szCs w:val="18"/>
                  <w:color w:val="0000EE"/>
                </w:rPr>
                <w:t>Experts</w:t>
              </w:r>
            </w:hyperlink>
          </w:p>
        </w:tc>
        <w:tc>
          <w:tcPr>
            <w:tcW w:w="7020" w:type="dxa"/>
            <w:vAlign w:val="bottom"/>
            <w:gridSpan w:val="12"/>
          </w:tcPr>
          <w:p>
            <w:pPr>
              <w:spacing w:after="0"/>
              <w:rPr>
                <w:sz w:val="15"/>
                <w:szCs w:val="15"/>
                <w:color w:val="auto"/>
              </w:rPr>
            </w:pPr>
          </w:p>
        </w:tc>
        <w:tc>
          <w:tcPr>
            <w:tcW w:w="3380" w:type="dxa"/>
            <w:vAlign w:val="bottom"/>
            <w:gridSpan w:val="6"/>
          </w:tcPr>
          <w:p>
            <w:pPr>
              <w:jc w:val="right"/>
              <w:spacing w:after="0" w:line="176" w:lineRule="exact"/>
              <w:rPr>
                <w:rFonts w:ascii="Arial" w:cs="Arial" w:eastAsia="Arial" w:hAnsi="Arial"/>
                <w:sz w:val="18"/>
                <w:szCs w:val="18"/>
                <w:color w:val="0000EE"/>
              </w:rPr>
            </w:pPr>
            <w:hyperlink w:anchor="page165">
              <w:r>
                <w:rPr>
                  <w:rFonts w:ascii="Arial" w:cs="Arial" w:eastAsia="Arial" w:hAnsi="Arial"/>
                  <w:sz w:val="18"/>
                  <w:szCs w:val="18"/>
                  <w:color w:val="0000EE"/>
                </w:rPr>
                <w:t>159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gridSpan w:val="14"/>
            <w:shd w:val="clear" w:color="auto" w:fill="D5EAEA"/>
          </w:tcPr>
          <w:p>
            <w:pPr>
              <w:spacing w:after="0" w:line="176" w:lineRule="exact"/>
              <w:rPr>
                <w:rFonts w:ascii="Arial" w:cs="Arial" w:eastAsia="Arial" w:hAnsi="Arial"/>
                <w:sz w:val="18"/>
                <w:szCs w:val="18"/>
                <w:color w:val="0000EE"/>
                <w:w w:val="92"/>
              </w:rPr>
            </w:pPr>
            <w:hyperlink w:anchor="page165">
              <w:r>
                <w:rPr>
                  <w:rFonts w:ascii="Arial" w:cs="Arial" w:eastAsia="Arial" w:hAnsi="Arial"/>
                  <w:sz w:val="18"/>
                  <w:szCs w:val="18"/>
                  <w:color w:val="0000EE"/>
                  <w:w w:val="92"/>
                </w:rPr>
                <w:t>Where You Can Find Additional Information</w:t>
              </w:r>
            </w:hyperlink>
          </w:p>
        </w:tc>
        <w:tc>
          <w:tcPr>
            <w:tcW w:w="4780" w:type="dxa"/>
            <w:vAlign w:val="bottom"/>
            <w:gridSpan w:val="5"/>
            <w:shd w:val="clear" w:color="auto" w:fill="D5EAEA"/>
          </w:tcPr>
          <w:p>
            <w:pPr>
              <w:spacing w:after="0"/>
              <w:rPr>
                <w:sz w:val="17"/>
                <w:szCs w:val="17"/>
                <w:color w:val="auto"/>
              </w:rPr>
            </w:pPr>
          </w:p>
        </w:tc>
        <w:tc>
          <w:tcPr>
            <w:tcW w:w="3380" w:type="dxa"/>
            <w:vAlign w:val="bottom"/>
            <w:gridSpan w:val="6"/>
            <w:shd w:val="clear" w:color="auto" w:fill="D5EAEA"/>
          </w:tcPr>
          <w:p>
            <w:pPr>
              <w:jc w:val="right"/>
              <w:spacing w:after="0" w:line="176" w:lineRule="exact"/>
              <w:rPr>
                <w:rFonts w:ascii="Arial" w:cs="Arial" w:eastAsia="Arial" w:hAnsi="Arial"/>
                <w:sz w:val="18"/>
                <w:szCs w:val="18"/>
                <w:color w:val="0000EE"/>
              </w:rPr>
            </w:pPr>
            <w:hyperlink w:anchor="page165">
              <w:r>
                <w:rPr>
                  <w:rFonts w:ascii="Arial" w:cs="Arial" w:eastAsia="Arial" w:hAnsi="Arial"/>
                  <w:sz w:val="18"/>
                  <w:szCs w:val="18"/>
                  <w:color w:val="0000EE"/>
                </w:rPr>
                <w:t>159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2140" w:type="dxa"/>
            <w:vAlign w:val="bottom"/>
            <w:tcBorders>
              <w:top w:val="single" w:sz="8" w:color="0000EE"/>
              <w:bottom w:val="single" w:sz="8" w:color="0000EE"/>
            </w:tcBorders>
            <w:gridSpan w:val="13"/>
          </w:tcPr>
          <w:p>
            <w:pPr>
              <w:spacing w:after="0" w:line="176" w:lineRule="exact"/>
              <w:rPr>
                <w:rFonts w:ascii="Arial" w:cs="Arial" w:eastAsia="Arial" w:hAnsi="Arial"/>
                <w:sz w:val="18"/>
                <w:szCs w:val="18"/>
                <w:color w:val="0000EE"/>
                <w:w w:val="89"/>
              </w:rPr>
            </w:pPr>
            <w:hyperlink w:anchor="page166">
              <w:r>
                <w:rPr>
                  <w:rFonts w:ascii="Arial" w:cs="Arial" w:eastAsia="Arial" w:hAnsi="Arial"/>
                  <w:sz w:val="18"/>
                  <w:szCs w:val="18"/>
                  <w:color w:val="0000EE"/>
                  <w:w w:val="89"/>
                </w:rPr>
                <w:t>Index to Financial Statements</w:t>
              </w:r>
            </w:hyperlink>
          </w:p>
        </w:tc>
        <w:tc>
          <w:tcPr>
            <w:tcW w:w="1100" w:type="dxa"/>
            <w:vAlign w:val="bottom"/>
            <w:tcBorders>
              <w:top w:val="single" w:sz="8" w:color="0000EE"/>
            </w:tcBorders>
          </w:tcPr>
          <w:p>
            <w:pPr>
              <w:spacing w:after="0"/>
              <w:rPr>
                <w:sz w:val="15"/>
                <w:szCs w:val="15"/>
                <w:color w:val="auto"/>
              </w:rPr>
            </w:pPr>
          </w:p>
        </w:tc>
        <w:tc>
          <w:tcPr>
            <w:tcW w:w="4780" w:type="dxa"/>
            <w:vAlign w:val="bottom"/>
            <w:tcBorders>
              <w:top w:val="single" w:sz="8" w:color="D5EAEA"/>
            </w:tcBorders>
            <w:gridSpan w:val="5"/>
          </w:tcPr>
          <w:p>
            <w:pPr>
              <w:spacing w:after="0"/>
              <w:rPr>
                <w:sz w:val="15"/>
                <w:szCs w:val="15"/>
                <w:color w:val="auto"/>
              </w:rPr>
            </w:pPr>
          </w:p>
        </w:tc>
        <w:tc>
          <w:tcPr>
            <w:tcW w:w="3040" w:type="dxa"/>
            <w:vAlign w:val="bottom"/>
            <w:tcBorders>
              <w:top w:val="single" w:sz="8" w:color="D5EAEA"/>
            </w:tcBorders>
          </w:tcPr>
          <w:p>
            <w:pPr>
              <w:spacing w:after="0"/>
              <w:rPr>
                <w:sz w:val="15"/>
                <w:szCs w:val="15"/>
                <w:color w:val="auto"/>
              </w:rPr>
            </w:pPr>
          </w:p>
        </w:tc>
        <w:tc>
          <w:tcPr>
            <w:tcW w:w="80" w:type="dxa"/>
            <w:vAlign w:val="bottom"/>
            <w:tcBorders>
              <w:top w:val="single" w:sz="8" w:color="D5EAEA"/>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bottom w:val="single" w:sz="8" w:color="0000EE"/>
            </w:tcBorders>
            <w:gridSpan w:val="3"/>
          </w:tcPr>
          <w:p>
            <w:pPr>
              <w:jc w:val="right"/>
              <w:spacing w:after="0" w:line="176" w:lineRule="exact"/>
              <w:rPr>
                <w:rFonts w:ascii="Arial" w:cs="Arial" w:eastAsia="Arial" w:hAnsi="Arial"/>
                <w:sz w:val="18"/>
                <w:szCs w:val="18"/>
                <w:color w:val="0000EE"/>
                <w:w w:val="81"/>
              </w:rPr>
            </w:pPr>
            <w:hyperlink w:anchor="page166">
              <w:r>
                <w:rPr>
                  <w:rFonts w:ascii="Arial" w:cs="Arial" w:eastAsia="Arial" w:hAnsi="Arial"/>
                  <w:sz w:val="18"/>
                  <w:szCs w:val="18"/>
                  <w:color w:val="0000EE"/>
                  <w:w w:val="81"/>
                </w:rPr>
                <w:t>F-1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are responsible for the information contained in this prospectus. We have not authorized anyone to provide any information or to make any representations other than those contained in this prospectus. We and the underwriter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w:t>
      </w:r>
    </w:p>
    <w:p>
      <w:pPr>
        <w:spacing w:after="0" w:line="16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Until , 2019,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56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564630"/>
                    </a:xfrm>
                    <a:prstGeom prst="rect">
                      <a:avLst/>
                    </a:prstGeom>
                    <a:noFill/>
                  </pic:spPr>
                </pic:pic>
              </a:graphicData>
            </a:graphic>
          </wp:anchor>
        </w:drawing>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00" w:right="40"/>
        <w:spacing w:after="0" w:line="342" w:lineRule="auto"/>
        <w:rPr>
          <w:sz w:val="20"/>
          <w:szCs w:val="20"/>
          <w:color w:val="auto"/>
        </w:rPr>
      </w:pPr>
      <w:r>
        <w:rPr>
          <w:rFonts w:ascii="Arial" w:cs="Arial" w:eastAsia="Arial" w:hAnsi="Arial"/>
          <w:sz w:val="16"/>
          <w:szCs w:val="16"/>
          <w:i w:val="1"/>
          <w:iCs w:val="1"/>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225" w:lineRule="exact"/>
        <w:rPr>
          <w:sz w:val="20"/>
          <w:szCs w:val="20"/>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“our,” “company” or “our company” are to Silver Spike Acquisition Corp., a Cayman Islands exempted company;</w:t>
      </w:r>
    </w:p>
    <w:p>
      <w:pPr>
        <w:spacing w:after="0" w:line="225" w:lineRule="exact"/>
        <w:rPr>
          <w:rFonts w:ascii="Arial" w:cs="Arial" w:eastAsia="Arial" w:hAnsi="Arial"/>
          <w:sz w:val="18"/>
          <w:szCs w:val="18"/>
          <w:color w:val="auto"/>
        </w:rPr>
      </w:pPr>
    </w:p>
    <w:p>
      <w:pPr>
        <w:ind w:left="740" w:right="60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memorandum and articles of association” are to our memorandum and articles of association to be in effect upon completion of this offering;</w:t>
      </w:r>
    </w:p>
    <w:p>
      <w:pPr>
        <w:spacing w:after="0" w:line="170"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“Class A ordinary shares” are to our Class A ordinary shares, par value $0.0001 per share;</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“Class B ordinary shares” are to our Class B ordinary shares, par value $0.0001 per share;</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“Companies Law” are to the Companies Law (2018 Revision) of the Cayman Islands as the same may be amended from time to time;</w:t>
      </w:r>
    </w:p>
    <w:p>
      <w:pPr>
        <w:spacing w:after="0" w:line="236" w:lineRule="exact"/>
        <w:rPr>
          <w:rFonts w:ascii="Arial" w:cs="Arial" w:eastAsia="Arial" w:hAnsi="Arial"/>
          <w:sz w:val="17"/>
          <w:szCs w:val="17"/>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225" w:lineRule="exact"/>
        <w:rPr>
          <w:rFonts w:ascii="Arial" w:cs="Arial" w:eastAsia="Arial" w:hAnsi="Arial"/>
          <w:sz w:val="18"/>
          <w:szCs w:val="18"/>
          <w:color w:val="auto"/>
        </w:rPr>
      </w:pPr>
    </w:p>
    <w:p>
      <w:pPr>
        <w:jc w:val="both"/>
        <w:ind w:left="740" w:hanging="318"/>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our Class B ordinary shares initially purchased by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181"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shareholders” are to our sponsor and other holders of our founder shares prior to this offering (if any);</w:t>
      </w:r>
    </w:p>
    <w:p>
      <w:pPr>
        <w:spacing w:after="0" w:line="225" w:lineRule="exact"/>
        <w:rPr>
          <w:rFonts w:ascii="Arial" w:cs="Arial" w:eastAsia="Arial" w:hAnsi="Arial"/>
          <w:sz w:val="18"/>
          <w:szCs w:val="18"/>
          <w:color w:val="auto"/>
        </w:rPr>
      </w:pPr>
    </w:p>
    <w:p>
      <w:pPr>
        <w:ind w:left="740" w:right="6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“letter agreement” refers to the letter agreement entered into between us and our initial shareholders, directors and officers, the form of which is filed as an exhibit to the registration statement of which this prospectus forms a part;</w:t>
      </w:r>
    </w:p>
    <w:p>
      <w:pPr>
        <w:spacing w:after="0" w:line="170" w:lineRule="exact"/>
        <w:rPr>
          <w:rFonts w:ascii="Arial" w:cs="Arial" w:eastAsia="Arial" w:hAnsi="Arial"/>
          <w:sz w:val="18"/>
          <w:szCs w:val="18"/>
          <w:color w:val="auto"/>
        </w:rPr>
      </w:pPr>
    </w:p>
    <w:p>
      <w:pPr>
        <w:ind w:left="740" w:right="18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 and any other advisors described in the “Management” section of this prospectus;</w:t>
      </w:r>
    </w:p>
    <w:p>
      <w:pPr>
        <w:spacing w:after="0" w:line="170"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“ordinary shares” are to our Class A ordinary shares and our Class B ordinary shares;</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“private placement warrants” are to the warrants issued to our sponsor in a private placement simultaneously with the closing of this offering;</w:t>
      </w:r>
    </w:p>
    <w:p>
      <w:pPr>
        <w:spacing w:after="0" w:line="248" w:lineRule="exact"/>
        <w:rPr>
          <w:rFonts w:ascii="Arial" w:cs="Arial" w:eastAsia="Arial" w:hAnsi="Arial"/>
          <w:sz w:val="16"/>
          <w:szCs w:val="16"/>
          <w:color w:val="auto"/>
        </w:rPr>
      </w:pPr>
    </w:p>
    <w:p>
      <w:pPr>
        <w:ind w:left="740" w:right="58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our Class A ordinary shares sold as part of the units in this offering (whether they are purchased in this offering or thereafter in the open market);</w:t>
      </w:r>
    </w:p>
    <w:p>
      <w:pPr>
        <w:spacing w:after="0" w:line="170" w:lineRule="exact"/>
        <w:rPr>
          <w:rFonts w:ascii="Arial" w:cs="Arial" w:eastAsia="Arial" w:hAnsi="Arial"/>
          <w:sz w:val="18"/>
          <w:szCs w:val="18"/>
          <w:color w:val="auto"/>
        </w:rPr>
      </w:pPr>
    </w:p>
    <w:p>
      <w:pPr>
        <w:ind w:left="740" w:right="160" w:hanging="31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p>
    <w:p>
      <w:pPr>
        <w:spacing w:after="0" w:line="123" w:lineRule="exact"/>
        <w:rPr>
          <w:rFonts w:ascii="Arial" w:cs="Arial" w:eastAsia="Arial" w:hAnsi="Arial"/>
          <w:sz w:val="16"/>
          <w:szCs w:val="16"/>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Silver Spike Sponsor, LLC, a Delaware limited liability company;</w:t>
      </w:r>
    </w:p>
    <w:p>
      <w:pPr>
        <w:spacing w:after="0" w:line="225" w:lineRule="exact"/>
        <w:rPr>
          <w:rFonts w:ascii="Arial" w:cs="Arial" w:eastAsia="Arial" w:hAnsi="Arial"/>
          <w:sz w:val="18"/>
          <w:szCs w:val="18"/>
          <w:color w:val="auto"/>
        </w:rPr>
      </w:pPr>
    </w:p>
    <w:p>
      <w:pPr>
        <w:ind w:left="740" w:right="16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are to our redeemable warrants sold as part of the units in this offering (whether they are purchased in this offering or thereafter in the open market) and the private placement warrants; and</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5895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89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225" w:lineRule="exact"/>
        <w:rPr>
          <w:sz w:val="20"/>
          <w:szCs w:val="20"/>
          <w:color w:val="auto"/>
        </w:rPr>
      </w:pPr>
    </w:p>
    <w:p>
      <w:pPr>
        <w:ind w:left="100" w:right="120"/>
        <w:spacing w:after="0" w:line="276" w:lineRule="auto"/>
        <w:rPr>
          <w:sz w:val="20"/>
          <w:szCs w:val="20"/>
          <w:color w:val="auto"/>
        </w:rPr>
      </w:pPr>
      <w:r>
        <w:rPr>
          <w:rFonts w:ascii="Arial" w:cs="Arial" w:eastAsia="Arial" w:hAnsi="Arial"/>
          <w:sz w:val="17"/>
          <w:szCs w:val="17"/>
          <w:i w:val="1"/>
          <w:iCs w:val="1"/>
          <w:color w:val="auto"/>
        </w:rPr>
        <w:t>Any conversion of the Class B ordinary shares described in this prospectus will take effect as a redemption of Class B ordinary shares and an issuance of Class A ordinary shares as a matter of Cayman Islands law. All references in this prospectus to shares of the Company being forfeited shall take effect as surrenders for no consideration of such shares as a matter of Cayman Islands law. Any share dividends described in this prospectus will take effect as a share capitalization as a matter of Cayman Islands law. Unless we tell you otherwise, the information in this prospectus assumes that the underwriter will not exercise its over-allotment option and the forfeiture by our sponsor of 937,500 founder shares.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00"/>
        <w:spacing w:after="0" w:line="257" w:lineRule="auto"/>
        <w:rPr>
          <w:sz w:val="20"/>
          <w:szCs w:val="20"/>
          <w:color w:val="auto"/>
        </w:rPr>
      </w:pPr>
      <w:r>
        <w:rPr>
          <w:rFonts w:ascii="Arial" w:cs="Arial" w:eastAsia="Arial" w:hAnsi="Arial"/>
          <w:sz w:val="18"/>
          <w:szCs w:val="18"/>
          <w:color w:val="auto"/>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Our sponsor is an affiliate of Silver Spike Capital. Silver Spike Capital is an asset management fund focused on the burgeoning cannabis and related health</w:t>
      </w:r>
    </w:p>
    <w:p>
      <w:pPr>
        <w:spacing w:after="0" w:line="46" w:lineRule="exact"/>
        <w:rPr>
          <w:sz w:val="20"/>
          <w:szCs w:val="20"/>
          <w:color w:val="auto"/>
        </w:rPr>
      </w:pPr>
    </w:p>
    <w:p>
      <w:pPr>
        <w:ind w:left="100" w:right="140" w:hanging="2"/>
        <w:spacing w:after="0" w:line="277" w:lineRule="auto"/>
        <w:tabs>
          <w:tab w:leader="none" w:pos="28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spacing w:after="0" w:line="173" w:lineRule="exact"/>
        <w:rPr>
          <w:sz w:val="20"/>
          <w:szCs w:val="20"/>
          <w:color w:val="auto"/>
        </w:rPr>
      </w:pPr>
    </w:p>
    <w:p>
      <w:pPr>
        <w:ind w:left="100" w:right="20"/>
        <w:spacing w:after="0" w:line="289" w:lineRule="auto"/>
        <w:rPr>
          <w:sz w:val="20"/>
          <w:szCs w:val="20"/>
          <w:color w:val="auto"/>
        </w:rPr>
      </w:pPr>
      <w:r>
        <w:rPr>
          <w:rFonts w:ascii="Arial" w:cs="Arial" w:eastAsia="Arial" w:hAnsi="Arial"/>
          <w:sz w:val="16"/>
          <w:szCs w:val="16"/>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167" w:lineRule="exact"/>
        <w:rPr>
          <w:sz w:val="20"/>
          <w:szCs w:val="20"/>
          <w:color w:val="auto"/>
        </w:rPr>
      </w:pPr>
    </w:p>
    <w:p>
      <w:pPr>
        <w:ind w:left="100" w:right="20"/>
        <w:spacing w:after="0" w:line="288" w:lineRule="auto"/>
        <w:rPr>
          <w:sz w:val="20"/>
          <w:szCs w:val="20"/>
          <w:color w:val="auto"/>
        </w:rPr>
      </w:pPr>
      <w:r>
        <w:rPr>
          <w:rFonts w:ascii="Arial" w:cs="Arial" w:eastAsia="Arial" w:hAnsi="Arial"/>
          <w:sz w:val="16"/>
          <w:szCs w:val="16"/>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cannabidiol (“CBD”) businesses that are compliant with the U.S. Agricultural Improvement Act of 2018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more than 50 countries have legalized some form of medical cannabis. Over the next 24 months, we believe that legislative activity in certain jurisdictions will further broaden our opportunity set for eligible acquisitions.</w:t>
      </w: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015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196" w:lineRule="exact"/>
        <w:rPr>
          <w:sz w:val="20"/>
          <w:szCs w:val="20"/>
          <w:color w:val="auto"/>
        </w:rPr>
      </w:pPr>
    </w:p>
    <w:p>
      <w:pPr>
        <w:ind w:left="100" w:right="20"/>
        <w:spacing w:after="0" w:line="270" w:lineRule="auto"/>
        <w:rPr>
          <w:sz w:val="20"/>
          <w:szCs w:val="20"/>
          <w:color w:val="auto"/>
        </w:rPr>
      </w:pPr>
      <w:r>
        <w:rPr>
          <w:rFonts w:ascii="Arial" w:cs="Arial" w:eastAsia="Arial" w:hAnsi="Arial"/>
          <w:sz w:val="17"/>
          <w:szCs w:val="17"/>
          <w:color w:val="auto"/>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 In order to succeed under the new legislative and regulatory frameworks, we believe that businesses will need strong management teams with deep operational expertise and financial acumen.</w:t>
      </w:r>
    </w:p>
    <w:p>
      <w:pPr>
        <w:spacing w:after="0" w:line="178" w:lineRule="exact"/>
        <w:rPr>
          <w:sz w:val="20"/>
          <w:szCs w:val="20"/>
          <w:color w:val="auto"/>
        </w:rPr>
      </w:pPr>
    </w:p>
    <w:p>
      <w:pPr>
        <w:ind w:left="100" w:right="100"/>
        <w:spacing w:after="0" w:line="255" w:lineRule="auto"/>
        <w:rPr>
          <w:sz w:val="20"/>
          <w:szCs w:val="20"/>
          <w:color w:val="auto"/>
        </w:rPr>
      </w:pPr>
      <w:r>
        <w:rPr>
          <w:rFonts w:ascii="Arial" w:cs="Arial" w:eastAsia="Arial" w:hAnsi="Arial"/>
          <w:sz w:val="18"/>
          <w:szCs w:val="18"/>
          <w:color w:val="auto"/>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193" w:lineRule="exact"/>
        <w:rPr>
          <w:sz w:val="20"/>
          <w:szCs w:val="20"/>
          <w:color w:val="auto"/>
        </w:rPr>
      </w:pPr>
    </w:p>
    <w:p>
      <w:pPr>
        <w:ind w:left="100" w:right="80"/>
        <w:spacing w:after="0" w:line="273" w:lineRule="auto"/>
        <w:rPr>
          <w:sz w:val="20"/>
          <w:szCs w:val="20"/>
          <w:color w:val="auto"/>
        </w:rPr>
      </w:pPr>
      <w:r>
        <w:rPr>
          <w:rFonts w:ascii="Arial" w:cs="Arial" w:eastAsia="Arial" w:hAnsi="Arial"/>
          <w:sz w:val="17"/>
          <w:szCs w:val="17"/>
          <w:color w:val="auto"/>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178" w:lineRule="exact"/>
        <w:rPr>
          <w:sz w:val="20"/>
          <w:szCs w:val="20"/>
          <w:color w:val="auto"/>
        </w:rPr>
      </w:pPr>
    </w:p>
    <w:p>
      <w:pPr>
        <w:ind w:left="100"/>
        <w:spacing w:after="0" w:line="289" w:lineRule="auto"/>
        <w:rPr>
          <w:sz w:val="20"/>
          <w:szCs w:val="20"/>
          <w:color w:val="auto"/>
        </w:rPr>
      </w:pPr>
      <w:r>
        <w:rPr>
          <w:rFonts w:ascii="Arial" w:cs="Arial" w:eastAsia="Arial" w:hAnsi="Arial"/>
          <w:sz w:val="16"/>
          <w:szCs w:val="16"/>
          <w:color w:val="auto"/>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167" w:lineRule="exact"/>
        <w:rPr>
          <w:sz w:val="20"/>
          <w:szCs w:val="20"/>
          <w:color w:val="auto"/>
        </w:rPr>
      </w:pPr>
    </w:p>
    <w:p>
      <w:pPr>
        <w:ind w:left="100" w:right="260"/>
        <w:spacing w:after="0" w:line="308" w:lineRule="auto"/>
        <w:rPr>
          <w:sz w:val="20"/>
          <w:szCs w:val="20"/>
          <w:color w:val="auto"/>
        </w:rPr>
      </w:pPr>
      <w:r>
        <w:rPr>
          <w:rFonts w:ascii="Arial" w:cs="Arial" w:eastAsia="Arial" w:hAnsi="Arial"/>
          <w:sz w:val="17"/>
          <w:szCs w:val="17"/>
          <w:color w:val="auto"/>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left="100" w:right="80"/>
        <w:spacing w:after="0" w:line="312" w:lineRule="auto"/>
        <w:rPr>
          <w:sz w:val="20"/>
          <w:szCs w:val="20"/>
          <w:color w:val="auto"/>
        </w:rPr>
      </w:pPr>
      <w:r>
        <w:rPr>
          <w:rFonts w:ascii="Arial" w:cs="Arial" w:eastAsia="Arial" w:hAnsi="Arial"/>
          <w:sz w:val="16"/>
          <w:szCs w:val="16"/>
          <w:color w:val="auto"/>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56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564630"/>
                    </a:xfrm>
                    <a:prstGeom prst="rect">
                      <a:avLst/>
                    </a:prstGeom>
                    <a:noFill/>
                  </pic:spPr>
                </pic:pic>
              </a:graphicData>
            </a:graphic>
          </wp:anchor>
        </w:drawing>
      </w:r>
    </w:p>
    <w:p>
      <w:pPr>
        <w:spacing w:after="0" w:line="196"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collective operating, technical, regulatory and legal expertise to build a strong business with competitive advantages to emerge as a leading public company in the space.</w:t>
      </w:r>
    </w:p>
    <w:p>
      <w:pPr>
        <w:spacing w:after="0" w:line="170" w:lineRule="exact"/>
        <w:rPr>
          <w:sz w:val="20"/>
          <w:szCs w:val="20"/>
          <w:color w:val="auto"/>
        </w:rPr>
      </w:pPr>
    </w:p>
    <w:p>
      <w:pPr>
        <w:ind w:left="100" w:right="60"/>
        <w:spacing w:after="0" w:line="255" w:lineRule="auto"/>
        <w:rPr>
          <w:sz w:val="20"/>
          <w:szCs w:val="20"/>
          <w:color w:val="auto"/>
        </w:rPr>
      </w:pPr>
      <w:r>
        <w:rPr>
          <w:rFonts w:ascii="Arial" w:cs="Arial" w:eastAsia="Arial" w:hAnsi="Arial"/>
          <w:sz w:val="18"/>
          <w:szCs w:val="18"/>
          <w:color w:val="auto"/>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who will provide operating, technical, regulatory and legal expertise to assist a target business access the public markets, and our team includes Scott Gordon and Orrin Devinsky, both of whom have extensive expertise in cannabis. Our team consists of professionals who have decades of experience in capital markets globally, have extensive scientific and medical knowledge of the plant and its many compounds and includes entrepreneurs and founders of consumer facing businesses.</w:t>
      </w:r>
    </w:p>
    <w:p>
      <w:pPr>
        <w:spacing w:after="0" w:line="193" w:lineRule="exact"/>
        <w:rPr>
          <w:sz w:val="20"/>
          <w:szCs w:val="20"/>
          <w:color w:val="auto"/>
        </w:rPr>
      </w:pPr>
    </w:p>
    <w:p>
      <w:pPr>
        <w:ind w:left="100" w:right="100"/>
        <w:spacing w:after="0" w:line="293" w:lineRule="auto"/>
        <w:rPr>
          <w:sz w:val="20"/>
          <w:szCs w:val="20"/>
          <w:color w:val="auto"/>
        </w:rPr>
      </w:pPr>
      <w:r>
        <w:rPr>
          <w:rFonts w:ascii="Arial" w:cs="Arial" w:eastAsia="Arial" w:hAnsi="Arial"/>
          <w:sz w:val="16"/>
          <w:szCs w:val="16"/>
          <w:color w:val="auto"/>
        </w:rPr>
        <w:t>Our acquisition plan is to leverage our management team’s networks of potential transaction sources where we believe a combination of our management team’s industry relationships, knowledge and experience could effect a positive transformation or augmentation of existing businesses or assets. Over the course of their careers, the members of our management team have developed a broad network of contacts and corporate relationships that we 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spacing w:after="0" w:line="165" w:lineRule="exact"/>
        <w:rPr>
          <w:sz w:val="20"/>
          <w:szCs w:val="20"/>
          <w:color w:val="auto"/>
        </w:rPr>
      </w:pPr>
    </w:p>
    <w:p>
      <w:pPr>
        <w:jc w:val="both"/>
        <w:ind w:left="100" w:right="40"/>
        <w:spacing w:after="0" w:line="264" w:lineRule="auto"/>
        <w:rPr>
          <w:sz w:val="20"/>
          <w:szCs w:val="20"/>
          <w:color w:val="auto"/>
        </w:rPr>
      </w:pPr>
      <w:r>
        <w:rPr>
          <w:rFonts w:ascii="Arial" w:cs="Arial" w:eastAsia="Arial" w:hAnsi="Arial"/>
          <w:sz w:val="18"/>
          <w:szCs w:val="18"/>
          <w:color w:val="auto"/>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ind w:left="100" w:right="10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p>
      <w:pPr>
        <w:spacing w:after="0" w:line="184" w:lineRule="exact"/>
        <w:rPr>
          <w:sz w:val="20"/>
          <w:szCs w:val="20"/>
          <w:color w:val="auto"/>
        </w:rPr>
      </w:pPr>
    </w:p>
    <w:p>
      <w:pPr>
        <w:ind w:left="740" w:right="640" w:hanging="318"/>
        <w:spacing w:after="0" w:line="282"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exhibit institutional-level operations and financial controls. </w:t>
      </w:r>
      <w:r>
        <w:rPr>
          <w:rFonts w:ascii="Arial" w:cs="Arial" w:eastAsia="Arial" w:hAnsi="Arial"/>
          <w:sz w:val="18"/>
          <w:szCs w:val="18"/>
          <w:color w:val="auto"/>
        </w:rPr>
        <w:t>We intend to seek a target in the cannabis space that not only has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position, but also has the underlying infrastructure and operations to build a public platform;</w:t>
      </w:r>
    </w:p>
    <w:p>
      <w:pPr>
        <w:spacing w:after="0" w:line="161" w:lineRule="exact"/>
        <w:rPr>
          <w:rFonts w:ascii="Arial" w:cs="Arial" w:eastAsia="Arial" w:hAnsi="Arial"/>
          <w:sz w:val="18"/>
          <w:szCs w:val="18"/>
          <w:color w:val="auto"/>
        </w:rPr>
      </w:pPr>
    </w:p>
    <w:p>
      <w:pPr>
        <w:ind w:left="740" w:right="320" w:hanging="318"/>
        <w:spacing w:after="0" w:line="282"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have durable competitive advantages that are differentiated in the sector. </w:t>
      </w:r>
      <w:r>
        <w:rPr>
          <w:rFonts w:ascii="Arial" w:cs="Arial" w:eastAsia="Arial" w:hAnsi="Arial"/>
          <w:sz w:val="18"/>
          <w:szCs w:val="18"/>
          <w:color w:val="auto"/>
        </w:rPr>
        <w:t>We intend to acquire an asset that not only benefits from secular</w:t>
      </w:r>
      <w:r>
        <w:rPr>
          <w:rFonts w:ascii="Arial" w:cs="Arial" w:eastAsia="Arial" w:hAnsi="Arial"/>
          <w:sz w:val="18"/>
          <w:szCs w:val="18"/>
          <w:b w:val="1"/>
          <w:bCs w:val="1"/>
          <w:color w:val="auto"/>
        </w:rPr>
        <w:t xml:space="preserve"> </w:t>
      </w:r>
      <w:r>
        <w:rPr>
          <w:rFonts w:ascii="Arial" w:cs="Arial" w:eastAsia="Arial" w:hAnsi="Arial"/>
          <w:sz w:val="18"/>
          <w:szCs w:val="18"/>
          <w:color w:val="auto"/>
        </w:rPr>
        <w:t>tailwinds in the industry, but also exhibit hard-to-replicate competitive advantages amongst its peers;</w:t>
      </w:r>
    </w:p>
    <w:p>
      <w:pPr>
        <w:spacing w:after="0" w:line="161" w:lineRule="exact"/>
        <w:rPr>
          <w:rFonts w:ascii="Arial" w:cs="Arial" w:eastAsia="Arial" w:hAnsi="Arial"/>
          <w:sz w:val="18"/>
          <w:szCs w:val="18"/>
          <w:color w:val="auto"/>
        </w:rPr>
      </w:pPr>
    </w:p>
    <w:p>
      <w:pPr>
        <w:ind w:left="740" w:right="340" w:hanging="318"/>
        <w:spacing w:after="0" w:line="266"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are fundamentally sound with consistent operational performance and free cash flow generation. </w:t>
      </w:r>
      <w:r>
        <w:rPr>
          <w:rFonts w:ascii="Arial" w:cs="Arial" w:eastAsia="Arial" w:hAnsi="Arial"/>
          <w:sz w:val="18"/>
          <w:szCs w:val="18"/>
          <w:color w:val="auto"/>
        </w:rPr>
        <w:t>We expect to target a business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exhibited profitability and strong cash flow generation. Our management team has a proven track record accelerating growth of companies with strong past performance;</w:t>
      </w:r>
    </w:p>
    <w:p>
      <w:pPr>
        <w:spacing w:after="0" w:line="176" w:lineRule="exact"/>
        <w:rPr>
          <w:rFonts w:ascii="Arial" w:cs="Arial" w:eastAsia="Arial" w:hAnsi="Arial"/>
          <w:sz w:val="18"/>
          <w:szCs w:val="18"/>
          <w:color w:val="auto"/>
        </w:rPr>
      </w:pPr>
    </w:p>
    <w:p>
      <w:pPr>
        <w:ind w:left="740" w:right="440" w:hanging="318"/>
        <w:spacing w:after="0" w:line="313"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are at an inflection point, such as requiring additional capital to achieve a growth strategy. </w:t>
      </w:r>
      <w:r>
        <w:rPr>
          <w:rFonts w:ascii="Arial" w:cs="Arial" w:eastAsia="Arial" w:hAnsi="Arial"/>
          <w:sz w:val="17"/>
          <w:szCs w:val="17"/>
          <w:color w:val="auto"/>
        </w:rPr>
        <w:t>We intend to look for targets that have clear</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for long-term sustainable growth, but which require our capital or expertise to achieve a growth strategy;</w:t>
      </w:r>
    </w:p>
    <w:p>
      <w:pPr>
        <w:spacing w:after="0" w:line="138" w:lineRule="exact"/>
        <w:rPr>
          <w:rFonts w:ascii="Arial" w:cs="Arial" w:eastAsia="Arial" w:hAnsi="Arial"/>
          <w:sz w:val="17"/>
          <w:szCs w:val="17"/>
          <w:color w:val="auto"/>
        </w:rPr>
      </w:pPr>
    </w:p>
    <w:p>
      <w:pPr>
        <w:ind w:left="740" w:right="80" w:hanging="318"/>
        <w:spacing w:after="0" w:line="261"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have the potential to further improve their performance under our ownership. </w:t>
      </w:r>
      <w:r>
        <w:rPr>
          <w:rFonts w:ascii="Arial" w:cs="Arial" w:eastAsia="Arial" w:hAnsi="Arial"/>
          <w:sz w:val="18"/>
          <w:szCs w:val="18"/>
          <w:color w:val="auto"/>
        </w:rPr>
        <w:t>We intend to seek targets where we believe we can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307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3074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40" w:right="580" w:hanging="318"/>
        <w:spacing w:after="0" w:line="347"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may benefit from capital markets access. </w:t>
      </w:r>
      <w:r>
        <w:rPr>
          <w:rFonts w:ascii="Arial" w:cs="Arial" w:eastAsia="Arial" w:hAnsi="Arial"/>
          <w:sz w:val="16"/>
          <w:szCs w:val="16"/>
          <w:color w:val="auto"/>
        </w:rPr>
        <w:t>We intend to seek a target that may benefit from being, or has the potential to become, a public</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an increased public profile, enhanced corporate governance and increased access to a more diversified pool of capital; and</w:t>
      </w:r>
    </w:p>
    <w:p>
      <w:pPr>
        <w:spacing w:after="0" w:line="116" w:lineRule="exact"/>
        <w:rPr>
          <w:rFonts w:ascii="Arial" w:cs="Arial" w:eastAsia="Arial" w:hAnsi="Arial"/>
          <w:sz w:val="16"/>
          <w:szCs w:val="16"/>
          <w:color w:val="auto"/>
        </w:rPr>
      </w:pPr>
    </w:p>
    <w:p>
      <w:pPr>
        <w:ind w:left="740" w:right="900" w:hanging="318"/>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exhibit unrecognized value and desirable returns on capital. </w:t>
      </w:r>
      <w:r>
        <w:rPr>
          <w:rFonts w:ascii="Arial" w:cs="Arial" w:eastAsia="Arial" w:hAnsi="Arial"/>
          <w:sz w:val="18"/>
          <w:szCs w:val="18"/>
          <w:color w:val="auto"/>
        </w:rPr>
        <w:t>We will look for targets that we believe have been undervalued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based on our analysis and due diligence review.</w:t>
      </w:r>
    </w:p>
    <w:p>
      <w:pPr>
        <w:spacing w:after="0" w:line="166" w:lineRule="exact"/>
        <w:rPr>
          <w:sz w:val="20"/>
          <w:szCs w:val="20"/>
          <w:color w:val="auto"/>
        </w:rPr>
      </w:pPr>
    </w:p>
    <w:p>
      <w:pPr>
        <w:ind w:left="100" w:right="80"/>
        <w:spacing w:after="0" w:line="297"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Acquisition Process</w:t>
      </w:r>
    </w:p>
    <w:p>
      <w:pPr>
        <w:spacing w:after="0" w:line="229"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left="100" w:right="4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left="100"/>
        <w:spacing w:after="0" w:line="287"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69" w:lineRule="exact"/>
        <w:rPr>
          <w:sz w:val="20"/>
          <w:szCs w:val="20"/>
          <w:color w:val="auto"/>
        </w:rPr>
      </w:pPr>
    </w:p>
    <w:p>
      <w:pPr>
        <w:ind w:left="100" w:right="220"/>
        <w:spacing w:after="0" w:line="276"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5878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196"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color w:val="auto"/>
        </w:rPr>
        <w:t>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180" w:lineRule="exact"/>
        <w:rPr>
          <w:sz w:val="20"/>
          <w:szCs w:val="20"/>
          <w:color w:val="auto"/>
        </w:rPr>
      </w:pPr>
    </w:p>
    <w:p>
      <w:pPr>
        <w:ind w:left="100" w:right="180"/>
        <w:spacing w:after="0" w:line="279" w:lineRule="auto"/>
        <w:rPr>
          <w:sz w:val="20"/>
          <w:szCs w:val="20"/>
          <w:color w:val="auto"/>
        </w:rPr>
      </w:pPr>
      <w:r>
        <w:rPr>
          <w:rFonts w:ascii="Arial" w:cs="Arial" w:eastAsia="Arial" w:hAnsi="Arial"/>
          <w:sz w:val="17"/>
          <w:szCs w:val="17"/>
          <w:color w:val="auto"/>
        </w:rPr>
        <w:t>Prior to the effectiveness of the registration statement of which this prospectus forms a part,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Emerging Growth Company Status and Other Corporate Information</w:t>
      </w:r>
    </w:p>
    <w:p>
      <w:pPr>
        <w:spacing w:after="0" w:line="229" w:lineRule="exact"/>
        <w:rPr>
          <w:sz w:val="20"/>
          <w:szCs w:val="20"/>
          <w:color w:val="auto"/>
        </w:rPr>
      </w:pPr>
    </w:p>
    <w:p>
      <w:pPr>
        <w:ind w:left="100" w:right="40"/>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7" w:lineRule="exact"/>
        <w:rPr>
          <w:sz w:val="20"/>
          <w:szCs w:val="20"/>
          <w:color w:val="auto"/>
        </w:rPr>
      </w:pPr>
    </w:p>
    <w:p>
      <w:pPr>
        <w:ind w:left="100" w:right="12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left="100" w:right="180"/>
        <w:spacing w:after="0" w:line="27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3" w:lineRule="exact"/>
        <w:rPr>
          <w:sz w:val="20"/>
          <w:szCs w:val="20"/>
          <w:color w:val="auto"/>
        </w:rPr>
      </w:pPr>
    </w:p>
    <w:p>
      <w:pPr>
        <w:jc w:val="both"/>
        <w:ind w:left="100" w:right="100"/>
        <w:spacing w:after="0" w:line="312" w:lineRule="auto"/>
        <w:rPr>
          <w:sz w:val="20"/>
          <w:szCs w:val="20"/>
          <w:color w:val="auto"/>
        </w:rPr>
      </w:pPr>
      <w:r>
        <w:rPr>
          <w:rFonts w:ascii="Arial" w:cs="Arial" w:eastAsia="Arial" w:hAnsi="Arial"/>
          <w:sz w:val="16"/>
          <w:szCs w:val="16"/>
          <w:color w:val="auto"/>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1213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1213485"/>
                    </a:xfrm>
                    <a:prstGeom prst="rect">
                      <a:avLst/>
                    </a:prstGeom>
                    <a:noFill/>
                  </pic:spPr>
                </pic:pic>
              </a:graphicData>
            </a:graphic>
          </wp:anchor>
        </w:drawing>
      </w:r>
    </w:p>
    <w:p>
      <w:pPr>
        <w:spacing w:after="0" w:line="196" w:lineRule="exact"/>
        <w:rPr>
          <w:sz w:val="20"/>
          <w:szCs w:val="20"/>
          <w:color w:val="auto"/>
        </w:rPr>
      </w:pPr>
    </w:p>
    <w:p>
      <w:pPr>
        <w:ind w:left="100"/>
        <w:spacing w:after="0" w:line="257" w:lineRule="auto"/>
        <w:rPr>
          <w:sz w:val="20"/>
          <w:szCs w:val="20"/>
          <w:color w:val="auto"/>
        </w:rPr>
      </w:pPr>
      <w:r>
        <w:rPr>
          <w:rFonts w:ascii="Arial" w:cs="Arial" w:eastAsia="Arial" w:hAnsi="Arial"/>
          <w:sz w:val="18"/>
          <w:szCs w:val="18"/>
          <w:color w:val="auto"/>
        </w:rPr>
        <w:t>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8" w:lineRule="exact"/>
        <w:rPr>
          <w:sz w:val="20"/>
          <w:szCs w:val="20"/>
          <w:color w:val="auto"/>
        </w:rPr>
      </w:pPr>
    </w:p>
    <w:p>
      <w:pPr>
        <w:ind w:left="100" w:right="160"/>
        <w:spacing w:after="0" w:line="277" w:lineRule="auto"/>
        <w:rPr>
          <w:sz w:val="20"/>
          <w:szCs w:val="20"/>
          <w:color w:val="auto"/>
        </w:rPr>
      </w:pPr>
      <w:r>
        <w:rPr>
          <w:rFonts w:ascii="Arial" w:cs="Arial" w:eastAsia="Arial" w:hAnsi="Arial"/>
          <w:sz w:val="18"/>
          <w:szCs w:val="18"/>
          <w:color w:val="auto"/>
        </w:rPr>
        <w:t>We are a Cayman Islands exempted company incorporated in June 2019. Our executive offices are located at 1114 6th Ave, 41st Floor, New York, New York, 10036 and our telephone number is (212) 905-4923.</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2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307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6307455"/>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00"/>
        <w:spacing w:after="0" w:line="327" w:lineRule="auto"/>
        <w:rPr>
          <w:sz w:val="20"/>
          <w:szCs w:val="20"/>
          <w:color w:val="auto"/>
        </w:rPr>
      </w:pPr>
      <w:r>
        <w:rPr>
          <w:rFonts w:ascii="Arial" w:cs="Arial" w:eastAsia="Arial" w:hAnsi="Arial"/>
          <w:sz w:val="15"/>
          <w:szCs w:val="15"/>
          <w:b w:val="1"/>
          <w:bCs w:val="1"/>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140" w:lineRule="exact"/>
        <w:rPr>
          <w:sz w:val="20"/>
          <w:szCs w:val="20"/>
          <w:color w:val="auto"/>
        </w:rPr>
      </w:pPr>
    </w:p>
    <w:p>
      <w:pPr>
        <w:ind w:left="100"/>
        <w:spacing w:after="0"/>
        <w:tabs>
          <w:tab w:leader="none" w:pos="55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25,000,000 units (or 28,750,000 units if the underwriter’s over-allotment</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option is exercised in full), at $10.00 per unit, each unit consisting of:</w:t>
      </w:r>
    </w:p>
    <w:p>
      <w:pPr>
        <w:spacing w:after="0" w:line="211" w:lineRule="exact"/>
        <w:rPr>
          <w:sz w:val="20"/>
          <w:szCs w:val="20"/>
          <w:color w:val="auto"/>
        </w:rPr>
      </w:pPr>
    </w:p>
    <w:p>
      <w:pPr>
        <w:ind w:left="5600"/>
        <w:spacing w:after="0"/>
        <w:tabs>
          <w:tab w:leader="none" w:pos="5860" w:val="left"/>
        </w:tabs>
        <w:rPr>
          <w:sz w:val="20"/>
          <w:szCs w:val="20"/>
          <w:color w:val="auto"/>
        </w:rPr>
      </w:pPr>
      <w:r>
        <w:rPr>
          <w:rFonts w:ascii="Arial" w:cs="Arial" w:eastAsia="Arial" w:hAnsi="Arial"/>
          <w:sz w:val="18"/>
          <w:szCs w:val="18"/>
          <w:color w:val="auto"/>
        </w:rPr>
        <w:t>·</w:t>
        <w:tab/>
        <w:t>one Class A ordinary share; and</w:t>
      </w:r>
    </w:p>
    <w:p>
      <w:pPr>
        <w:spacing w:after="0" w:line="225" w:lineRule="exact"/>
        <w:rPr>
          <w:sz w:val="20"/>
          <w:szCs w:val="20"/>
          <w:color w:val="auto"/>
        </w:rPr>
      </w:pPr>
    </w:p>
    <w:p>
      <w:pPr>
        <w:ind w:left="5600"/>
        <w:spacing w:after="0"/>
        <w:tabs>
          <w:tab w:leader="none" w:pos="5860" w:val="left"/>
        </w:tabs>
        <w:rPr>
          <w:sz w:val="20"/>
          <w:szCs w:val="20"/>
          <w:color w:val="auto"/>
        </w:rPr>
      </w:pPr>
      <w:r>
        <w:rPr>
          <w:rFonts w:ascii="Arial" w:cs="Arial" w:eastAsia="Arial" w:hAnsi="Arial"/>
          <w:sz w:val="18"/>
          <w:szCs w:val="18"/>
          <w:color w:val="auto"/>
        </w:rPr>
        <w:t>·</w:t>
        <w:tab/>
        <w:t>one-half of one redeemable warrant.</w:t>
      </w:r>
    </w:p>
    <w:p>
      <w:pPr>
        <w:sectPr>
          <w:pgSz w:w="11900" w:h="16838" w:orient="portrait"/>
          <w:cols w:equalWidth="0" w:num="1">
            <w:col w:w="11320"/>
          </w:cols>
          <w:pgMar w:left="240" w:top="229" w:right="339" w:bottom="1440" w:gutter="0" w:footer="0" w:header="0"/>
        </w:sectPr>
      </w:pP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right="480"/>
        <w:spacing w:after="0" w:line="277"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Units: “SSPKU”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“SSPK”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Warrants: “SSPKW”</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units will begin trading promptly after the date of this prospectus. 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85"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jc w:val="both"/>
        <w:ind w:left="100" w:right="380"/>
        <w:spacing w:after="0" w:line="264"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ind w:right="100"/>
        <w:spacing w:after="0" w:line="270"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7422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742251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Units:</w:t>
            </w:r>
          </w:p>
        </w:tc>
        <w:tc>
          <w:tcPr>
            <w:tcW w:w="2320" w:type="dxa"/>
            <w:vAlign w:val="bottom"/>
          </w:tcPr>
          <w:p>
            <w:pPr>
              <w:spacing w:after="0"/>
              <w:rPr>
                <w:sz w:val="20"/>
                <w:szCs w:val="20"/>
                <w:color w:val="auto"/>
              </w:rPr>
            </w:pP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Number issued and outstanding before this offering</w:t>
            </w:r>
          </w:p>
        </w:tc>
        <w:tc>
          <w:tcPr>
            <w:tcW w:w="2320" w:type="dxa"/>
            <w:vAlign w:val="bottom"/>
          </w:tcPr>
          <w:p>
            <w:pPr>
              <w:ind w:left="900"/>
              <w:spacing w:after="0"/>
              <w:rPr>
                <w:sz w:val="20"/>
                <w:szCs w:val="20"/>
                <w:color w:val="auto"/>
              </w:rPr>
            </w:pPr>
            <w:r>
              <w:rPr>
                <w:rFonts w:ascii="Arial" w:cs="Arial" w:eastAsia="Arial" w:hAnsi="Arial"/>
                <w:sz w:val="18"/>
                <w:szCs w:val="18"/>
                <w:color w:val="auto"/>
              </w:rPr>
              <w:t>0</w:t>
            </w:r>
          </w:p>
        </w:tc>
      </w:tr>
      <w:tr>
        <w:trPr>
          <w:trHeight w:val="596"/>
        </w:trPr>
        <w:tc>
          <w:tcPr>
            <w:tcW w:w="4600" w:type="dxa"/>
            <w:vAlign w:val="bottom"/>
          </w:tcPr>
          <w:p>
            <w:pPr>
              <w:spacing w:after="0"/>
              <w:rPr>
                <w:sz w:val="20"/>
                <w:szCs w:val="20"/>
                <w:color w:val="auto"/>
              </w:rPr>
            </w:pPr>
            <w:r>
              <w:rPr>
                <w:rFonts w:ascii="Arial" w:cs="Arial" w:eastAsia="Arial" w:hAnsi="Arial"/>
                <w:sz w:val="18"/>
                <w:szCs w:val="18"/>
                <w:color w:val="auto"/>
              </w:rPr>
              <w:t>Number issued and outstanding after this offering</w:t>
            </w:r>
          </w:p>
        </w:tc>
        <w:tc>
          <w:tcPr>
            <w:tcW w:w="2320" w:type="dxa"/>
            <w:vAlign w:val="bottom"/>
          </w:tcPr>
          <w:p>
            <w:pPr>
              <w:ind w:left="900"/>
              <w:spacing w:after="0"/>
              <w:rPr>
                <w:sz w:val="20"/>
                <w:szCs w:val="20"/>
                <w:color w:val="auto"/>
              </w:rPr>
            </w:pPr>
            <w:r>
              <w:rPr>
                <w:rFonts w:ascii="Arial" w:cs="Arial" w:eastAsia="Arial" w:hAnsi="Arial"/>
                <w:sz w:val="18"/>
                <w:szCs w:val="18"/>
                <w:color w:val="auto"/>
              </w:rPr>
              <w:t>25,000,000</w:t>
            </w:r>
            <w:r>
              <w:rPr>
                <w:rFonts w:ascii="Arial" w:cs="Arial" w:eastAsia="Arial" w:hAnsi="Arial"/>
                <w:sz w:val="30"/>
                <w:szCs w:val="30"/>
                <w:color w:val="auto"/>
                <w:vertAlign w:val="superscript"/>
              </w:rPr>
              <w:t>(1)</w:t>
            </w:r>
          </w:p>
        </w:tc>
      </w:tr>
      <w:tr>
        <w:trPr>
          <w:trHeight w:val="309"/>
        </w:trPr>
        <w:tc>
          <w:tcPr>
            <w:tcW w:w="460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2320" w:type="dxa"/>
            <w:vAlign w:val="bottom"/>
          </w:tcPr>
          <w:p>
            <w:pPr>
              <w:spacing w:after="0"/>
              <w:rPr>
                <w:sz w:val="24"/>
                <w:szCs w:val="24"/>
                <w:color w:val="auto"/>
              </w:rPr>
            </w:pPr>
          </w:p>
        </w:tc>
      </w:tr>
      <w:tr>
        <w:trPr>
          <w:trHeight w:val="596"/>
        </w:trPr>
        <w:tc>
          <w:tcPr>
            <w:tcW w:w="4600" w:type="dxa"/>
            <w:vAlign w:val="bottom"/>
          </w:tcPr>
          <w:p>
            <w:pPr>
              <w:spacing w:after="0"/>
              <w:rPr>
                <w:sz w:val="20"/>
                <w:szCs w:val="20"/>
                <w:color w:val="auto"/>
              </w:rPr>
            </w:pPr>
            <w:r>
              <w:rPr>
                <w:rFonts w:ascii="Arial" w:cs="Arial" w:eastAsia="Arial" w:hAnsi="Arial"/>
                <w:sz w:val="18"/>
                <w:szCs w:val="18"/>
                <w:color w:val="auto"/>
              </w:rPr>
              <w:t>Number issued and outstanding before this offering</w:t>
            </w:r>
          </w:p>
        </w:tc>
        <w:tc>
          <w:tcPr>
            <w:tcW w:w="2320" w:type="dxa"/>
            <w:vAlign w:val="bottom"/>
          </w:tcPr>
          <w:p>
            <w:pPr>
              <w:ind w:left="900"/>
              <w:spacing w:after="0"/>
              <w:rPr>
                <w:sz w:val="20"/>
                <w:szCs w:val="20"/>
                <w:color w:val="auto"/>
              </w:rPr>
            </w:pPr>
            <w:r>
              <w:rPr>
                <w:rFonts w:ascii="Arial" w:cs="Arial" w:eastAsia="Arial" w:hAnsi="Arial"/>
                <w:sz w:val="18"/>
                <w:szCs w:val="18"/>
                <w:color w:val="auto"/>
              </w:rPr>
              <w:t>7,187,500</w:t>
            </w:r>
            <w:r>
              <w:rPr>
                <w:rFonts w:ascii="Arial" w:cs="Arial" w:eastAsia="Arial" w:hAnsi="Arial"/>
                <w:sz w:val="30"/>
                <w:szCs w:val="30"/>
                <w:color w:val="auto"/>
                <w:vertAlign w:val="superscript"/>
              </w:rPr>
              <w:t>(2) (3)</w:t>
            </w:r>
          </w:p>
        </w:tc>
      </w:tr>
      <w:tr>
        <w:trPr>
          <w:trHeight w:val="473"/>
        </w:trPr>
        <w:tc>
          <w:tcPr>
            <w:tcW w:w="4600" w:type="dxa"/>
            <w:vAlign w:val="bottom"/>
          </w:tcPr>
          <w:p>
            <w:pPr>
              <w:spacing w:after="0"/>
              <w:rPr>
                <w:sz w:val="20"/>
                <w:szCs w:val="20"/>
                <w:color w:val="auto"/>
              </w:rPr>
            </w:pPr>
            <w:r>
              <w:rPr>
                <w:rFonts w:ascii="Arial" w:cs="Arial" w:eastAsia="Arial" w:hAnsi="Arial"/>
                <w:sz w:val="18"/>
                <w:szCs w:val="18"/>
                <w:color w:val="auto"/>
              </w:rPr>
              <w:t>Number issued and outstanding after this offering</w:t>
            </w:r>
          </w:p>
        </w:tc>
        <w:tc>
          <w:tcPr>
            <w:tcW w:w="2320" w:type="dxa"/>
            <w:vAlign w:val="bottom"/>
          </w:tcPr>
          <w:p>
            <w:pPr>
              <w:ind w:left="900"/>
              <w:spacing w:after="0"/>
              <w:rPr>
                <w:sz w:val="20"/>
                <w:szCs w:val="20"/>
                <w:color w:val="auto"/>
              </w:rPr>
            </w:pPr>
            <w:r>
              <w:rPr>
                <w:rFonts w:ascii="Arial" w:cs="Arial" w:eastAsia="Arial" w:hAnsi="Arial"/>
                <w:sz w:val="18"/>
                <w:szCs w:val="18"/>
                <w:color w:val="auto"/>
                <w:w w:val="80"/>
              </w:rPr>
              <w:t>31,250,000</w:t>
            </w:r>
            <w:r>
              <w:rPr>
                <w:rFonts w:ascii="Arial" w:cs="Arial" w:eastAsia="Arial" w:hAnsi="Arial"/>
                <w:sz w:val="30"/>
                <w:szCs w:val="30"/>
                <w:color w:val="auto"/>
                <w:w w:val="80"/>
                <w:vertAlign w:val="superscript"/>
              </w:rPr>
              <w:t>(1) (3) (4)</w:t>
            </w:r>
          </w:p>
        </w:tc>
      </w:tr>
      <w:tr>
        <w:trPr>
          <w:trHeight w:val="309"/>
        </w:trPr>
        <w:tc>
          <w:tcPr>
            <w:tcW w:w="460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23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80"/>
          </w:cols>
          <w:pgMar w:left="240" w:top="229" w:right="379" w:bottom="1440" w:gutter="0" w:footer="0" w:header="0"/>
        </w:sectPr>
      </w:pPr>
    </w:p>
    <w:p>
      <w:pPr>
        <w:spacing w:after="0" w:line="2"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Number of private placement warrants to be sold in a private placement simultaneously with this offering</w:t>
      </w:r>
    </w:p>
    <w:p>
      <w:pPr>
        <w:spacing w:after="0" w:line="170" w:lineRule="exact"/>
        <w:rPr>
          <w:sz w:val="20"/>
          <w:szCs w:val="20"/>
          <w:color w:val="auto"/>
        </w:rPr>
      </w:pPr>
    </w:p>
    <w:p>
      <w:pPr>
        <w:ind w:left="100" w:right="440"/>
        <w:spacing w:after="0" w:line="277" w:lineRule="auto"/>
        <w:rPr>
          <w:sz w:val="20"/>
          <w:szCs w:val="20"/>
          <w:color w:val="auto"/>
        </w:rPr>
      </w:pPr>
      <w:r>
        <w:rPr>
          <w:rFonts w:ascii="Arial" w:cs="Arial" w:eastAsia="Arial" w:hAnsi="Arial"/>
          <w:sz w:val="18"/>
          <w:szCs w:val="18"/>
          <w:color w:val="auto"/>
        </w:rPr>
        <w:t>Number of warrants to be outstanding after this offering and the private placement</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7,000,000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19,500,000</w:t>
      </w:r>
      <w:r>
        <w:rPr>
          <w:rFonts w:ascii="Arial" w:cs="Arial" w:eastAsia="Arial" w:hAnsi="Arial"/>
          <w:sz w:val="30"/>
          <w:szCs w:val="30"/>
          <w:color w:val="auto"/>
          <w:vertAlign w:val="superscript"/>
        </w:rPr>
        <w:t>(1)</w:t>
      </w:r>
    </w:p>
    <w:p>
      <w:pPr>
        <w:spacing w:after="0" w:line="300"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Each whole warrant offered in this offering is exercisable to purchase one Class A ordinary share, subject to adjustment as provided herein, and only whole warrants are exercisable. No fractional warrants will be issued upon separation of the units and only whole warrants will trade.</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structured each unit to contain one-half of one warrant, with each whole warrant exercisable for one Class A ordinary share, as compared to units issued by some other similar blank check companies which contain whole warrants exercisable for one share, in order to reduce the dilutive effect of the warrants upon completion of our initial business combination as compared to units that each contain a whole warrant to purchase one share, which we believe will make us a more attractive business combination partner for target businesses.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$11.50 per share, subject to adjustment as described herein.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if (x) we issue additional ordinary shares or equity-linked securities for capital raising purposes in</w:t>
      </w:r>
    </w:p>
    <w:p>
      <w:pPr>
        <w:spacing w:after="0" w:line="200" w:lineRule="exact"/>
        <w:rPr>
          <w:sz w:val="20"/>
          <w:szCs w:val="20"/>
          <w:color w:val="auto"/>
        </w:rPr>
      </w:pPr>
    </w:p>
    <w:p>
      <w:pPr>
        <w:sectPr>
          <w:pgSz w:w="11900" w:h="16838" w:orient="portrait"/>
          <w:cols w:equalWidth="0" w:num="2">
            <w:col w:w="4880" w:space="720"/>
            <w:col w:w="5680"/>
          </w:cols>
          <w:pgMar w:left="240" w:top="229" w:right="379" w:bottom="1440" w:gutter="0" w:footer="0" w:header="0"/>
          <w:type w:val="continuous"/>
        </w:sectPr>
      </w:pPr>
    </w:p>
    <w:p>
      <w:pPr>
        <w:spacing w:after="0" w:line="275" w:lineRule="exact"/>
        <w:rPr>
          <w:sz w:val="20"/>
          <w:szCs w:val="20"/>
          <w:color w:val="auto"/>
        </w:rPr>
      </w:pPr>
    </w:p>
    <w:p>
      <w:pPr>
        <w:ind w:left="1280" w:hanging="534"/>
        <w:spacing w:after="0"/>
        <w:tabs>
          <w:tab w:leader="none" w:pos="128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Assumes no exercise of the underwriter’s over-allotment option and the forfeiture by our sponsor of 937,500 founder shares.</w:t>
      </w:r>
    </w:p>
    <w:p>
      <w:pPr>
        <w:spacing w:after="0" w:line="242" w:lineRule="exact"/>
        <w:rPr>
          <w:rFonts w:ascii="Arial" w:cs="Arial" w:eastAsia="Arial" w:hAnsi="Arial"/>
          <w:sz w:val="30"/>
          <w:szCs w:val="30"/>
          <w:color w:val="auto"/>
          <w:vertAlign w:val="superscript"/>
        </w:rPr>
      </w:pPr>
    </w:p>
    <w:p>
      <w:pPr>
        <w:ind w:left="100" w:right="80" w:firstLine="646"/>
        <w:spacing w:after="0" w:line="194" w:lineRule="auto"/>
        <w:tabs>
          <w:tab w:leader="none" w:pos="1283"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Consists solely of founder shares and includes up to 937,500 founder shares that are subject to forfeiture by our sponsor depending on the extent to which the underwriter’s over-allotment option is exercised.</w:t>
      </w:r>
    </w:p>
    <w:p>
      <w:pPr>
        <w:spacing w:after="0" w:line="242" w:lineRule="exact"/>
        <w:rPr>
          <w:rFonts w:ascii="Arial" w:cs="Arial" w:eastAsia="Arial" w:hAnsi="Arial"/>
          <w:sz w:val="30"/>
          <w:szCs w:val="30"/>
          <w:color w:val="auto"/>
          <w:vertAlign w:val="superscript"/>
        </w:rPr>
      </w:pPr>
    </w:p>
    <w:p>
      <w:pPr>
        <w:ind w:left="100" w:firstLine="646"/>
        <w:spacing w:after="0" w:line="209" w:lineRule="auto"/>
        <w:tabs>
          <w:tab w:leader="none" w:pos="1283"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Founder shares are currently classified as Class B ordinary shares, which shares will automatically convert into Class A ordinary shares on the first business day following our initial business combination on a one-for-one basis, subject to adjustment as described below adjacent to the caption “Founder shares conversion and anti-dilution rights.”</w:t>
      </w:r>
    </w:p>
    <w:p>
      <w:pPr>
        <w:spacing w:after="0" w:line="129" w:lineRule="exact"/>
        <w:rPr>
          <w:rFonts w:ascii="Arial" w:cs="Arial" w:eastAsia="Arial" w:hAnsi="Arial"/>
          <w:sz w:val="30"/>
          <w:szCs w:val="30"/>
          <w:color w:val="auto"/>
          <w:vertAlign w:val="superscript"/>
        </w:rPr>
      </w:pPr>
    </w:p>
    <w:p>
      <w:pPr>
        <w:ind w:left="1280" w:hanging="534"/>
        <w:spacing w:after="0"/>
        <w:tabs>
          <w:tab w:leader="none" w:pos="128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Includes 25,000,000 public shares and 6,250,000 founder shares.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324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600"/>
        <w:spacing w:after="0" w:line="285" w:lineRule="auto"/>
        <w:rPr>
          <w:sz w:val="20"/>
          <w:szCs w:val="20"/>
          <w:color w:val="auto"/>
        </w:rPr>
      </w:pPr>
      <w:r>
        <w:rPr>
          <w:rFonts w:ascii="Arial" w:cs="Arial" w:eastAsia="Arial" w:hAnsi="Arial"/>
          <w:sz w:val="16"/>
          <w:szCs w:val="16"/>
          <w:color w:val="auto"/>
        </w:rPr>
        <w:t>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volume weighted average trading price of our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180% of the higher of the Market Value and the Newly Issued Price.</w:t>
      </w:r>
    </w:p>
    <w:p>
      <w:pPr>
        <w:spacing w:after="0" w:line="173" w:lineRule="exact"/>
        <w:rPr>
          <w:sz w:val="20"/>
          <w:szCs w:val="20"/>
          <w:color w:val="auto"/>
        </w:rPr>
      </w:pPr>
    </w:p>
    <w:p>
      <w:pPr>
        <w:ind w:left="100"/>
        <w:spacing w:after="0"/>
        <w:tabs>
          <w:tab w:leader="none" w:pos="558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225" w:lineRule="exact"/>
        <w:rPr>
          <w:sz w:val="20"/>
          <w:szCs w:val="20"/>
          <w:color w:val="auto"/>
        </w:rPr>
      </w:pPr>
    </w:p>
    <w:p>
      <w:pPr>
        <w:ind w:left="5880" w:hanging="272"/>
        <w:spacing w:after="0"/>
        <w:tabs>
          <w:tab w:leader="none" w:pos="5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25" w:lineRule="exact"/>
        <w:rPr>
          <w:rFonts w:ascii="Arial" w:cs="Arial" w:eastAsia="Arial" w:hAnsi="Arial"/>
          <w:sz w:val="18"/>
          <w:szCs w:val="18"/>
          <w:color w:val="auto"/>
        </w:rPr>
      </w:pPr>
    </w:p>
    <w:p>
      <w:pPr>
        <w:ind w:left="5880" w:hanging="272"/>
        <w:spacing w:after="0"/>
        <w:tabs>
          <w:tab w:leader="none" w:pos="5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provided in each case that we have an effective registration statement under</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Securities Act covering the issuance of the Class A ordinary shares</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issuable upon exercise of the warrants and a current prospectus relating to</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them is available and such shares are registered, qualified or exempt from</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registration under the securities, or blue sky, laws of the state of residence of</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the holder (or we permit holders to exercise their warrants on a cashless basis</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under the circumstances specified in the warrant agreement).</w:t>
      </w:r>
    </w:p>
    <w:p>
      <w:pPr>
        <w:spacing w:after="0" w:line="211" w:lineRule="exact"/>
        <w:rPr>
          <w:sz w:val="20"/>
          <w:szCs w:val="20"/>
          <w:color w:val="auto"/>
        </w:rPr>
      </w:pPr>
    </w:p>
    <w:p>
      <w:pPr>
        <w:ind w:left="5600"/>
        <w:spacing w:after="0" w:line="270" w:lineRule="auto"/>
        <w:rPr>
          <w:sz w:val="20"/>
          <w:szCs w:val="20"/>
          <w:color w:val="auto"/>
        </w:rPr>
      </w:pPr>
      <w:r>
        <w:rPr>
          <w:rFonts w:ascii="Arial" w:cs="Arial" w:eastAsia="Arial" w:hAnsi="Arial"/>
          <w:sz w:val="17"/>
          <w:szCs w:val="17"/>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 registration statement covering the issuance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to those Class A ordinary</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73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73608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shares until the warrants expire or are redeemed; provided that if our Class A</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ordinary shares are, at the time of any exercise of a warrant, not listed on a</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national securities exchange such that it satisfies the definition of a “covered</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security” under Section 18(b)(1) of the Securities Act, we may, at our option,</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require holders of public warrants who exercise their warrants to do so on a</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“cashless basis” in accordance with Section 3(a)(9) of the Securities Act and,</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in the event we so elect, we will not be required to file or maintain in effect a</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registration statement.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The warrants will expire at 5:00 p.m., New York City time, five years after the</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completion of our initial business combination or earlier upon redemption or</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liquidation. On the exercise of any warrant, the warrant exercise price will be</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paid directly to us and not placed in the trust account.</w:t>
      </w:r>
    </w:p>
    <w:p>
      <w:pPr>
        <w:sectPr>
          <w:pgSz w:w="11900" w:h="16838" w:orient="portrait"/>
          <w:cols w:equalWidth="0" w:num="1">
            <w:col w:w="11320"/>
          </w:cols>
          <w:pgMar w:left="240" w:top="229" w:right="33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Redemption of warrants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181"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whole and not in part;</w:t>
      </w:r>
    </w:p>
    <w:p>
      <w:pPr>
        <w:spacing w:after="0" w:line="222" w:lineRule="exact"/>
        <w:rPr>
          <w:sz w:val="20"/>
          <w:szCs w:val="20"/>
          <w:color w:val="auto"/>
        </w:rPr>
      </w:pPr>
    </w:p>
    <w:p>
      <w:pPr>
        <w:sectPr>
          <w:pgSz w:w="11900" w:h="16838" w:orient="portrait"/>
          <w:cols w:equalWidth="0" w:num="2">
            <w:col w:w="5660" w:space="260"/>
            <w:col w:w="5400"/>
          </w:cols>
          <w:pgMar w:left="240" w:top="229" w:right="339" w:bottom="1440" w:gutter="0" w:footer="0" w:header="0"/>
          <w:type w:val="continuous"/>
        </w:sectPr>
      </w:pPr>
    </w:p>
    <w:p>
      <w:pPr>
        <w:spacing w:after="0" w:line="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 a price of $0.01 per warrant;</w:t>
      </w:r>
    </w:p>
    <w:p>
      <w:pPr>
        <w:spacing w:after="0" w:line="222" w:lineRule="exact"/>
        <w:rPr>
          <w:sz w:val="20"/>
          <w:szCs w:val="20"/>
          <w:color w:val="auto"/>
        </w:rPr>
      </w:pPr>
    </w:p>
    <w:p>
      <w:pPr>
        <w:sectPr>
          <w:pgSz w:w="11900" w:h="16838" w:orient="portrait"/>
          <w:cols w:equalWidth="0" w:num="2">
            <w:col w:w="5660" w:space="260"/>
            <w:col w:w="5400"/>
          </w:cols>
          <w:pgMar w:left="240" w:top="229" w:right="339" w:bottom="1440" w:gutter="0" w:footer="0" w:header="0"/>
          <w:type w:val="continuous"/>
        </w:sectPr>
      </w:pPr>
    </w:p>
    <w:p>
      <w:pPr>
        <w:spacing w:after="0" w:line="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hanging="8"/>
        <w:spacing w:after="0" w:line="277" w:lineRule="auto"/>
        <w:rPr>
          <w:sz w:val="20"/>
          <w:szCs w:val="20"/>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70"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hanging="8"/>
        <w:spacing w:after="0" w:line="273" w:lineRule="auto"/>
        <w:rPr>
          <w:sz w:val="20"/>
          <w:szCs w:val="20"/>
          <w:color w:val="auto"/>
        </w:rPr>
      </w:pPr>
      <w:r>
        <w:rPr>
          <w:rFonts w:ascii="Arial" w:cs="Arial" w:eastAsia="Arial" w:hAnsi="Arial"/>
          <w:sz w:val="17"/>
          <w:szCs w:val="17"/>
          <w:color w:val="auto"/>
        </w:rPr>
        <w:t>if, and only if, the last reported sale price of our Class A ordinary shares equals or exceeds $18.00 per share (as adjusted for share splits, share dividends, rights issuances, subdivisions, reorganizations, recapitalizations and the like) for any 20 trading days within a 30-trading day period ending on the third trading day prior to the date on which we send the notice of redemption to the warrant holders.</w:t>
      </w:r>
    </w:p>
    <w:p>
      <w:pPr>
        <w:spacing w:after="0" w:line="178"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5600"/>
        <w:spacing w:after="0" w:line="289" w:lineRule="auto"/>
        <w:rPr>
          <w:sz w:val="20"/>
          <w:szCs w:val="20"/>
          <w:color w:val="auto"/>
        </w:rPr>
      </w:pPr>
      <w:r>
        <w:rPr>
          <w:rFonts w:ascii="Arial" w:cs="Arial" w:eastAsia="Arial" w:hAnsi="Arial"/>
          <w:sz w:val="16"/>
          <w:szCs w:val="16"/>
          <w:color w:val="auto"/>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6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If we call the warrants for redemption as described above, our management</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will have the option to require all holders that wish to exercise warrants to do</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so on a “cashless basis.” In determining whether to require all holders to</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exercise</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3400" w:type="dxa"/>
            <w:vAlign w:val="bottom"/>
            <w:tcBorders>
              <w:top w:val="single" w:sz="8" w:color="auto"/>
              <w:left w:val="single" w:sz="8" w:color="auto"/>
            </w:tcBorders>
          </w:tcPr>
          <w:p>
            <w:pPr>
              <w:spacing w:after="0"/>
              <w:rPr>
                <w:sz w:val="24"/>
                <w:szCs w:val="24"/>
                <w:color w:val="auto"/>
              </w:rPr>
            </w:pPr>
          </w:p>
        </w:tc>
        <w:tc>
          <w:tcPr>
            <w:tcW w:w="802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color w:val="auto"/>
                <w:w w:val="96"/>
              </w:rPr>
              <w:t>their warrants on a “cashless basis,” our management will consider, among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other factors, our cash position, the number of warrants that are outstanding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3"/>
              </w:rPr>
              <w:t>and the dilutive effect on our shareholders of issuing the maximum number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Class A ordinary shares issuable upon the exercise of our warrants. In such</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event, each holder would pay the exercise price by surrendering the warrants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for that number of Class A ordinary shares equal to the quotient obtained by</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dividing (x) the product of the number of Class A ordinary shares underlying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the warrants, multiplied by the excess of the “fair market value” (defined</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below) over the exercise price of the warrants by (y) the fair market value. The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“fair market value” shall mean the average last reported sale price of the Class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A ordinary shares for the 10 trading days ending on the third trading day prior</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1"/>
              </w:rPr>
              <w:t>to the date on which the notice of redemption is sent to the holders of warrants.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Please see the section entitled “Description of Securities—Warrants—Public</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Shareholders’ Redeemable Warrants” for additional information.</w:t>
            </w:r>
          </w:p>
        </w:tc>
      </w:tr>
      <w:tr>
        <w:trPr>
          <w:trHeight w:val="418"/>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None of the private placement warrants will be redeemable by us so long as</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they are held by our sponsor or its permitted transferees.</w:t>
            </w:r>
          </w:p>
        </w:tc>
      </w:tr>
      <w:tr>
        <w:trPr>
          <w:trHeight w:val="418"/>
        </w:trPr>
        <w:tc>
          <w:tcPr>
            <w:tcW w:w="34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Founder shares</w:t>
            </w: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In June 2019, our sponsor subscribed for an aggregate of 7,187,500 founder</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shares, par value $0.0001 per share, for an aggregate purchase price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3"/>
              </w:rPr>
              <w:t>$25,000, or $0.004 per share (after giving effect to a forfeiture of one share by</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1"/>
              </w:rPr>
              <w:t>our sponsor for no value, a subsequent share capitalization and the forfeiture of</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937,500 shares assuming the over-allotment option is not exercised).</w:t>
            </w:r>
          </w:p>
        </w:tc>
      </w:tr>
      <w:tr>
        <w:trPr>
          <w:trHeight w:val="418"/>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Prior to the initial investment in the company of $25,000 by our sponsor, the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6"/>
              </w:rPr>
              <w:t>company had no assets, tangible or intangible. The purchase price of these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4"/>
              </w:rPr>
              <w:t>founder shares was determined by dividing the amount of cash contributed to</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us by the number of founder shares issued. Our initial shareholders will</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collectively own 20% of our issued and outstanding shares after this offering</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6"/>
              </w:rPr>
              <w:t>(assuming they do not purchase any units in this offering). If we increase or</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decrease the size of this offering, we will effect a capitalization or share</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repurchase or redemption or other appropriate mechanism, as applicable, with</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5"/>
              </w:rPr>
              <w:t>respect to our founder shares immediately prior to the consummation of this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offering in such amount as to maintain the number of founder shares at 20% of</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7"/>
              </w:rPr>
              <w:t>our issued and outstanding ordinary shares upon the consummation of this</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3"/>
              </w:rPr>
              <w:t>offering. Up to 937,500 founder shares are subject to forfeiture by our sponsor</w:t>
            </w:r>
          </w:p>
        </w:tc>
      </w:tr>
      <w:tr>
        <w:trPr>
          <w:trHeight w:val="216"/>
        </w:trPr>
        <w:tc>
          <w:tcPr>
            <w:tcW w:w="34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7"/>
              </w:rPr>
              <w:t>depending on the extent to which the underwriter’s over-allotment option is</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exercised.</w:t>
            </w:r>
          </w:p>
        </w:tc>
      </w:tr>
      <w:tr>
        <w:trPr>
          <w:trHeight w:val="418"/>
        </w:trPr>
        <w:tc>
          <w:tcPr>
            <w:tcW w:w="34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2"/>
              </w:rPr>
              <w:t>The founder shares are identical to the Class A ordinary shares included in the</w:t>
            </w:r>
          </w:p>
        </w:tc>
      </w:tr>
      <w:tr>
        <w:trPr>
          <w:trHeight w:val="230"/>
        </w:trPr>
        <w:tc>
          <w:tcPr>
            <w:tcW w:w="34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units being sold in this offering, except that:</w:t>
            </w:r>
          </w:p>
        </w:tc>
      </w:tr>
      <w:tr>
        <w:trPr>
          <w:trHeight w:val="307"/>
        </w:trPr>
        <w:tc>
          <w:tcPr>
            <w:tcW w:w="3400" w:type="dxa"/>
            <w:vAlign w:val="bottom"/>
            <w:tcBorders>
              <w:left w:val="single" w:sz="8" w:color="auto"/>
              <w:bottom w:val="single" w:sz="8" w:color="auto"/>
            </w:tcBorders>
          </w:tcPr>
          <w:p>
            <w:pPr>
              <w:spacing w:after="0"/>
              <w:rPr>
                <w:sz w:val="24"/>
                <w:szCs w:val="24"/>
                <w:color w:val="auto"/>
              </w:rPr>
            </w:pPr>
          </w:p>
        </w:tc>
        <w:tc>
          <w:tcPr>
            <w:tcW w:w="8020" w:type="dxa"/>
            <w:vAlign w:val="bottom"/>
            <w:tcBorders>
              <w:bottom w:val="single" w:sz="8" w:color="auto"/>
              <w:right w:val="single" w:sz="8" w:color="auto"/>
            </w:tcBorders>
          </w:tcPr>
          <w:p>
            <w:pPr>
              <w:spacing w:after="0"/>
              <w:rPr>
                <w:sz w:val="24"/>
                <w:szCs w:val="24"/>
                <w:color w:val="auto"/>
              </w:rPr>
            </w:pPr>
          </w:p>
        </w:tc>
      </w:tr>
      <w:tr>
        <w:trPr>
          <w:trHeight w:val="571"/>
        </w:trPr>
        <w:tc>
          <w:tcPr>
            <w:tcW w:w="34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2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5775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7759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920" w:right="120" w:hanging="325"/>
        <w:spacing w:after="0" w:line="259" w:lineRule="auto"/>
        <w:tabs>
          <w:tab w:leader="none" w:pos="59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our initial business combination, only holders of the founder shares have the right to vote on the election of directors and holders of a majority of our founder shares may remove a member of the board of directors for any reason;</w:t>
      </w:r>
    </w:p>
    <w:p>
      <w:pPr>
        <w:spacing w:after="0" w:line="186" w:lineRule="exact"/>
        <w:rPr>
          <w:rFonts w:ascii="Arial" w:cs="Arial" w:eastAsia="Arial" w:hAnsi="Arial"/>
          <w:sz w:val="18"/>
          <w:szCs w:val="18"/>
          <w:color w:val="auto"/>
        </w:rPr>
      </w:pPr>
    </w:p>
    <w:p>
      <w:pPr>
        <w:ind w:left="5920" w:right="60" w:hanging="325"/>
        <w:spacing w:after="0" w:line="277" w:lineRule="auto"/>
        <w:tabs>
          <w:tab w:leader="none" w:pos="59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170" w:lineRule="exact"/>
        <w:rPr>
          <w:rFonts w:ascii="Arial" w:cs="Arial" w:eastAsia="Arial" w:hAnsi="Arial"/>
          <w:sz w:val="18"/>
          <w:szCs w:val="18"/>
          <w:color w:val="auto"/>
        </w:rPr>
      </w:pPr>
    </w:p>
    <w:p>
      <w:pPr>
        <w:ind w:left="5920" w:hanging="325"/>
        <w:spacing w:after="0" w:line="283" w:lineRule="auto"/>
        <w:tabs>
          <w:tab w:leader="none" w:pos="5911"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initial shareholders have entered into a letter agreement with us, pursuant to which they have agreed to waive: (1)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(2)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If we submit our initial business combination to our public shareholders for a vote, our initial shareholders have agreed, pursuant to such letter agreement, to vote their founder shares and any public shares they hold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2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324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public shares acquired by them, if any;</w:t>
            </w:r>
          </w:p>
        </w:tc>
      </w:tr>
      <w:tr>
        <w:trPr>
          <w:trHeight w:val="418"/>
        </w:trPr>
        <w:tc>
          <w:tcPr>
            <w:tcW w:w="4560" w:type="dxa"/>
            <w:vAlign w:val="bottom"/>
          </w:tcPr>
          <w:p>
            <w:pPr>
              <w:spacing w:after="0"/>
              <w:rPr>
                <w:sz w:val="24"/>
                <w:szCs w:val="24"/>
                <w:color w:val="auto"/>
              </w:rPr>
            </w:pPr>
          </w:p>
        </w:tc>
        <w:tc>
          <w:tcPr>
            <w:tcW w:w="1120" w:type="dxa"/>
            <w:vAlign w:val="bottom"/>
          </w:tcPr>
          <w:p>
            <w:pPr>
              <w:ind w:left="940"/>
              <w:spacing w:after="0"/>
              <w:rPr>
                <w:sz w:val="20"/>
                <w:szCs w:val="20"/>
                <w:color w:val="auto"/>
              </w:rPr>
            </w:pPr>
            <w:r>
              <w:rPr>
                <w:rFonts w:ascii="Arial" w:cs="Arial" w:eastAsia="Arial" w:hAnsi="Arial"/>
                <w:sz w:val="18"/>
                <w:szCs w:val="18"/>
                <w:color w:val="auto"/>
              </w:rPr>
              <w:t>·</w:t>
            </w:r>
          </w:p>
        </w:tc>
        <w:tc>
          <w:tcPr>
            <w:tcW w:w="5520" w:type="dxa"/>
            <w:vAlign w:val="bottom"/>
          </w:tcPr>
          <w:p>
            <w:pPr>
              <w:ind w:left="140"/>
              <w:spacing w:after="0"/>
              <w:rPr>
                <w:sz w:val="20"/>
                <w:szCs w:val="20"/>
                <w:color w:val="auto"/>
              </w:rPr>
            </w:pPr>
            <w:r>
              <w:rPr>
                <w:rFonts w:ascii="Arial" w:cs="Arial" w:eastAsia="Arial" w:hAnsi="Arial"/>
                <w:sz w:val="18"/>
                <w:szCs w:val="18"/>
                <w:color w:val="auto"/>
                <w:w w:val="96"/>
              </w:rPr>
              <w:t>the founder shares will automatically convert into our Class A ordinary</w:t>
            </w:r>
          </w:p>
        </w:tc>
      </w:tr>
      <w:tr>
        <w:trPr>
          <w:trHeight w:val="216"/>
        </w:trPr>
        <w:tc>
          <w:tcPr>
            <w:tcW w:w="4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7"/>
              </w:rPr>
              <w:t>shares on the first business day following the completion of our initial</w:t>
            </w:r>
          </w:p>
        </w:tc>
      </w:tr>
      <w:tr>
        <w:trPr>
          <w:trHeight w:val="216"/>
        </w:trPr>
        <w:tc>
          <w:tcPr>
            <w:tcW w:w="4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business combination on a one-for-one basis subject to adjustment</w:t>
            </w:r>
          </w:p>
        </w:tc>
      </w:tr>
      <w:tr>
        <w:trPr>
          <w:trHeight w:val="216"/>
        </w:trPr>
        <w:tc>
          <w:tcPr>
            <w:tcW w:w="4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1"/>
              </w:rPr>
              <w:t>pursuant to certain anti-dilution rights, as described below adjacent to the</w:t>
            </w:r>
          </w:p>
        </w:tc>
      </w:tr>
      <w:tr>
        <w:trPr>
          <w:trHeight w:val="230"/>
        </w:trPr>
        <w:tc>
          <w:tcPr>
            <w:tcW w:w="4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caption “Founder shares conversion and anti-dilution rights”; and</w:t>
            </w:r>
          </w:p>
        </w:tc>
      </w:tr>
      <w:tr>
        <w:trPr>
          <w:trHeight w:val="432"/>
        </w:trPr>
        <w:tc>
          <w:tcPr>
            <w:tcW w:w="4560" w:type="dxa"/>
            <w:vAlign w:val="bottom"/>
          </w:tcPr>
          <w:p>
            <w:pPr>
              <w:spacing w:after="0"/>
              <w:rPr>
                <w:sz w:val="24"/>
                <w:szCs w:val="24"/>
                <w:color w:val="auto"/>
              </w:rPr>
            </w:pPr>
          </w:p>
        </w:tc>
        <w:tc>
          <w:tcPr>
            <w:tcW w:w="1120" w:type="dxa"/>
            <w:vAlign w:val="bottom"/>
          </w:tcPr>
          <w:p>
            <w:pPr>
              <w:ind w:left="940"/>
              <w:spacing w:after="0"/>
              <w:rPr>
                <w:sz w:val="20"/>
                <w:szCs w:val="20"/>
                <w:color w:val="auto"/>
              </w:rPr>
            </w:pPr>
            <w:r>
              <w:rPr>
                <w:rFonts w:ascii="Arial" w:cs="Arial" w:eastAsia="Arial" w:hAnsi="Arial"/>
                <w:sz w:val="18"/>
                <w:szCs w:val="18"/>
                <w:color w:val="auto"/>
              </w:rPr>
              <w:t>·</w:t>
            </w:r>
          </w:p>
        </w:tc>
        <w:tc>
          <w:tcPr>
            <w:tcW w:w="5520" w:type="dxa"/>
            <w:vAlign w:val="bottom"/>
          </w:tcPr>
          <w:p>
            <w:pPr>
              <w:ind w:left="140"/>
              <w:spacing w:after="0"/>
              <w:rPr>
                <w:sz w:val="20"/>
                <w:szCs w:val="20"/>
                <w:color w:val="auto"/>
              </w:rPr>
            </w:pPr>
            <w:r>
              <w:rPr>
                <w:rFonts w:ascii="Arial" w:cs="Arial" w:eastAsia="Arial" w:hAnsi="Arial"/>
                <w:sz w:val="18"/>
                <w:szCs w:val="18"/>
                <w:color w:val="auto"/>
              </w:rPr>
              <w:t>the founder shares are entitled to registration rights.</w:t>
            </w:r>
          </w:p>
        </w:tc>
      </w:tr>
      <w:tr>
        <w:trPr>
          <w:trHeight w:val="418"/>
        </w:trPr>
        <w:tc>
          <w:tcPr>
            <w:tcW w:w="4560" w:type="dxa"/>
            <w:vAlign w:val="bottom"/>
          </w:tcPr>
          <w:p>
            <w:pPr>
              <w:spacing w:after="0"/>
              <w:rPr>
                <w:sz w:val="20"/>
                <w:szCs w:val="20"/>
                <w:color w:val="auto"/>
              </w:rPr>
            </w:pPr>
            <w:r>
              <w:rPr>
                <w:rFonts w:ascii="Arial" w:cs="Arial" w:eastAsia="Arial" w:hAnsi="Arial"/>
                <w:sz w:val="18"/>
                <w:szCs w:val="18"/>
                <w:color w:val="auto"/>
              </w:rPr>
              <w:t>Transfer restrictions on founder shares</w:t>
            </w: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2"/>
              </w:rPr>
              <w:t>Our initial shareholders have agreed not to transfer, assign or sell any of their</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3"/>
              </w:rPr>
              <w:t>founder shares until the earlier to occur of: (A) one year after the completion</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5"/>
              </w:rPr>
              <w:t>of our initial business combination; or (B) the date on which we complete a</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4"/>
              </w:rPr>
              <w:t>liquidation, merger, amalgamation, share exchange, reorganization or other</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5"/>
              </w:rPr>
              <w:t>similar transaction after our initial business combination that results in all of</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2"/>
              </w:rPr>
              <w:t>our public shareholders having the right to exchange their ordinary shares for</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1"/>
              </w:rPr>
              <w:t>cash, securities or other property (except as described herein under “Principal</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89"/>
              </w:rPr>
              <w:t>Shareholders—Transfers of Founder Shares and Private Placement Warrants”).</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2"/>
              </w:rPr>
              <w:t>Any permitted transferees would be subject to the same restrictions and other</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1"/>
              </w:rPr>
              <w:t>agreements of our initial shareholders with respect to any founder shares. We</w:t>
            </w:r>
          </w:p>
        </w:tc>
      </w:tr>
      <w:tr>
        <w:trPr>
          <w:trHeight w:val="230"/>
        </w:trPr>
        <w:tc>
          <w:tcPr>
            <w:tcW w:w="4560" w:type="dxa"/>
            <w:vAlign w:val="bottom"/>
          </w:tcPr>
          <w:p>
            <w:pPr>
              <w:spacing w:after="0"/>
              <w:rPr>
                <w:sz w:val="20"/>
                <w:szCs w:val="20"/>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5"/>
              </w:rPr>
              <w:t>refer to such transfer restrictions throughout this prospectus as the lock-up.</w:t>
            </w:r>
          </w:p>
        </w:tc>
      </w:tr>
      <w:tr>
        <w:trPr>
          <w:trHeight w:val="418"/>
        </w:trPr>
        <w:tc>
          <w:tcPr>
            <w:tcW w:w="4560" w:type="dxa"/>
            <w:vAlign w:val="bottom"/>
          </w:tcPr>
          <w:p>
            <w:pPr>
              <w:spacing w:after="0"/>
              <w:rPr>
                <w:sz w:val="24"/>
                <w:szCs w:val="24"/>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5"/>
              </w:rPr>
              <w:t>Notwithstanding the foregoing, if the last reported sale price of our ordinary</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0"/>
              </w:rPr>
              <w:t>shares equals or exceeds $12.00 per share (as adjusted for share splits, share</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0"/>
              </w:rPr>
              <w:t>dividends, rights issuances, subdivisions, reorganizations, recapitalizations and</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1"/>
              </w:rPr>
              <w:t>the like) for any 20 trading days within any 30-trading day period commencing</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1"/>
              </w:rPr>
              <w:t>at least 150 days after our initial business combination, the founder shares will</w:t>
            </w:r>
          </w:p>
        </w:tc>
      </w:tr>
      <w:tr>
        <w:trPr>
          <w:trHeight w:val="230"/>
        </w:trPr>
        <w:tc>
          <w:tcPr>
            <w:tcW w:w="4560" w:type="dxa"/>
            <w:vAlign w:val="bottom"/>
          </w:tcPr>
          <w:p>
            <w:pPr>
              <w:spacing w:after="0"/>
              <w:rPr>
                <w:sz w:val="20"/>
                <w:szCs w:val="20"/>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rPr>
              <w:t>be released from the lock-up.</w:t>
            </w:r>
          </w:p>
        </w:tc>
      </w:tr>
      <w:tr>
        <w:trPr>
          <w:trHeight w:val="418"/>
        </w:trPr>
        <w:tc>
          <w:tcPr>
            <w:tcW w:w="4560" w:type="dxa"/>
            <w:vAlign w:val="bottom"/>
          </w:tcPr>
          <w:p>
            <w:pPr>
              <w:spacing w:after="0"/>
              <w:rPr>
                <w:sz w:val="20"/>
                <w:szCs w:val="20"/>
                <w:color w:val="auto"/>
              </w:rPr>
            </w:pPr>
            <w:r>
              <w:rPr>
                <w:rFonts w:ascii="Arial" w:cs="Arial" w:eastAsia="Arial" w:hAnsi="Arial"/>
                <w:sz w:val="18"/>
                <w:szCs w:val="18"/>
                <w:color w:val="auto"/>
              </w:rPr>
              <w:t>Founder shares conversion and anti-dilution rights</w:t>
            </w: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rPr>
              <w:t>The founder shares are designated as Class B ordinary shares and will</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4"/>
              </w:rPr>
              <w:t>automatically convert into Class A ordinary shares on the first business day</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3"/>
              </w:rPr>
              <w:t>following the completion of our initial business combination on a one-for-one</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6"/>
              </w:rPr>
              <w:t>basis, subject to adjustment as provided herein. In the case that additional</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2"/>
              </w:rPr>
              <w:t>Class A ordinary shares, or equity-linked securities convertible or exercisable</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6"/>
              </w:rPr>
              <w:t>for Class A ordinary shares, are issued or deemed issued in excess of the</w:t>
            </w:r>
          </w:p>
        </w:tc>
      </w:tr>
      <w:tr>
        <w:trPr>
          <w:trHeight w:val="216"/>
        </w:trPr>
        <w:tc>
          <w:tcPr>
            <w:tcW w:w="4560" w:type="dxa"/>
            <w:vAlign w:val="bottom"/>
          </w:tcPr>
          <w:p>
            <w:pPr>
              <w:spacing w:after="0"/>
              <w:rPr>
                <w:sz w:val="18"/>
                <w:szCs w:val="18"/>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w w:val="91"/>
              </w:rPr>
              <w:t>amounts issued in this offering and related to the closing of our initial business</w:t>
            </w:r>
          </w:p>
        </w:tc>
      </w:tr>
      <w:tr>
        <w:trPr>
          <w:trHeight w:val="230"/>
        </w:trPr>
        <w:tc>
          <w:tcPr>
            <w:tcW w:w="4560" w:type="dxa"/>
            <w:vAlign w:val="bottom"/>
          </w:tcPr>
          <w:p>
            <w:pPr>
              <w:spacing w:after="0"/>
              <w:rPr>
                <w:sz w:val="20"/>
                <w:szCs w:val="20"/>
                <w:color w:val="auto"/>
              </w:rPr>
            </w:pPr>
          </w:p>
        </w:tc>
        <w:tc>
          <w:tcPr>
            <w:tcW w:w="6640" w:type="dxa"/>
            <w:vAlign w:val="bottom"/>
            <w:gridSpan w:val="2"/>
          </w:tcPr>
          <w:p>
            <w:pPr>
              <w:ind w:left="940"/>
              <w:spacing w:after="0"/>
              <w:rPr>
                <w:sz w:val="20"/>
                <w:szCs w:val="20"/>
                <w:color w:val="auto"/>
              </w:rPr>
            </w:pPr>
            <w:r>
              <w:rPr>
                <w:rFonts w:ascii="Arial" w:cs="Arial" w:eastAsia="Arial" w:hAnsi="Arial"/>
                <w:sz w:val="18"/>
                <w:szCs w:val="18"/>
                <w:color w:val="auto"/>
              </w:rPr>
              <w:t>combination, the ratio at which founder shares will convert into Class A</w:t>
            </w:r>
          </w:p>
        </w:tc>
      </w:tr>
    </w:tbl>
    <w:p>
      <w:pPr>
        <w:ind w:left="5600"/>
        <w:spacing w:after="0"/>
        <w:rPr>
          <w:sz w:val="20"/>
          <w:szCs w:val="20"/>
          <w:color w:val="auto"/>
        </w:rPr>
      </w:pPr>
      <w:r>
        <w:rPr>
          <w:rFonts w:ascii="Arial" w:cs="Arial" w:eastAsia="Arial" w:hAnsi="Arial"/>
          <w:sz w:val="16"/>
          <w:szCs w:val="16"/>
          <w:color w:val="auto"/>
        </w:rPr>
        <w:t>ordinary shares will be adjusted (subject to waiver by holders of a majority of</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the Class B ordinary shares then in issue) so that the number of Class A</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ordinary shares issuable upon conversion of all Class B ordinary shares will</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equal, in the aggregate, on an as-converted basis, 20% of the sum of our</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ordinary shares issued and outstanding upon the completion of this offering</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plus the number of Class A ordinary shares and equity-</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410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color w:val="auto"/>
              </w:rPr>
              <w:t>linked securities issued or deemed issued in connection with our initial</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business combination (net of redemptions), excluding any Class A ordinary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5"/>
              </w:rPr>
              <w:t>shares or equity-linked securities issued, or to be issued, to any seller in our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initial business combination and any private placement warrants issued to our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9"/>
              </w:rPr>
              <w:t>sponsor, an affiliate of our sponsor or any of our officers or directors. Any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conversion of Class B ordinary shares described herein will take effect as a</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redemption of Class B ordinary shares and an issuance of Class A ordinary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shares as a matter of Cayman Islands law. The term “equity-linked securities”</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refers to any debt or equity securities that are convertible, exercisable or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2"/>
              </w:rPr>
              <w:t>exchangeable for our Class A ordinary shares issued in a financing transaction</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in connection with our initial business combination, including but not limited</w:t>
            </w:r>
          </w:p>
        </w:tc>
      </w:tr>
      <w:tr>
        <w:trPr>
          <w:trHeight w:val="230"/>
        </w:trPr>
        <w:tc>
          <w:tcPr>
            <w:tcW w:w="410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to a private placement of equity or debt.</w:t>
            </w:r>
          </w:p>
        </w:tc>
      </w:tr>
      <w:tr>
        <w:trPr>
          <w:trHeight w:val="418"/>
        </w:trPr>
        <w:tc>
          <w:tcPr>
            <w:tcW w:w="41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Election of directors; voting rights</w:t>
            </w: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Prior to our initial business combination, only holders of our founder shares</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8"/>
              </w:rPr>
              <w:t>will have the right to vote on the election of directors. Holders of our public</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shares will not be entitled to vote on the election of directors during such time.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In addition, prior to our initial business combination, holders of a majority of</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our founder shares may remove a member of the board of directors for any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8"/>
              </w:rPr>
              <w:t>reason. These provisions of our amended and restated memorandum and</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2"/>
              </w:rPr>
              <w:t>articles of association may only be amended by a special resolution passed by</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1"/>
              </w:rPr>
              <w:t>at least 90% of our ordinary shares voting in a general meeting. With respect to</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any other matter submitted to a vote of our shareholders, including any vote in</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connection with our initial business combination, except as required by law,</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holders of our founder shares and holders of our public shares will vote</w:t>
            </w:r>
          </w:p>
        </w:tc>
      </w:tr>
      <w:tr>
        <w:trPr>
          <w:trHeight w:val="230"/>
        </w:trPr>
        <w:tc>
          <w:tcPr>
            <w:tcW w:w="410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together as a single class, with each share entitling the holder to one vote.</w:t>
            </w:r>
          </w:p>
        </w:tc>
      </w:tr>
      <w:tr>
        <w:trPr>
          <w:trHeight w:val="418"/>
        </w:trPr>
        <w:tc>
          <w:tcPr>
            <w:tcW w:w="41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Private placement warrants</w:t>
            </w: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Our sponsor has committed, pursuant to a written agreement, to purchase an</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aggregate of 7,000,000 private placement warrants (or 7,750,000 if the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underwriter’s over-allotment option is exercised in full) at a price of $1.00 per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warrant ($7,000,000 in the aggregate or $7,750,000 in the aggregate if the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underwriter’s over-allotment option is exercised in full) in a private placement</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8"/>
              </w:rPr>
              <w:t>that will occur simultaneously with the closing of this offering. Each private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placement warrant is exercisable to purchase one Class A ordinary share at a</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price of $11.50 per share, subject to adjustment as provided herein. Private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placement warrants may be exercised only for a whole number of shares. The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1"/>
              </w:rPr>
              <w:t>purchase price of the private placement warrants will be added to the proceeds</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8"/>
              </w:rPr>
              <w:t>from this offering to be held in the trust account. If we do not complete our</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initial business combination within 24 months from the closing of this</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offering, the proceeds of the sale of the private placement warrants held in the</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trust account will be used to fund the redemption of our public shares (subject</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to the requirements of applicable law) and the private placement warrants will</w:t>
            </w:r>
          </w:p>
        </w:tc>
      </w:tr>
      <w:tr>
        <w:trPr>
          <w:trHeight w:val="216"/>
        </w:trPr>
        <w:tc>
          <w:tcPr>
            <w:tcW w:w="410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2"/>
              </w:rPr>
              <w:t>expire worthless. The private placement warrants will not be redeemable by us</w:t>
            </w:r>
          </w:p>
        </w:tc>
      </w:tr>
      <w:tr>
        <w:trPr>
          <w:trHeight w:val="230"/>
        </w:trPr>
        <w:tc>
          <w:tcPr>
            <w:tcW w:w="4100" w:type="dxa"/>
            <w:vAlign w:val="bottom"/>
            <w:tcBorders>
              <w:left w:val="single" w:sz="8" w:color="auto"/>
            </w:tcBorders>
          </w:tcPr>
          <w:p>
            <w:pPr>
              <w:spacing w:after="0"/>
              <w:rPr>
                <w:sz w:val="20"/>
                <w:szCs w:val="20"/>
                <w:color w:val="auto"/>
              </w:rPr>
            </w:pPr>
          </w:p>
        </w:tc>
        <w:tc>
          <w:tcPr>
            <w:tcW w:w="732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so long as they are held by our sponsor or</w:t>
            </w:r>
          </w:p>
        </w:tc>
      </w:tr>
      <w:tr>
        <w:trPr>
          <w:trHeight w:val="307"/>
        </w:trPr>
        <w:tc>
          <w:tcPr>
            <w:tcW w:w="4100" w:type="dxa"/>
            <w:vAlign w:val="bottom"/>
            <w:tcBorders>
              <w:left w:val="single" w:sz="8" w:color="auto"/>
              <w:bottom w:val="single" w:sz="8" w:color="auto"/>
            </w:tcBorders>
          </w:tcPr>
          <w:p>
            <w:pPr>
              <w:spacing w:after="0"/>
              <w:rPr>
                <w:sz w:val="24"/>
                <w:szCs w:val="24"/>
                <w:color w:val="auto"/>
              </w:rPr>
            </w:pPr>
          </w:p>
        </w:tc>
        <w:tc>
          <w:tcPr>
            <w:tcW w:w="7320" w:type="dxa"/>
            <w:vAlign w:val="bottom"/>
            <w:tcBorders>
              <w:bottom w:val="single" w:sz="8" w:color="auto"/>
              <w:right w:val="single" w:sz="8" w:color="auto"/>
            </w:tcBorders>
          </w:tcPr>
          <w:p>
            <w:pPr>
              <w:spacing w:after="0"/>
              <w:rPr>
                <w:sz w:val="24"/>
                <w:szCs w:val="24"/>
                <w:color w:val="auto"/>
              </w:rPr>
            </w:pPr>
          </w:p>
        </w:tc>
      </w:tr>
      <w:tr>
        <w:trPr>
          <w:trHeight w:val="328"/>
        </w:trPr>
        <w:tc>
          <w:tcPr>
            <w:tcW w:w="410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22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4680" w:type="dxa"/>
            <w:vAlign w:val="bottom"/>
            <w:tcBorders>
              <w:top w:val="single" w:sz="8" w:color="auto"/>
              <w:left w:val="single" w:sz="8" w:color="auto"/>
            </w:tcBorders>
          </w:tcPr>
          <w:p>
            <w:pPr>
              <w:spacing w:after="0"/>
              <w:rPr>
                <w:sz w:val="24"/>
                <w:szCs w:val="24"/>
                <w:color w:val="auto"/>
              </w:rPr>
            </w:pPr>
          </w:p>
        </w:tc>
        <w:tc>
          <w:tcPr>
            <w:tcW w:w="6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92"/>
              </w:rPr>
              <w:t>its permitted transferees. If the private placement warrants are held by holders</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other than our sponsor or its permitted transferees, the private placement</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warrants will be redeemable by us and exercisable by the holders on the same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basis as the warrants included in the units being sold in this offering. Our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sponsor, as well as its permitted transferees, have the option to exercise the</w:t>
            </w:r>
          </w:p>
        </w:tc>
      </w:tr>
      <w:tr>
        <w:trPr>
          <w:trHeight w:val="230"/>
        </w:trPr>
        <w:tc>
          <w:tcPr>
            <w:tcW w:w="468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private placement warrants on a cashless basis.</w:t>
            </w:r>
          </w:p>
        </w:tc>
      </w:tr>
      <w:tr>
        <w:trPr>
          <w:trHeight w:val="418"/>
        </w:trPr>
        <w:tc>
          <w:tcPr>
            <w:tcW w:w="46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Transfer restrictions on private placement warrants</w:t>
            </w: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1"/>
              </w:rPr>
              <w:t>The private placement warrants (including the Class A ordinary shares issuable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upon exercise of the private placement warrants) will not be transferable,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assignable or salable until 30 days after the completion of our initial business</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combination, except as described herein under “Principal Shareholders—</w:t>
            </w:r>
          </w:p>
        </w:tc>
      </w:tr>
      <w:tr>
        <w:trPr>
          <w:trHeight w:val="230"/>
        </w:trPr>
        <w:tc>
          <w:tcPr>
            <w:tcW w:w="468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Transfers of Founder Shares and Private Placement Warrants.”</w:t>
            </w:r>
          </w:p>
        </w:tc>
      </w:tr>
      <w:tr>
        <w:trPr>
          <w:trHeight w:val="418"/>
        </w:trPr>
        <w:tc>
          <w:tcPr>
            <w:tcW w:w="46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Proceeds to be held in trust account</w:t>
            </w: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Nasdaq rules provide that at least 90% of the gross proceeds from this offering</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the sale of the private placement warrants be deposited in a trust</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account. Of the $257,000,000 in proceeds we will receive from this offering</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and the sale of the private placement warrants described in this prospectus, or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$295,250,000 if the underwriter’s over-allotment option is exercised in full,</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$250,000,000 ($10.00 per unit), or $287,500,000 ($10.00 per unit) if the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underwriter’s over-allotment option is exercised in full, (including $8,750,000</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(or up to $10,062,500 if the underwriter’s over-allotment option is exercised in</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full) in deferred underwriting commissions), will be deposited into a U.S.-</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based trust account with Continental Stock Transfer &amp; Trust Company acting</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as trustee, and $2,000,000 will be used to pay expenses in connection with the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closing of this offering and for working capital following this offering. The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funds in the trust account will be invested only in U.S. government treasury</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bills with a maturity of 180 days or less or in money market funds investing</w:t>
            </w:r>
          </w:p>
        </w:tc>
      </w:tr>
      <w:tr>
        <w:trPr>
          <w:trHeight w:val="230"/>
        </w:trPr>
        <w:tc>
          <w:tcPr>
            <w:tcW w:w="468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solely in U.S. Treasuries.</w:t>
            </w:r>
          </w:p>
        </w:tc>
      </w:tr>
      <w:tr>
        <w:trPr>
          <w:trHeight w:val="418"/>
        </w:trPr>
        <w:tc>
          <w:tcPr>
            <w:tcW w:w="4680" w:type="dxa"/>
            <w:vAlign w:val="bottom"/>
            <w:tcBorders>
              <w:left w:val="single" w:sz="8" w:color="auto"/>
            </w:tcBorders>
          </w:tcPr>
          <w:p>
            <w:pPr>
              <w:spacing w:after="0"/>
              <w:rPr>
                <w:sz w:val="24"/>
                <w:szCs w:val="24"/>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Except with respect to interest earned on the funds held in the trust account</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that may be released to us to pay our taxes, if any, the funds held in the trust</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account will not be released from the trust account until the earliest to occur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of: (1) the completion of our initial business combination; (2) the redemption</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of any public shares properly submitted in connection with a shareholder vote</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to amend our amended and restated memorandum and articles of association</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(A) to modify the substance or timing of our obligation to redeem 100% of our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public shares if we do not complete our initial business combination within 24</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months from the closing of this offering or (B) with respect to any other</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provision relating to shareholders’ rights or pre-initial business combination</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activity; and (3) the redemption of our public shares if we are unable to</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complete our initial business combination within 24 months from the closing</w:t>
            </w:r>
          </w:p>
        </w:tc>
      </w:tr>
      <w:tr>
        <w:trPr>
          <w:trHeight w:val="216"/>
        </w:trPr>
        <w:tc>
          <w:tcPr>
            <w:tcW w:w="468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of this offering, subject to applicable law. The proceeds deposited in the trust</w:t>
            </w:r>
          </w:p>
        </w:tc>
      </w:tr>
      <w:tr>
        <w:trPr>
          <w:trHeight w:val="230"/>
        </w:trPr>
        <w:tc>
          <w:tcPr>
            <w:tcW w:w="468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account could become subject to the claims of</w:t>
            </w:r>
          </w:p>
        </w:tc>
      </w:tr>
      <w:tr>
        <w:trPr>
          <w:trHeight w:val="307"/>
        </w:trPr>
        <w:tc>
          <w:tcPr>
            <w:tcW w:w="4680" w:type="dxa"/>
            <w:vAlign w:val="bottom"/>
            <w:tcBorders>
              <w:left w:val="single" w:sz="8" w:color="auto"/>
              <w:bottom w:val="single" w:sz="8" w:color="auto"/>
            </w:tcBorders>
          </w:tcPr>
          <w:p>
            <w:pPr>
              <w:spacing w:after="0"/>
              <w:rPr>
                <w:sz w:val="24"/>
                <w:szCs w:val="24"/>
                <w:color w:val="auto"/>
              </w:rPr>
            </w:pPr>
          </w:p>
        </w:tc>
        <w:tc>
          <w:tcPr>
            <w:tcW w:w="6740" w:type="dxa"/>
            <w:vAlign w:val="bottom"/>
            <w:tcBorders>
              <w:bottom w:val="single" w:sz="8" w:color="auto"/>
              <w:right w:val="single" w:sz="8" w:color="auto"/>
            </w:tcBorders>
          </w:tcPr>
          <w:p>
            <w:pPr>
              <w:spacing w:after="0"/>
              <w:rPr>
                <w:sz w:val="24"/>
                <w:szCs w:val="24"/>
                <w:color w:val="auto"/>
              </w:rPr>
            </w:pPr>
          </w:p>
        </w:tc>
      </w:tr>
      <w:tr>
        <w:trPr>
          <w:trHeight w:val="328"/>
        </w:trPr>
        <w:tc>
          <w:tcPr>
            <w:tcW w:w="46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22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324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our creditors, if any, which could have priority over the claims of our public</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shareholders.</w:t>
      </w:r>
    </w:p>
    <w:p>
      <w:pPr>
        <w:sectPr>
          <w:pgSz w:w="11900" w:h="16838" w:orient="portrait"/>
          <w:cols w:equalWidth="0" w:num="1">
            <w:col w:w="11320"/>
          </w:cols>
          <w:pgMar w:left="240" w:top="229" w:right="33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Anticipated expenses and funding sources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Unless and until we complete our initial business combination, no proceeds held in the trust account will be available for our use, except the withdrawal of interest to pay taxes or to redeem our public shares in connection with an amendment to our amended and restated memorandum and articles of association, as described above. Based upon current interest rates, we expect the trust account to generate approximately $3,500,000 of interest annually (assuming an interest rate of 1.40% per year). Unless and until we complete our initial business combination, we may pay our expenses only from:</w:t>
      </w:r>
    </w:p>
    <w:p>
      <w:pPr>
        <w:spacing w:after="0" w:line="166"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20" w:hanging="8"/>
        <w:spacing w:after="0" w:line="302" w:lineRule="auto"/>
        <w:rPr>
          <w:sz w:val="20"/>
          <w:szCs w:val="20"/>
          <w:color w:val="auto"/>
        </w:rPr>
      </w:pPr>
      <w:r>
        <w:rPr>
          <w:rFonts w:ascii="Arial" w:cs="Arial" w:eastAsia="Arial" w:hAnsi="Arial"/>
          <w:sz w:val="16"/>
          <w:szCs w:val="16"/>
          <w:color w:val="auto"/>
        </w:rPr>
        <w:t>the net proceeds of this offering and the sale of the private placement warrants not held in the trust account, which will be approximately $1,000,000 in working capital after the payment of approximately $1,000,000 in expenses relating to this offering; and</w:t>
      </w:r>
    </w:p>
    <w:p>
      <w:pPr>
        <w:spacing w:after="0" w:line="154"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00" w:hanging="8"/>
        <w:spacing w:after="0" w:line="273" w:lineRule="auto"/>
        <w:rPr>
          <w:sz w:val="20"/>
          <w:szCs w:val="20"/>
          <w:color w:val="auto"/>
        </w:rPr>
      </w:pPr>
      <w:r>
        <w:rPr>
          <w:rFonts w:ascii="Arial" w:cs="Arial" w:eastAsia="Arial" w:hAnsi="Arial"/>
          <w:sz w:val="17"/>
          <w:szCs w:val="17"/>
          <w:color w:val="auto"/>
        </w:rPr>
        <w:t>any loans or additional investments from our sponsor, members of our management team or any of their affiliates or other third parties, although they are under no obligation to loan funds or invest in us; and provided that any such loans will not have any claim on the proceeds held in the trust account unless such proceeds are released to us upon completion of our initial business combination.</w:t>
      </w:r>
    </w:p>
    <w:p>
      <w:pPr>
        <w:spacing w:after="0" w:line="178"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Conditions to completing our initial business combination</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Arial" w:cs="Arial" w:eastAsia="Arial" w:hAnsi="Arial"/>
          <w:sz w:val="16"/>
          <w:szCs w:val="16"/>
          <w:color w:val="auto"/>
        </w:rPr>
        <w:t>There is no limitation on our ability to raise funds privately or through loans in connection with our initial business combination. The rules of Nasdaq require that our initial business combination occur with one or more target businesses that together have an aggregate fair market value of at least 80% of the assets</w:t>
      </w:r>
    </w:p>
    <w:p>
      <w:pPr>
        <w:spacing w:after="0" w:line="2"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ind w:left="5600"/>
        <w:spacing w:after="0" w:line="267" w:lineRule="auto"/>
        <w:rPr>
          <w:sz w:val="20"/>
          <w:szCs w:val="20"/>
          <w:color w:val="auto"/>
        </w:rPr>
      </w:pPr>
      <w:r>
        <w:rPr>
          <w:rFonts w:ascii="Arial" w:cs="Arial" w:eastAsia="Arial" w:hAnsi="Arial"/>
          <w:sz w:val="17"/>
          <w:szCs w:val="17"/>
          <w:color w:val="auto"/>
        </w:rPr>
        <w:t>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6187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618744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right="460"/>
        <w:spacing w:after="0" w:line="277"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will complete our initial business combination only if the post-transaction company in which our public shareholders own shares will own or acquire 50% or more of the issued and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provided that in the event that our initial business combination involves more than one target business, the 80% fair market value test will be based on the aggregate value of all of the target businesses.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w:t>
      </w:r>
    </w:p>
    <w:p>
      <w:pPr>
        <w:spacing w:after="0" w:line="200"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6187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18744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right="280"/>
        <w:spacing w:after="0" w:line="277" w:lineRule="auto"/>
        <w:rPr>
          <w:sz w:val="20"/>
          <w:szCs w:val="20"/>
          <w:color w:val="auto"/>
        </w:rPr>
      </w:pPr>
      <w:r>
        <w:rPr>
          <w:rFonts w:ascii="Arial" w:cs="Arial" w:eastAsia="Arial" w:hAnsi="Arial"/>
          <w:sz w:val="18"/>
          <w:szCs w:val="18"/>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Our sponsor, directors, officers, advisors or any of their affiliates will be restricted from making any purchases if such purchases would violate Section 9(a)(2) or Rule 10b-5 of the Exchange Act.</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amount in the trust account is initially anticipated to be $10.00 per public share. The per-share amount we will distribute to investors who properly redeem their shares will not be reduced by the deferred underwriting commissions we will pay to the underwriter. There will be no redemption rights upon the completion of our initial business combination with respect to our warrants. Our initial</w:t>
      </w:r>
    </w:p>
    <w:p>
      <w:pPr>
        <w:spacing w:after="0" w:line="200"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324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600" w:right="60"/>
        <w:spacing w:after="0" w:line="273" w:lineRule="auto"/>
        <w:rPr>
          <w:sz w:val="20"/>
          <w:szCs w:val="20"/>
          <w:color w:val="auto"/>
        </w:rPr>
      </w:pPr>
      <w:r>
        <w:rPr>
          <w:rFonts w:ascii="Arial" w:cs="Arial" w:eastAsia="Arial" w:hAnsi="Arial"/>
          <w:sz w:val="17"/>
          <w:szCs w:val="17"/>
          <w:color w:val="auto"/>
        </w:rPr>
        <w:t>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w:t>
      </w:r>
    </w:p>
    <w:p>
      <w:pPr>
        <w:sectPr>
          <w:pgSz w:w="11900" w:h="16838" w:orient="portrait"/>
          <w:cols w:equalWidth="0" w:num="1">
            <w:col w:w="11320"/>
          </w:cols>
          <w:pgMar w:left="240" w:top="229" w:right="339" w:bottom="1440" w:gutter="0" w:footer="0" w:header="0"/>
        </w:sectPr>
      </w:pPr>
    </w:p>
    <w:p>
      <w:pPr>
        <w:spacing w:after="0" w:line="17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Manner of conducting redemptions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190"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ind w:left="5600"/>
        <w:spacing w:after="0" w:line="264"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ectPr>
          <w:pgSz w:w="11900" w:h="16838" w:orient="portrait"/>
          <w:cols w:equalWidth="0" w:num="1">
            <w:col w:w="11320"/>
          </w:cols>
          <w:pgMar w:left="240" w:top="229" w:right="339" w:bottom="1440" w:gutter="0" w:footer="0" w:header="0"/>
          <w:type w:val="continuous"/>
        </w:sectPr>
      </w:pPr>
    </w:p>
    <w:p>
      <w:pPr>
        <w:spacing w:after="0" w:line="18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hanging="8"/>
        <w:spacing w:after="0" w:line="277" w:lineRule="auto"/>
        <w:rPr>
          <w:sz w:val="20"/>
          <w:szCs w:val="20"/>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0"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60" w:hanging="8"/>
        <w:spacing w:after="0" w:line="291" w:lineRule="auto"/>
        <w:rPr>
          <w:sz w:val="20"/>
          <w:szCs w:val="20"/>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w:t>
      </w:r>
    </w:p>
    <w:p>
      <w:pPr>
        <w:spacing w:after="0" w:line="1"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5940"/>
        <w:spacing w:after="0"/>
        <w:rPr>
          <w:sz w:val="20"/>
          <w:szCs w:val="20"/>
          <w:color w:val="auto"/>
        </w:rPr>
      </w:pPr>
      <w:r>
        <w:rPr>
          <w:rFonts w:ascii="Arial" w:cs="Arial" w:eastAsia="Arial" w:hAnsi="Arial"/>
          <w:sz w:val="18"/>
          <w:szCs w:val="18"/>
          <w:color w:val="auto"/>
        </w:rPr>
        <w:t>other information about the initial business combination and the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redemption rights as is required under Regulation 14A of the Exchange</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Act, which regulates the solicitation of proxies.</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Upon the public announcement of our initial business combination, if we elect</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to conduct redemptions pursuant to the tender offer rules, we and our sponsor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will terminate any</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6598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659892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plan established in accordance with Rule 10b5-1 to purchase our Class A</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ordinary shares in the open market, in order to comply with Rule 14e-5 under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Exchange Act.</w:t>
      </w:r>
    </w:p>
    <w:p>
      <w:pPr>
        <w:spacing w:after="0" w:line="211" w:lineRule="exact"/>
        <w:rPr>
          <w:sz w:val="20"/>
          <w:szCs w:val="20"/>
          <w:color w:val="auto"/>
        </w:rPr>
      </w:pPr>
    </w:p>
    <w:p>
      <w:pPr>
        <w:ind w:left="5600"/>
        <w:spacing w:after="0" w:line="286"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38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If, however, shareholder approval of the transaction is required by applicable</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law or stock exchange listing requirement, or we decide to obtain shareholder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approval for business or other reasons, we will:</w:t>
      </w:r>
    </w:p>
    <w:p>
      <w:pPr>
        <w:spacing w:after="0" w:line="211" w:lineRule="exact"/>
        <w:rPr>
          <w:sz w:val="20"/>
          <w:szCs w:val="20"/>
          <w:color w:val="auto"/>
        </w:rPr>
      </w:pPr>
    </w:p>
    <w:p>
      <w:pPr>
        <w:ind w:left="5940" w:hanging="332"/>
        <w:spacing w:after="0" w:line="286" w:lineRule="auto"/>
        <w:tabs>
          <w:tab w:leader="none" w:pos="5931"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165" w:lineRule="exact"/>
        <w:rPr>
          <w:rFonts w:ascii="Arial" w:cs="Arial" w:eastAsia="Arial" w:hAnsi="Arial"/>
          <w:sz w:val="17"/>
          <w:szCs w:val="17"/>
          <w:color w:val="auto"/>
        </w:rPr>
      </w:pPr>
    </w:p>
    <w:p>
      <w:pPr>
        <w:ind w:left="5920" w:hanging="312"/>
        <w:spacing w:after="0"/>
        <w:tabs>
          <w:tab w:leader="none" w:pos="5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left="5600" w:right="20"/>
        <w:spacing w:after="0" w:line="253" w:lineRule="auto"/>
        <w:rPr>
          <w:sz w:val="20"/>
          <w:szCs w:val="20"/>
          <w:color w:val="auto"/>
        </w:rPr>
      </w:pPr>
      <w:r>
        <w:rPr>
          <w:rFonts w:ascii="Arial" w:cs="Arial" w:eastAsia="Arial" w:hAnsi="Arial"/>
          <w:sz w:val="18"/>
          <w:szCs w:val="18"/>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If we seek shareholder approval, we will complete our initial business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combination only if we receive an ordinary resolution under Cayman Islands</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law, which requires the affirmative vote of a majority of the shareholders who</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attend and vote at a general meeting of the company. In such case, pursuant to</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terms of a letter agreement entered into with</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6324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us, our initial shareholders have agreed (and their permitted transferees will agree) to vote their founder shares and any public shares held by them in favor of our initial business combination. We expect that at the time of any shareholder vote relating to our initial business combination, our initial shareholders and their permitted transferees will own at least 20% of our issued and outstanding ordinary shares entitled to vote thereon. Our directors and officers also have agreed to vote in favor of our initial business combination with respect to public shares acquired by them, if any. These voting thresholds, and the voting agreements of our initial shareholders, may make it more likely that we will consummate our initial business combination. Each public shareholder may elect to redeem their public shares without voting, and if they do vote, irrespective of whether they vote for or against the proposed business combination.</w:t>
      </w:r>
    </w:p>
    <w:p>
      <w:pPr>
        <w:spacing w:after="0" w:line="1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spacing w:after="0" w:line="3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w:t>
      </w:r>
    </w:p>
    <w:p>
      <w:pPr>
        <w:spacing w:after="0" w:line="200"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6324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0" w:right="320"/>
        <w:spacing w:after="0" w:line="264" w:lineRule="auto"/>
        <w:rPr>
          <w:sz w:val="20"/>
          <w:szCs w:val="20"/>
          <w:color w:val="auto"/>
        </w:rPr>
      </w:pPr>
      <w:r>
        <w:rPr>
          <w:rFonts w:ascii="Arial" w:cs="Arial" w:eastAsia="Arial" w:hAnsi="Arial"/>
          <w:sz w:val="18"/>
          <w:szCs w:val="18"/>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right="340"/>
        <w:spacing w:after="0" w:line="264" w:lineRule="auto"/>
        <w:rPr>
          <w:sz w:val="20"/>
          <w:szCs w:val="20"/>
          <w:color w:val="auto"/>
        </w:rPr>
      </w:pPr>
      <w:r>
        <w:rPr>
          <w:rFonts w:ascii="Arial" w:cs="Arial" w:eastAsia="Arial" w:hAnsi="Arial"/>
          <w:sz w:val="18"/>
          <w:szCs w:val="18"/>
          <w:color w:val="auto"/>
        </w:rPr>
        <w:t>Redemption Rights in connection with proposed amendments to our amended and restated memorandum and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tender offer or proxy materials, as applicable, that we will furnish to holders of our public shares in connection with our initial business combination will indicate whether we are requiring public shareholders to satisfy such delivery requirements.</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Some other blank check companies have a provision in their constitutional documents which prohibits the amendment of certain constitutional provisions. Our amended and restated memorandum and articles of association will provide that any of its provisions (other than amendments relating to the appointment or removal of directors prior to our initial business combination, which require the approval of at least 90% of our ordinary shares voting in a general meeting), including those related to pre-business combination activity (including the requirement to deposit proceeds of this</w:t>
      </w:r>
    </w:p>
    <w:p>
      <w:pPr>
        <w:spacing w:after="0" w:line="200" w:lineRule="exact"/>
        <w:rPr>
          <w:sz w:val="20"/>
          <w:szCs w:val="20"/>
          <w:color w:val="auto"/>
        </w:rPr>
      </w:pPr>
    </w:p>
    <w:p>
      <w:pPr>
        <w:sectPr>
          <w:pgSz w:w="11900" w:h="16838" w:orient="portrait"/>
          <w:cols w:equalWidth="0" w:num="2">
            <w:col w:w="4880" w:space="720"/>
            <w:col w:w="5700"/>
          </w:cols>
          <w:pgMar w:left="240" w:top="229" w:right="35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6187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618744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right="700"/>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offering and the private placement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Our initial shareholders, who will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w:t>
      </w:r>
    </w:p>
    <w:p>
      <w:pPr>
        <w:spacing w:after="0" w:line="3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shareholders who properly exercise their redemption rights as described above under “Redemption rights for public shareholders upon completion of our initial business combination,” to pay the underwriter its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w:t>
      </w:r>
    </w:p>
    <w:p>
      <w:pPr>
        <w:spacing w:after="0" w:line="200"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646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646176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sponsor, officers and directors have agreed that we will have only 24 months from the closing of this offering to complete our initial business combination. If we are unable to complete our initial business combination within such 24-month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within 24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24-month time frame. The underwriter has agreed to waive its rights to its deferred underwriting commission held in the trust account in the event we do not complete our initial business combination within the allotted time frame and, in such event, such amounts will be included with the funds held in the trust account that will be available to fund the redemption of our public shares.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memorandum and articles of association (A) to modify the substance or timing</w:t>
      </w:r>
    </w:p>
    <w:p>
      <w:pPr>
        <w:spacing w:after="0" w:line="200" w:lineRule="exact"/>
        <w:rPr>
          <w:sz w:val="20"/>
          <w:szCs w:val="20"/>
          <w:color w:val="auto"/>
        </w:rPr>
      </w:pPr>
    </w:p>
    <w:p>
      <w:pPr>
        <w:sectPr>
          <w:pgSz w:w="11900" w:h="16838" w:orient="portrait"/>
          <w:cols w:equalWidth="0" w:num="2">
            <w:col w:w="4880" w:space="720"/>
            <w:col w:w="5680"/>
          </w:cols>
          <w:pgMar w:left="240" w:top="229" w:right="379" w:bottom="1440" w:gutter="0" w:footer="0" w:header="0"/>
          <w:type w:val="continuous"/>
        </w:sect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5913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591312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600"/>
        <w:spacing w:after="0" w:line="268" w:lineRule="auto"/>
        <w:rPr>
          <w:sz w:val="20"/>
          <w:szCs w:val="20"/>
          <w:color w:val="auto"/>
        </w:rPr>
      </w:pPr>
      <w:r>
        <w:rPr>
          <w:rFonts w:ascii="Arial" w:cs="Arial" w:eastAsia="Arial" w:hAnsi="Arial"/>
          <w:sz w:val="17"/>
          <w:szCs w:val="17"/>
          <w:color w:val="auto"/>
        </w:rPr>
        <w:t>of our obligation to redeem 100% of our public shares if we do not complete our initial business combination within 24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ectPr>
          <w:pgSz w:w="11900" w:h="16838" w:orient="portrait"/>
          <w:cols w:equalWidth="0" w:num="1">
            <w:col w:w="11320"/>
          </w:cols>
          <w:pgMar w:left="240" w:top="229" w:right="339" w:bottom="1440" w:gutter="0" w:footer="0" w:header="0"/>
        </w:sectPr>
      </w:pPr>
    </w:p>
    <w:p>
      <w:pPr>
        <w:spacing w:after="0" w:line="18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Limited payments to insiders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will be no finder’s fees, reimbursements or cash payments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p>
    <w:p>
      <w:pPr>
        <w:spacing w:after="0" w:line="189" w:lineRule="exact"/>
        <w:rPr>
          <w:sz w:val="20"/>
          <w:szCs w:val="20"/>
          <w:color w:val="auto"/>
        </w:rPr>
      </w:pPr>
    </w:p>
    <w:p>
      <w:pPr>
        <w:sectPr>
          <w:pgSz w:w="11900" w:h="16838" w:orient="portrait"/>
          <w:cols w:equalWidth="0" w:num="2">
            <w:col w:w="4880" w:space="720"/>
            <w:col w:w="5720"/>
          </w:cols>
          <w:pgMar w:left="240" w:top="229"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0" w:hanging="8"/>
        <w:spacing w:after="0" w:line="312" w:lineRule="auto"/>
        <w:rPr>
          <w:sz w:val="20"/>
          <w:szCs w:val="20"/>
          <w:color w:val="auto"/>
        </w:rPr>
      </w:pPr>
      <w:r>
        <w:rPr>
          <w:rFonts w:ascii="Arial" w:cs="Arial" w:eastAsia="Arial" w:hAnsi="Arial"/>
          <w:sz w:val="16"/>
          <w:szCs w:val="16"/>
          <w:color w:val="auto"/>
        </w:rPr>
        <w:t>repayment of an aggregate of up to $250,000 in loans that may be made to us by our sponsor to cover offering-related and organizational expenses (as of June 30, 2019, we had borrowed $68,625 from our sponsor);</w:t>
      </w:r>
    </w:p>
    <w:p>
      <w:pPr>
        <w:spacing w:after="0" w:line="147"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80" w:hanging="8"/>
        <w:spacing w:after="0" w:line="277" w:lineRule="auto"/>
        <w:rPr>
          <w:sz w:val="20"/>
          <w:szCs w:val="20"/>
          <w:color w:val="auto"/>
        </w:rPr>
      </w:pPr>
      <w:r>
        <w:rPr>
          <w:rFonts w:ascii="Arial" w:cs="Arial" w:eastAsia="Arial" w:hAnsi="Arial"/>
          <w:sz w:val="18"/>
          <w:szCs w:val="18"/>
          <w:color w:val="auto"/>
        </w:rPr>
        <w:t>payment to our sponsor of up to $20,000 per month for office space, administrative and support services;</w:t>
      </w:r>
    </w:p>
    <w:p>
      <w:pPr>
        <w:spacing w:after="0" w:line="170"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40" w:hanging="8"/>
        <w:spacing w:after="0" w:line="342" w:lineRule="auto"/>
        <w:rPr>
          <w:sz w:val="20"/>
          <w:szCs w:val="20"/>
          <w:color w:val="auto"/>
        </w:rPr>
      </w:pPr>
      <w:r>
        <w:rPr>
          <w:rFonts w:ascii="Arial" w:cs="Arial" w:eastAsia="Arial" w:hAnsi="Arial"/>
          <w:sz w:val="16"/>
          <w:szCs w:val="16"/>
          <w:color w:val="auto"/>
        </w:rPr>
        <w:t>reimbursement for any out-of-pocket expenses related to identifying, investigating and completing an initial business combination; and</w:t>
      </w:r>
    </w:p>
    <w:p>
      <w:pPr>
        <w:spacing w:after="0" w:line="124"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60" w:hanging="8"/>
        <w:spacing w:after="0" w:line="288" w:lineRule="auto"/>
        <w:rPr>
          <w:sz w:val="20"/>
          <w:szCs w:val="20"/>
          <w:color w:val="auto"/>
        </w:rPr>
      </w:pPr>
      <w:r>
        <w:rPr>
          <w:rFonts w:ascii="Arial" w:cs="Arial" w:eastAsia="Arial" w:hAnsi="Arial"/>
          <w:sz w:val="16"/>
          <w:szCs w:val="16"/>
          <w:color w:val="auto"/>
        </w:rPr>
        <w:t>repayment of loans which may be made by our sponsor or an affiliate of our sponsor or certain of our officers and directors to finance transaction costs in connection with an intended initial business combination, the</w:t>
      </w:r>
    </w:p>
    <w:p>
      <w:pPr>
        <w:spacing w:after="0" w:line="1" w:lineRule="exact"/>
        <w:rPr>
          <w:sz w:val="20"/>
          <w:szCs w:val="20"/>
          <w:color w:val="auto"/>
        </w:rPr>
      </w:pPr>
    </w:p>
    <w:p>
      <w:pPr>
        <w:sectPr>
          <w:pgSz w:w="11900" w:h="16838" w:orient="portrait"/>
          <w:cols w:equalWidth="0" w:num="2">
            <w:col w:w="5660" w:space="280"/>
            <w:col w:w="5380"/>
          </w:cols>
          <w:pgMar w:left="240" w:top="229" w:right="339" w:bottom="1440" w:gutter="0" w:footer="0" w:header="0"/>
          <w:type w:val="continuous"/>
        </w:sectPr>
      </w:pPr>
    </w:p>
    <w:p>
      <w:pPr>
        <w:ind w:left="5940"/>
        <w:spacing w:after="0"/>
        <w:rPr>
          <w:sz w:val="20"/>
          <w:szCs w:val="20"/>
          <w:color w:val="auto"/>
        </w:rPr>
      </w:pPr>
      <w:r>
        <w:rPr>
          <w:rFonts w:ascii="Arial" w:cs="Arial" w:eastAsia="Arial" w:hAnsi="Arial"/>
          <w:sz w:val="16"/>
          <w:szCs w:val="16"/>
          <w:color w:val="auto"/>
        </w:rPr>
        <w:t>terms of which have not been determined nor have any written agreements</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been executed with respect thereto. Up to $1,500,000 of such loans may</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be convertible into warrants at a price of $1.00 per warrant at the option of</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3560" w:type="dxa"/>
            <w:vAlign w:val="bottom"/>
            <w:tcBorders>
              <w:top w:val="single" w:sz="8" w:color="auto"/>
              <w:left w:val="single" w:sz="8" w:color="auto"/>
            </w:tcBorders>
          </w:tcPr>
          <w:p>
            <w:pPr>
              <w:spacing w:after="0"/>
              <w:rPr>
                <w:sz w:val="24"/>
                <w:szCs w:val="24"/>
                <w:color w:val="auto"/>
              </w:rPr>
            </w:pPr>
          </w:p>
        </w:tc>
        <w:tc>
          <w:tcPr>
            <w:tcW w:w="786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color w:val="auto"/>
                <w:w w:val="92"/>
              </w:rPr>
              <w:t>These payments may be funded using the net proceeds of this offering and the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6"/>
              </w:rPr>
              <w:t>sale of the private placement warrants not held in the trust account or, upon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6"/>
              </w:rPr>
              <w:t>completion of the initial business combination, from any amounts remaining</w:t>
            </w:r>
          </w:p>
        </w:tc>
      </w:tr>
      <w:tr>
        <w:trPr>
          <w:trHeight w:val="230"/>
        </w:trPr>
        <w:tc>
          <w:tcPr>
            <w:tcW w:w="35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3"/>
              </w:rPr>
              <w:t>from the proceeds of the trust account released to us in connection therewith.</w:t>
            </w:r>
          </w:p>
        </w:tc>
      </w:tr>
      <w:tr>
        <w:trPr>
          <w:trHeight w:val="418"/>
        </w:trPr>
        <w:tc>
          <w:tcPr>
            <w:tcW w:w="3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Audit committee</w:t>
            </w: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Prior to the effectiveness of this registration statement, we will have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established and will maintain an audit committee to, among other things,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monitor compliance with the terms described above and the other terms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8"/>
              </w:rPr>
              <w:t>relating to this offering. Our audit committee will also review on a quarterly</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3"/>
              </w:rPr>
              <w:t>basis all payments that were made to our sponsor, officers or directors, or our</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or any of their affiliates. If any noncompliance is identified, then the audit</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committee will be charged with the responsibility to immediately take all</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action necessary to rectify such noncompliance or otherwise to cause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compliance with the terms of this offering. For more information, see the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4"/>
              </w:rPr>
              <w:t>section entitled “Management—Committees of the Board of Directors—Audit</w:t>
            </w:r>
          </w:p>
        </w:tc>
      </w:tr>
      <w:tr>
        <w:trPr>
          <w:trHeight w:val="230"/>
        </w:trPr>
        <w:tc>
          <w:tcPr>
            <w:tcW w:w="35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Committee.”</w:t>
            </w:r>
          </w:p>
        </w:tc>
      </w:tr>
      <w:tr>
        <w:trPr>
          <w:trHeight w:val="418"/>
        </w:trPr>
        <w:tc>
          <w:tcPr>
            <w:tcW w:w="3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Conflicts of interest</w:t>
            </w: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7"/>
              </w:rPr>
              <w:t>Certain of our officers and directors presently have, and any of them in the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future may have, additional, fiduciary or contractual obligations to other</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entities pursuant to which such officer or director is or will be required to</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4"/>
              </w:rPr>
              <w:t>present a business combination opportunity to such entity. Accordingly, if any</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of our officers or directors becomes aware of a business combination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7"/>
              </w:rPr>
              <w:t>opportunity that is suitable for an entity to which he or she has then-current</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fiduciary or contractual obligations, he or she may need to honor these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9"/>
              </w:rPr>
              <w:t>fiduciary or contractual obligations to present such business combination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opportunity to such entity, subject to their fiduciary duties under Cayman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Islands law. We do not believe, however, that the fiduciary duties or</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9"/>
              </w:rPr>
              <w:t>contractual obligations of our officers or directors will materially affect our</w:t>
            </w:r>
          </w:p>
        </w:tc>
      </w:tr>
      <w:tr>
        <w:trPr>
          <w:trHeight w:val="230"/>
        </w:trPr>
        <w:tc>
          <w:tcPr>
            <w:tcW w:w="35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ability to complete our initial business combination.</w:t>
            </w:r>
          </w:p>
        </w:tc>
      </w:tr>
      <w:tr>
        <w:trPr>
          <w:trHeight w:val="418"/>
        </w:trPr>
        <w:tc>
          <w:tcPr>
            <w:tcW w:w="3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Indemnity</w:t>
            </w: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Our sponsor has agreed that it will be liable to us if and to the extent any</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claims by a third party (other than our independent auditors) for services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1"/>
              </w:rPr>
              <w:t>rendered or products sold to us, or a prospective target business with which we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5"/>
              </w:rPr>
              <w:t>have discussed entering into a transaction agreement, reduce the amount of</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8"/>
              </w:rPr>
              <w:t>funds in the trust account to below (1) $10.00 per public share or (2) such</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5"/>
              </w:rPr>
              <w:t>lesser amount per public share held in the trust account as of the date of the</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liquidation of the trust account due to reductions in the value of the trust</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3"/>
              </w:rPr>
              <w:t>assets, in each case net of the interest which may be withdrawn to pay taxes,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4"/>
              </w:rPr>
              <w:t>except as to any claims by a third party who executed a waiver of any and all</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0"/>
              </w:rPr>
              <w:t>rights to seek access to the trust account and except as to any claims under our</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indemnity of the underwriter of this offering against certain liabilities,</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8"/>
              </w:rPr>
              <w:t>including liabilities under the Securities Act. Moreover, in the event that an</w:t>
            </w:r>
          </w:p>
        </w:tc>
      </w:tr>
      <w:tr>
        <w:trPr>
          <w:trHeight w:val="216"/>
        </w:trPr>
        <w:tc>
          <w:tcPr>
            <w:tcW w:w="35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9"/>
              </w:rPr>
              <w:t>executed waiver is deemed to be unenforceable against a third party, our</w:t>
            </w:r>
          </w:p>
        </w:tc>
      </w:tr>
      <w:tr>
        <w:trPr>
          <w:trHeight w:val="230"/>
        </w:trPr>
        <w:tc>
          <w:tcPr>
            <w:tcW w:w="35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sponsor will not be responsible to the extent of any liability</w:t>
            </w:r>
          </w:p>
        </w:tc>
      </w:tr>
      <w:tr>
        <w:trPr>
          <w:trHeight w:val="307"/>
        </w:trPr>
        <w:tc>
          <w:tcPr>
            <w:tcW w:w="3560" w:type="dxa"/>
            <w:vAlign w:val="bottom"/>
            <w:tcBorders>
              <w:left w:val="single" w:sz="8" w:color="auto"/>
              <w:bottom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spacing w:after="0"/>
              <w:rPr>
                <w:sz w:val="24"/>
                <w:szCs w:val="24"/>
                <w:color w:val="auto"/>
              </w:rPr>
            </w:pPr>
          </w:p>
        </w:tc>
      </w:tr>
      <w:tr>
        <w:trPr>
          <w:trHeight w:val="328"/>
        </w:trPr>
        <w:tc>
          <w:tcPr>
            <w:tcW w:w="3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2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4952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495236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600" w:right="40"/>
        <w:spacing w:after="0" w:line="276" w:lineRule="auto"/>
        <w:rPr>
          <w:sz w:val="20"/>
          <w:szCs w:val="20"/>
          <w:color w:val="auto"/>
        </w:rPr>
      </w:pPr>
      <w:r>
        <w:rPr>
          <w:rFonts w:ascii="Arial" w:cs="Arial" w:eastAsia="Arial" w:hAnsi="Arial"/>
          <w:sz w:val="17"/>
          <w:szCs w:val="17"/>
          <w:color w:val="auto"/>
        </w:rPr>
        <w:t>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ind w:left="100"/>
        <w:spacing w:after="0" w:line="272"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Business—Comparison of This Offering to Those of Blank Check Companies Subject to Rule 419.” You should carefully consider these and the other risks set forth in the section of this prospectus entitled “Risk Factors.”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100" w:right="320"/>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As of</w:t>
            </w:r>
          </w:p>
        </w:tc>
      </w:tr>
      <w:tr>
        <w:trPr>
          <w:trHeight w:val="254"/>
        </w:trPr>
        <w:tc>
          <w:tcPr>
            <w:tcW w:w="8760" w:type="dxa"/>
            <w:vAlign w:val="bottom"/>
          </w:tcPr>
          <w:p>
            <w:pPr>
              <w:ind w:left="3600"/>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11, 2019</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June 30, 2019</w:t>
            </w:r>
          </w:p>
        </w:tc>
      </w:tr>
      <w:tr>
        <w:trPr>
          <w:trHeight w:val="203"/>
        </w:trPr>
        <w:tc>
          <w:tcPr>
            <w:tcW w:w="8760" w:type="dxa"/>
            <w:vAlign w:val="bottom"/>
            <w:tcBorders>
              <w:top w:val="single" w:sz="8" w:color="auto"/>
            </w:tcBorders>
            <w:shd w:val="clear" w:color="auto" w:fill="D5EAEA"/>
          </w:tcPr>
          <w:p>
            <w:pPr>
              <w:spacing w:after="0" w:line="203" w:lineRule="exact"/>
              <w:rPr>
                <w:sz w:val="20"/>
                <w:szCs w:val="20"/>
                <w:color w:val="auto"/>
              </w:rPr>
            </w:pPr>
            <w:r>
              <w:rPr>
                <w:rFonts w:ascii="Arial" w:cs="Arial" w:eastAsia="Arial" w:hAnsi="Arial"/>
                <w:sz w:val="18"/>
                <w:szCs w:val="18"/>
                <w:color w:val="auto"/>
              </w:rPr>
              <w:t>Working capital (deficiency)</w:t>
            </w:r>
          </w:p>
        </w:tc>
        <w:tc>
          <w:tcPr>
            <w:tcW w:w="320" w:type="dxa"/>
            <w:vAlign w:val="bottom"/>
            <w:tcBorders>
              <w:top w:val="single" w:sz="8" w:color="D5EAEA"/>
            </w:tcBorders>
            <w:gridSpan w:val="2"/>
            <w:shd w:val="clear" w:color="auto" w:fill="D5EAEA"/>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D5EAEA"/>
            </w:tcBorders>
            <w:shd w:val="clear" w:color="auto" w:fill="D5EAEA"/>
          </w:tcPr>
          <w:p>
            <w:pPr>
              <w:jc w:val="right"/>
              <w:spacing w:after="0" w:line="203" w:lineRule="exact"/>
              <w:rPr>
                <w:sz w:val="20"/>
                <w:szCs w:val="20"/>
                <w:color w:val="auto"/>
              </w:rPr>
            </w:pPr>
            <w:r>
              <w:rPr>
                <w:rFonts w:ascii="Arial" w:cs="Arial" w:eastAsia="Arial" w:hAnsi="Arial"/>
                <w:sz w:val="18"/>
                <w:szCs w:val="18"/>
                <w:color w:val="auto"/>
              </w:rPr>
              <w:t>(12,500)</w:t>
            </w:r>
          </w:p>
        </w:tc>
        <w:tc>
          <w:tcPr>
            <w:tcW w:w="1220" w:type="dxa"/>
            <w:vAlign w:val="bottom"/>
            <w:tcBorders>
              <w:top w:val="single" w:sz="8" w:color="D5EAEA"/>
            </w:tcBorders>
            <w:gridSpan w:val="2"/>
            <w:shd w:val="clear" w:color="auto" w:fill="D5EAEA"/>
          </w:tcPr>
          <w:p>
            <w:pPr>
              <w:jc w:val="right"/>
              <w:spacing w:after="0" w:line="203" w:lineRule="exact"/>
              <w:rPr>
                <w:sz w:val="20"/>
                <w:szCs w:val="20"/>
                <w:color w:val="auto"/>
              </w:rPr>
            </w:pPr>
            <w:r>
              <w:rPr>
                <w:rFonts w:ascii="Arial" w:cs="Arial" w:eastAsia="Arial" w:hAnsi="Arial"/>
                <w:sz w:val="18"/>
                <w:szCs w:val="18"/>
                <w:color w:val="auto"/>
              </w:rPr>
              <w:t>$   (295,281)</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32,500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315,281</w:t>
            </w:r>
          </w:p>
        </w:tc>
      </w:tr>
      <w:tr>
        <w:trPr>
          <w:trHeight w:val="216"/>
        </w:trPr>
        <w:tc>
          <w:tcPr>
            <w:tcW w:w="8760" w:type="dxa"/>
            <w:vAlign w:val="bottom"/>
            <w:shd w:val="clear" w:color="auto" w:fill="D5EAEA"/>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12,500</w:t>
            </w:r>
          </w:p>
        </w:tc>
        <w:tc>
          <w:tcPr>
            <w:tcW w:w="12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295,281</w:t>
            </w: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20,000</w:t>
            </w:r>
          </w:p>
        </w:tc>
      </w:tr>
    </w:tbl>
    <w:p>
      <w:pPr>
        <w:spacing w:after="0" w:line="187" w:lineRule="exact"/>
        <w:rPr>
          <w:sz w:val="20"/>
          <w:szCs w:val="20"/>
          <w:color w:val="auto"/>
        </w:rPr>
      </w:pPr>
    </w:p>
    <w:p>
      <w:pPr>
        <w:ind w:left="100" w:right="200"/>
        <w:spacing w:after="0" w:line="257" w:lineRule="auto"/>
        <w:rPr>
          <w:sz w:val="20"/>
          <w:szCs w:val="20"/>
          <w:color w:val="auto"/>
        </w:rPr>
      </w:pPr>
      <w:r>
        <w:rPr>
          <w:rFonts w:ascii="Arial" w:cs="Arial" w:eastAsia="Arial" w:hAnsi="Arial"/>
          <w:sz w:val="18"/>
          <w:szCs w:val="18"/>
          <w:color w:val="auto"/>
        </w:rPr>
        <w:t>If our initial business combination is not completed within 24 months from the closing of this offering, the proceeds then on deposit in the trust account, including interest (less up to $100,000 of interest to pay dissolution expenses and which interest shall be net of taxes payable), will be used to fund the redemption of our public shares.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such 24-month time period.</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Offering</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a newly incorporated company with no operating history and no revenues, and you have no basis on which to evaluate our ability to achieve our business objective.</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are a newly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June 30, 2019, we had no cash and a working capital deficiency of $295,281.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public shareholders may not be afforded an opportunity to vote on our proposed business combination, which means we may complete our initial business combination even though a majority of our public shareholders do not support such a combination.</w:t>
      </w:r>
    </w:p>
    <w:p>
      <w:pPr>
        <w:spacing w:after="0" w:line="14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w:t>
      </w: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provide our public shareholders with the opportunity to redeem all or a portion of their public shares upon the completion of our initial business</w:t>
      </w:r>
    </w:p>
    <w:p>
      <w:pPr>
        <w:spacing w:after="0" w:line="20" w:lineRule="exact"/>
        <w:rPr>
          <w:rFonts w:ascii="Arial" w:cs="Arial" w:eastAsia="Arial" w:hAnsi="Arial"/>
          <w:sz w:val="17"/>
          <w:szCs w:val="17"/>
          <w:color w:val="auto"/>
        </w:rPr>
      </w:pPr>
    </w:p>
    <w:p>
      <w:pPr>
        <w:ind w:right="40"/>
        <w:spacing w:after="0" w:line="267" w:lineRule="auto"/>
        <w:rPr>
          <w:rFonts w:ascii="Arial" w:cs="Arial" w:eastAsia="Arial" w:hAnsi="Arial"/>
          <w:sz w:val="17"/>
          <w:szCs w:val="17"/>
          <w:color w:val="auto"/>
        </w:rPr>
      </w:pPr>
      <w:r>
        <w:rPr>
          <w:rFonts w:ascii="Arial" w:cs="Arial" w:eastAsia="Arial" w:hAnsi="Arial"/>
          <w:sz w:val="17"/>
          <w:szCs w:val="17"/>
          <w:color w:val="auto"/>
        </w:rPr>
        <w:t>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shareholder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initial shareholders, officers and directors have agreed to vote in favor of such initial business combination, regardless of how our public shareholders vote.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spacing w:after="0" w:line="1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end of the 24-month period. In addition, we may have limited time to conduct due diligence and may enter into our initial business combination on terms that we would have rejected upon a more comprehensive investigation.</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shareholders may receive only $10.00 per share, or less than such amount in certain circumstances, and our warrants will expire worthless.</w:t>
      </w:r>
    </w:p>
    <w:p>
      <w:pPr>
        <w:spacing w:after="0" w:line="16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sponsor, officers and directors have agreed that we must complete our initial business combination within 24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If we are unable to complete our initial business combination within such 24-month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In such case, our public shareholders may receive only $10.00 per share, or less than $10.00 per share, on the redemption of their shares,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spacing w:after="0" w:line="18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The price per share paid in any such transaction may be different than the amount per share a public shareholder would receive if it elected to redeem its shares in connection with our initial business combination.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“Proposed Business— Effecting Our Initial Business Combination—Tendering share certificates in connection with a tender offer or redemption rights.”</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have applied to have our units listed on Nasdaq. We expect that our units will be listed on Nasdaq on or promptly after the date of this prospectus. Following the date that our Class A ordinary shares and warrants are eligible to trade separately, we anticipate that our Class A ordinary shares and warrants will be listed separately on Nasdaq. Although, after giving effect to this offering, we expect to meet on a pro forma basis Nasdaq’s minimum initial listing standards, which generally only require that we meet certain requirements relating to shareholders’ equity, market capitalization, aggregate market value of publicly held shares and distribution requirements,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it is likely that Nasdaq will require us to file a new initial listing application and meet its initial listing requirements as well as certain qualitative requirements, as opposed to its more lenient continued listing requirements. We cannot assure you that we will be able to meet those initial listing requirements at that time.</w:t>
      </w:r>
    </w:p>
    <w:p>
      <w:pPr>
        <w:spacing w:after="0" w:line="16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with respect to such securities;</w:t>
      </w:r>
    </w:p>
    <w:p>
      <w:pPr>
        <w:spacing w:after="0" w:line="225"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the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7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shares, it will potentially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the funds not being held in the trust account are insufficient to allow us to operate for at least the 24 months following the closing of this offering, we may be unable to complete our initial business combination.</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funds available to us outside of the trust account may not be sufficient to allow us to operate for at least the 24 months following the closing of this offering,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believe that, upon the closing of this offering, the funds available to us outside of the trust account, will be sufficient to allow us to operate for at least the 24 months following the closing of this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Of the net proceeds of this offering and the sale of the private placement warrants, only approximately $1,000,000 will be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spacing w:after="0" w:line="1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pacing w:after="0" w:line="18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(1) $10.00 per public share or (2) 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158"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believe that our anticipated principal activities will subject us to the Investment Company Act. The proceeds held in the trust account may be invested by the trustee only in U.S. government treasury bills with a maturity of 180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“—Risks Relating to the Cannabis Industry” for additional risks we may face in connection with our initial business combination.</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within 24 months of the closing of this offering, our public shareholders may be forced to wait beyond such 24 months before redemption from our trust account.</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If we are unable to consummate our initial business combination within 24 months from the closing of this offering,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the initial 24 months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w:t>
      </w:r>
      <w:r>
        <w:rPr>
          <w:rFonts w:ascii="Arial" w:cs="Arial" w:eastAsia="Arial" w:hAnsi="Arial"/>
          <w:sz w:val="17"/>
          <w:szCs w:val="17"/>
          <w:b w:val="1"/>
          <w:bCs w:val="1"/>
          <w:color w:val="auto"/>
        </w:rPr>
        <w:t>our amended and restated</w:t>
      </w:r>
      <w:r>
        <w:rPr>
          <w:rFonts w:ascii="Arial" w:cs="Arial" w:eastAsia="Arial" w:hAnsi="Arial"/>
          <w:sz w:val="17"/>
          <w:szCs w:val="17"/>
          <w:color w:val="auto"/>
        </w:rPr>
        <w:t xml:space="preserve"> memorandum and articles of association and then only in cases where investors have properly sought to redeem their Class A ordinary shares. Only upon our redemption or any liquidation will public shareholders be entitled to distributions if we are unable to complete our initial business combination and do not amend certain provisions of our amended and restated memorandum and articles of association prior thereto.</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shareholders may be held liable for claims by third parties against us to the extent of distributions received by them upon redemption of their shares.</w:t>
      </w:r>
    </w:p>
    <w:p>
      <w:pPr>
        <w:spacing w:after="0" w:line="2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$18,292.68 and to imprisonment for five years in the Cayman Islands.</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hold an annual general meeting of shareholders until after the completion of our initial business combination. Our public shareholders will not have the right to elect directors prior to the consummation of our Business Combination.</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 As holders of our Class A ordinary shares, our public shareholders also will not have the right to vote on the election of directors prior to completion of our initial business combination. In addition, holders of a majority of our founder shares may remove a member of the board of directors for any reason.</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Because we are not limited to a particular industry or any specific target businesses with which to pursue our initial business combination, you will be unable to ascertain the merits or risks of any particular target business’s operations.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 See “—Risks Relating to the Cannabis Industry” for additional risks we may face in connection with our initial business combination.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performance by our management team and their affiliates may not be indicative of future performance of an investment in the Company.</w:t>
      </w:r>
    </w:p>
    <w:p>
      <w:pPr>
        <w:spacing w:after="0" w:line="24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Information regarding performance by our management team and their affiliates is presented for informational purposes only. Past performance by our management team and their affiliates is not a guarantee either (1) that we will be able to identify a suitable candidate for our initial business combination or</w:t>
      </w:r>
    </w:p>
    <w:p>
      <w:pPr>
        <w:ind w:right="80" w:firstLine="8"/>
        <w:spacing w:after="0" w:line="323"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of success with respect to any business combination we may consummate. You should not rely on the historical record of our management team and their affiliates as indicative of our future performance of an investment in the company or the returns the company will, or is likely to, generate going forward.</w:t>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9"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10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88"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memorandum and articles of association will authorize the issuance of ordinary shares, including 200,000,000 Class A ordinary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par value $0.0001 per share, and 20,000,000 Class B ordinary shares, par value $0.0001 per share, as well as 1,000,000 preferred shares,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$0.0001. Immediately after this offering, there will be 155,500,000 and 13,750,000 (assuming that the underwriter has not exercised its over-allotment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authorized but unissued Class A ordinary shares and Class B ordinary shares, respectively, available for issuance, which amount takes into account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reserved for issuance upon exercise of outstanding warrants, and 1,000,000 authorized but unissued preferred shares available for issuance.</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24 months from the closing of this offering or (y) amend the foregoing provisions. The issuance of additional ordinary shares or preferred shares:</w:t>
      </w:r>
    </w:p>
    <w:p>
      <w:pPr>
        <w:spacing w:after="0" w:line="1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70"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Unlike certain other blank check companies, our initial shareholder will receive additional Class A ordinary shares if we issue shares to consummate an initial business combination.</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United States federal income tax consequences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“Income Tax Considerations — United States Federal Income Taxation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“Income Tax Considerations—United States Federal Income Taxation—U.S. Holders—Passive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such required information, and such election would be unavailable with respect to our warrants in all cases. We urge U.S. investors to consult their own tax advisors regarding the possible application of the PFIC rules. For a more detailed discussion of the tax consequences of PFIC classification to U.S. Holders, see the section of this prospectus captioned “Income Tax Considerations — United States Federal Income Taxation — U.S. Holders — Passive Foreign Investment Company Rules.”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such reincorporation may result in taxes imposed on shareholders.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receive only approximately $10.00 per share, or less than such amount in certain circumstances, on the liquidation of our trust account and our warrants will expire worthless.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operations are dependent upon a relatively small group of individuals – in particular, Scott Gordon, our Chief Executive Officer and Chairman of our board of directors, William Healy, our President and a member of our board of directors, and Greg Gentile, our Chief Financial Officer, and Mohammed Grimeh, our Chief Operating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8"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spacing w:after="0" w:line="16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“Management—Directors, Director Nominees and Executive Officers.”</w:t>
      </w:r>
    </w:p>
    <w:p>
      <w:pPr>
        <w:spacing w:after="0" w:line="1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“Management—Directors, Director Nominees and Executive Officers,” “Management—Conflicts of Interest” and “Certain Relationships and Related Party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officers or directors which may raise potential conflicts of interest.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light of the involvement of our sponsor, officers and directors with other entities, we may decide to acquire one or more businesses affiliated with our sponsor, officers and directors. Our officers and directors also serve as officers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board members for other entities, including, without limitation, those described under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Effecting Our Initial Business Combination—Selection of a target business and structuring of our initial business combination” and such transaction was approved by a majority of our independent and disinterested directors.</w:t>
      </w:r>
    </w:p>
    <w:p>
      <w:pPr>
        <w:spacing w:after="0" w:line="17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June 11, 2019, our sponsor subscribed for an aggregate of 7,187,500 founder shares for an aggregate purchase price of $25,000, or $0.004 per share (assuming the over-allotment option is not exercised and the forfeiture by our sponsor of 937,500 founder shares). As such, our initial shareholders will collectively own 20% of our issued and outstanding shares after this offering (assuming they do not purchase any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 The founder shares will be worthless if we do not complete an initial business combination. In addition, our sponsor has committed to purchase an aggregate of 7,000,000 (or 7,750,000 if the underwriter’s over-allotment option is exercised in full) private placement warrants, each exercisable to purchase one Class A ordinary share, for a purchase price of $7,000,000 in the aggregate (or $7,750,000 in the aggregate if the underwriter’s over-allotment option is exercised in full), or $1.00 per warrant, that will also be worthless if we do not complete a business combination. Each private placement warrant may be exercised for one Class A ordinary share at a price of $11.50 per share, subject to adjustment as provided herein.</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founder shares are identical to the ordinary shares included in the units being sold in this offering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on the first business day following the completion of our initial business combination on a one-for-one basis subject to adjustment pursuant to certain anti-dilution rights and (5) the founder shares are entitled to registration rights. Our directors and officers have also entered into the letter agreement with respect to public shares acquired by them, if any.</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deadline following the closing of this offering nears, which is the deadline for the completion of our initial business combination.</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74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be able to complete only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net proceeds from this offering and the sale of the private placement warrants will provide us with $250,000,000 (or $287,500,000 if the underwriter’s over-allotment option is exercised in full) that we may use to complete our initial business combination (which includes $8,750,000, or up to $10,062,500 if the underwriter’s over-allotment option is exercised in full, of deferred underwriting commissions being held in the trust account).</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have the resources to complete several business combinations in different industries or different areas of a single industry. Accordingly, the prospects for our success may be:</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spacing w:after="0" w:line="167"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owns 50% or more of the voting securities of the target, our shareholders prior to our initial business combination may collectively own a minority interest in the post business combination company, depending on valuations ascribed to the target and us in our initial business combination transaction. For example, we could pursue a transaction in which we issue a substantial number of new Class A ordinary shares in exchange for all of the issued and outstanding capital stock or shares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spacing w:after="0" w:line="1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amended and restated memorandum and articles of association will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exercise price for the public warrants is higher than in many similar blank check company offerings in the past, and, accordingly, the warrants are more likely to expire worthless.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exercise price of the public warrants is higher than is typical in many similar blank check companies in the past. Historically, the exercise price of a warrant was generally a fraction of the purchase price of the units in the initial public offering. The exercise price for our public warrants is $11.50 per share, subject to adjustment as provided herein. As a result, the warrants are more likely to expire worthless.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certificate of incorporation will require at least a special resolution of our shareholders as a matter of Cayman Islands law. A resolution is deemed to be a special resolution as a matter of Cayman Islands law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will provide that any of its provisions, including those related to pre-business combination activity (including the requirement to deposit proceeds of this offering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will collectively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spacing w:after="0" w:line="3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public warrants with the approval by the holders of at least a majority of the then outstanding public warrants.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agreements related to this offering may be amended without shareholder approval.</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Each of the agreements related to this offering to which we are a party, other than the warrant agreement and the investment management trust agreement, may be amended without shareholder approval. These agreements contain various provisions that our public shareholders might deem to be material. For example, our letter agreement and the underwriting agreement contain certain lock-up provisions with respect to the founder shares, private placement warrants and other securities held by our initial shareholders,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its fiduciary duties, chooses to approve one or more amendments to any such agreement. Any material amendment entered into in connection with the completion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shareholders,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shareholders selling their securities earlier than they would otherwise be permitted, which may have an adverse effect on the price of our securities.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selected any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initial shareholders will control the election of our board of directors until completion of our initial business combination and will hold a substantial interest in us. As a result, they will elect all of our directors prior to our initial business combination and may exert a substantial influence on actions requiring shareholder vote, potentially in a manner that you do not support.</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Upon the closing of this offering, our initial shareholders will own 20% of our issued and outstanding ordinary shares (assuming they do not purchase any units in this offering). In addition, prior to our initial business combination, only the founder shares, all of which are held by our initial shareholders, will have the right to vote on the election of directors, and holders of a majority of our founder shares may remove a member of the board of directors for any reason.</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 ordinary shares in this offering or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sponsor paid an aggregate of $25,000, or $0.004 per founder share (assuming the over-allotment option is not exercised and the forfeiture by our sponsor of 937,500 founder shares), and, accordingly, you will experience immediate and substantial dilution upon the purchase of our Class A ordinary shares.</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shares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shareholders will incur an immediate and substantial dilution of approximately 93.4% (or $9.34 per share, assuming no exercise of the underwriter’s over-allotment option), the difference between the pro forma net tangible book value per share of $0.66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660" w:right="5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issue additional Class A ordinary shares or equity-linked securities for capital raising purposes in connection with the closing of our initial business combination at a Newly Issued Price of less than $9.20 per Class A ordinary share;</w:t>
      </w:r>
    </w:p>
    <w:p>
      <w:pPr>
        <w:spacing w:after="0" w:line="170" w:lineRule="exact"/>
        <w:rPr>
          <w:rFonts w:ascii="Arial" w:cs="Arial" w:eastAsia="Arial" w:hAnsi="Arial"/>
          <w:sz w:val="18"/>
          <w:szCs w:val="18"/>
          <w:color w:val="auto"/>
        </w:rPr>
      </w:pPr>
    </w:p>
    <w:p>
      <w:pPr>
        <w:ind w:left="660" w:right="5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completion of our initial business combination (net of redemptions),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ordinary shares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will be issuing warrants to purchase 12,500,000 Class A ordinary shares (or up to 14,375,000 Class A ordinary shares if the underwriter’s over-allotment option is exercised in full), at a price of $11.50 per whole share (subject to adjustment as provided herein), as part of the units offered by this prospectus and, simultaneously with the closing of this offering, we will be issuing in a private placement an aggregate of 7,000,000 (or 7,750,000 if the underwriter’s over-allotment option is exercised in full) private placement warrants, each exercisable to purchase one Class A ordinary share at a price of $11.50 per share, subject to adjustment as provided herein. Our initial shareholders currently hold 7,187,500 founder shares (up to 937,500 of which are subject to forfeiture by our sponsor depending on the extent to which the underwriter’s over-allotment option is exercised).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private placement warrants are identical to the warrants sold as part of the units in this offering except that, so long as they are held by our sponsor or its permitted transferees: (1) they will not be redeemable by us; (2) they (including the ordinary shares issuable upon exercise of these warrants) may not, subject to certain limited exceptions, be transferred, assigned or sold by our sponsor until 30 days after the completion of our initial business combination; (3) they may be exercised by the holders on a cashless basis; and (4) they (including the ordinary shares issuable upon exercise of these warrants) are entitled to registration rights.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warrant and only a whole warrant may be exercised, the units may be worth less than units of other blank check companies.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This is different from other offerings similar to ours whose units include one ordinary share and one whole warrant to purchase one share. We have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will make us a more attractive business combination partner for target businesses. Nevertheless, this unit structure may cause our units to be worth less than if they included a warrant to purchase one whole share.</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 In determining the size of this offering, management held customary organizational meetings with representatives of the underwriter, both prior to our inception and thereafter, with respect to the state of capital markets, generally, and the amount the underwriter believed it reasonably could raise on our behalf. Factors considered in determining the size of this offering, prices and terms of the units, including the Class A ordinary shares and warrants underlying the units, include:</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18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acquisition.</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404 of the Sarbanes-Oxley Act requires that we evaluate and report on our system of internal controls beginning with our Annual Report on Form 10-K for the year ending December 31, 2020.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amended and restated memorandum and articles of association will contain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71" w:lineRule="exact"/>
        <w:rPr>
          <w:sz w:val="20"/>
          <w:szCs w:val="20"/>
          <w:color w:val="auto"/>
        </w:rPr>
      </w:pPr>
    </w:p>
    <w:p>
      <w:pPr>
        <w:jc w:val="both"/>
        <w:ind w:right="100"/>
        <w:spacing w:after="0" w:line="381" w:lineRule="auto"/>
        <w:rPr>
          <w:sz w:val="20"/>
          <w:szCs w:val="20"/>
          <w:color w:val="auto"/>
        </w:rPr>
      </w:pPr>
      <w:r>
        <w:rPr>
          <w:rFonts w:ascii="Arial" w:cs="Arial" w:eastAsia="Arial" w:hAnsi="Arial"/>
          <w:sz w:val="15"/>
          <w:szCs w:val="15"/>
          <w:b w:val="1"/>
          <w:bCs w:val="1"/>
          <w:i w:val="1"/>
          <w:iCs w:val="1"/>
          <w:color w:val="auto"/>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spacing w:after="0" w:line="10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we effect a business combination with a company located outside of the United States, the laws of the country in which such company operates will likely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social and government policies, developments and conditions in the country in which we operate.</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will be subject to changing law and regulations regarding regulatory matters, corporate governance and public disclosure that have increased both our costs and the risk of non-compliance.</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will be subject to rules and regulations of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are likely to continue to result in increased general and administrative expenses and a diversion of management time and attention from our search for a business combination target to compliance activities.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delayed in processing mail received at our registered office.</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Mail addressed to the Company and received at its registered office will be forwarded unopened to the forwarding address supplied by Company to be dealt with. None of the Company, its directors, officers, advisors or service providers (including the organisation which provides registered office services in the Cayman Islands) will bear any responsibility for any delay howsoever caused in mail reaching the forwarding address.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Cannabis Industry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cannabis industry to which we may become subject.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are successful in completing a business combination with a target business with operations in the cannabis industry, we will be subject to, and possibly adversely affected by, the following risks:</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cannabis industry is extremely speculative and its legality is uncertain, making it subject to inherent risk;</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cannabis that is not in compliance with the U.S. Controlled Substances Act is illegal under U.S. federal law, and therefore, strict enforcement of U.S. federal laws regarding the use, cultivation,</w:t>
      </w:r>
    </w:p>
    <w:p>
      <w:pPr>
        <w:spacing w:after="0" w:line="170" w:lineRule="exact"/>
        <w:rPr>
          <w:rFonts w:ascii="Arial" w:cs="Arial" w:eastAsia="Arial" w:hAnsi="Arial"/>
          <w:sz w:val="18"/>
          <w:szCs w:val="18"/>
          <w:color w:val="auto"/>
        </w:rPr>
      </w:pPr>
    </w:p>
    <w:p>
      <w:pPr>
        <w:ind w:left="660" w:right="100"/>
        <w:spacing w:after="0" w:line="277" w:lineRule="auto"/>
        <w:rPr>
          <w:rFonts w:ascii="Arial" w:cs="Arial" w:eastAsia="Arial" w:hAnsi="Arial"/>
          <w:sz w:val="18"/>
          <w:szCs w:val="18"/>
          <w:color w:val="auto"/>
        </w:rPr>
      </w:pPr>
      <w:r>
        <w:rPr>
          <w:rFonts w:ascii="Arial" w:cs="Arial" w:eastAsia="Arial" w:hAnsi="Arial"/>
          <w:sz w:val="18"/>
          <w:szCs w:val="18"/>
          <w:color w:val="auto"/>
        </w:rPr>
        <w:t>manufacturing, processing, transportation, distribution, storage and/or sale of cannabis would likely result in our inability to execute a business plan in the cannabis industry;</w:t>
      </w:r>
    </w:p>
    <w:p>
      <w:pPr>
        <w:spacing w:after="0" w:line="17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the current policies of the Trump Administration and the U.S. Department of Justice resulting in heightened enforcement of U.S. federal cannabis laws may negatively impact our ability to pursue our prospective business operations and/or generate revenues;</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federal courts may refuse to recognize the enforceability of contracts pertaining to any business operations that are deemed illegal under U.S. federal law and, as a result, cannabis-related contracts could prove unenforceable in such courts;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complaints and negative publicity regarding cannabis 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Assets leased to cannabis businesses may be forfeited to the U.S. federal government in connection with government enforcement actions under U.S. federal law;</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Food and Drug Administration regulation of cannabis and the possible registration of facilities where cannabis is grown could negatively affect the cannabis industry, which could directly affect our financial condition;</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the various insurance policies that are needed to operate our business, which may expose us to additional risks and financial liabilities;</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are have powerful lobbying and financial resources;</w:t>
      </w:r>
    </w:p>
    <w:p>
      <w:pPr>
        <w:spacing w:after="0" w:line="181"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financing in connection with our initial business combination or thereafter;</w:t>
      </w:r>
    </w:p>
    <w:p>
      <w:pPr>
        <w:spacing w:after="0" w:line="225" w:lineRule="exact"/>
        <w:rPr>
          <w:sz w:val="20"/>
          <w:szCs w:val="20"/>
          <w:color w:val="auto"/>
        </w:rPr>
      </w:pPr>
    </w:p>
    <w:p>
      <w:pPr>
        <w:ind w:left="660" w:right="4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National securities exchanges may not list companies engaged in the cannabis industry;</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similar to those discussed above based on regulations of other jurisdictions in which a prospective target may operate or be organized 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an adverse impact on our operations following a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is currently illegal under U.S. federal law and in other jurisdictions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 derived cannabinoids out of the most restrictive class of controlled substances under U.S. federal law, marijuana is a schedule-1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Change in the laws, regulations and guidelines that impact the cannabis industry may cause adverse effects on our ability to successfully complete our initial business combination.</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only intend to target companies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Changes to such laws, regulations and guidelines may cause adverse effects on our ability to identify and acquire a target company that meets these legal and regulatory requirements at the time of acquisition.</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Competitive conditions, consumer tastes, patient requirements and spending patterns in this new industry and market are relatively unknown and may have unique circumstances that differ from existing industries and markets.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potential growth in the cannabis industry continues to be subject to new and changing state and local laws and regulations.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the laws, regulations and guidelines that impact our business may cause adverse effects on our operations.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target company post-acquisition.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 a highly regulated business will require significant resources.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the event we acquire a business involved in the production, distribution or sale of cannabis products, we will be operating in a highly regulated business. In such a case, we would expect a significant amount of management’s time and external resources to be used to comply with the laws, regulations and guidelines that impact our business, and changes thereto, and such compliance may place a significant burden on our management and other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Differing regulatory environments may cause adverse effects on our operations.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 cannabis products business will be subject to a variety of laws, regulations and guidelines in each of the jurisdictions in which it operates. Complying with multiple regulatory regimes will require additional resources and may limit our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operate a highly regulated business and any failure or significant delay in obtaining regulatory approvals could adversely affect our ability to conduct our business.</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 the event we acquire a business involved in the production, distribution or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additional restrictions that may be placed on our business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regulations relating to hemp-derived CBD products are unclear and rapidly evolving.</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 non-THC cannabinoids, it is unclear how the U.S. Food and Drug Administration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Marketing constraints under regulatory frameworks may limit a potential target cannabis company’s ability to compete for market share in a manner similar to that of companies in other industries.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development of a potential target cannabis company’s business and operating results may be hindered by applicable restrictions on sales and marketing activities imposed by regulations applicable to the cannabis industry. For example, the regulatory environment in Canada would limit a target cannabis company’s ability to compete for market share in a manner similar to that of companies in other industries. Additionally, Canadian regulations impose further packaging, labeling and advertising restrictions on producers in the adult-use recreational cannabis market. If a target cannabis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regulatory or agency proceedings, investigations and audits.</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 by us or by others.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recreational or medical-use consumers elect to produce cannabis for their own purposes, it could reduce the addressable market for a potential target cannabis company’s products.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Cannabis regulations may permit the end user to produce cannabis for their own purposes. For example, under cannabis regulations in Canada, three options are available for an individual to obtain cannabis for medical purposes: (i) registering with a holder of a license to sell for medical purposes and purchasing products from that entity; (ii) register with Health Canada to produce a limited amount of cannabis for their own medical purposes; or (iii) designate someone else to produce cannabis for them. It is possible that the ability of an end user to produce cannabis for their own purposes, such as under (ii) and (iii) above, could significantly reduce the addressable market for a potential target cannabis company’s products and could materially and adversely affect the business, financial condition and results of operations of a potential target cannabis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faces significant opposition, and any negative trends may adversely affect our business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Large, well-funded industries that perceive cannabis products and services as competitive with their own, including but not limited to the pharmaceutical industry, adult beverage industry and tobacco industry, all of which are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Competition from synthetic products may adversely affect the business, financial condition or results of operations of a potential target cannabis company.</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potential target cannabis company to secure long-term profitability and success through the sustainable and profitable operation of the anticipated businesses and investment targets, and could have a material adverse effect on a potential target cannabis company’s business, financial condition or results of operations.</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An initial surge in demand for cannabis may result in supply shortages in the short term, while in the longer term, supply of cannabis could exceed demand, which may cause a fluctuation in revenue.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Consumer preferences may change, and the potential target business may be unsuccessful in acquiring or retaining consumers and keeping pace with changing market developments.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a result of changing consumer preferences, many consumer products attain financial success for a limited period of time. Even if a potential target’s products find success at retail, there can be no assurance that such products will continue to be profitable. A potential target’s success will be significantly dependent upon its ability to develop new and improved product lines and adapt to consumer preferences. Even if a potential target business is successful in introducing new products or developing its current products, a failure to gain consumer acceptance or to update products could cause a decline in the products’ popularity and impair the brands. In addition, a potential target business may be required to invest significant capital in the creation of new product lines, strains, brands, marketing campaigns, packaging and other product features-none of which are guaranteed to be successful. Failure to introduce new features and product lines and to achieve and sustain market acceptance could result in the potential target business being unable to satisfy consumer preferences and generate revenue.</w:t>
      </w:r>
    </w:p>
    <w:p>
      <w:pPr>
        <w:spacing w:after="0" w:line="1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 potential target’s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potential target business may not be successful in developing effective and safe new products, anticipating shifts in social trends and consumer demands, bringing such products to market in time to be effectively commercialized, or obtaining any required regulatory approvals, which, together with any capital expenditures made in the course of such product development and regulatory approval processes. A potential target’s failure to acquire and retain consumers could have a material adverse effect on the potential target business.</w:t>
      </w:r>
    </w:p>
    <w:p>
      <w:pPr>
        <w:spacing w:after="0" w:line="16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addition, the patterns of cannabis consumption may shift over time due to a variety of factors, including changes in demographics, social trends, public health polices and other leisure or consumption behaviors. If consumer preferences for a potential target's products or cannabis products in general do not develop, or if once developed, they were to move away from its products or cannabis products in general, or if a potential target business is unable to anticipate and respond effectively to shifts in consumer behaviors, it may be adversely affected.</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is highly competitive and evolving.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 have longer operating histories, significantly greater financial, marketing or other resources and larger client bases than we will, and there can be no assurance that we will be able to successfully compete against these or other competitors. Additionally, because the cannabis industry is at an early stage, a potential target cannabis company may face additional competition from new entrants, including as a result of an increased number of licenses granted under any applicable regulatory regime.</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target business may require a continued high level of investment in research and development, marketing, sales and client support. However, a potential target business may not have sufficient resources to maintain research and development, marketing, sales and client support efforts on a competitive basis, which could materially and adversely affect the business, financial condition and results of operations of the Company. Additionally, as new technologies related to the cultivation, processing, manufacturing and research and development of cannabis are being explored, there is potential for third party competitors to be in possession of superior technology that would reduce any relative competitiveness a potential business target may have.</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the legal landscape for cannabis continues to evolve, it is possible that the cannabis industry will undergo consolidation, creating larger companies with greater financial resources, manufacturing and marketing capabilities and product offerings.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Given the rapid changes affecting the global, national, and regional economies generally and the cannabis industry, in particular, we may not be able to create and maintain a competitive advantage in the marketplace.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success will depend on our ability to keep pace with any changes in our markets, particularly, legal and regulatory changes. For example, it is likely that we, and our competitors, will seek to introduce new products in the future.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technologies, process and formulations a target company uses may face competition or become obsolete.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potential business target’s products obsolete, less competitive or less marketable. The process of developing their products is complex and requires significant continuing costs, development efforts and third party commitments, including licensees, researchers, collaborators and lenders. A target company's failure to develop new technologies and products and the obsolescence of existing technologies or processes could adversely affect its business, financial condition and results of operations. A target company may be unable to anticipate changes in its potential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potential target company may not be successful in using its new technologies or exploiting its niche markets effectively or adapting its business to evolving customer or medical requirements or preferences or emerging industry standards.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uncertainty in pricing and demand for cannabis-based products.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anticipated pricing of cannabis products may differ substantially from current levels given changes in the competitive and regulatory landscape. The potential target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potential target cannabis company will be successful in creating and maintaining consumer demand and estimated pricing levels. To do this, the potential target company may be dependent upon, among other things, continually producing desirable and effective cannabis and cannabis-related products and the continued growth in the aggregate number of cannabis consumers. Campaigns designed to enhance the potential target company’s brand and attract consumers, subject to restrictions imposed by law, can be expensive and may not result in increased sales. If the potential target company is unable to attract new consumers, it may not be able to increase its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potential target company may have difficulty in forecasting sales and other business metrics.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potential target cannabis business may rely largely on its own market research to forecast sales as detailed forecasts are not generally obtainable from other sources at this early stage of the cannabis industry. If the potential target business underestimates the demand for its products, it may not be able to produce products that meet its stringent requirements, and this could result in delays in the shipment of products and failure to satisfy demand, as well as damage to reputation and partner relationships. If the potential target business overestimates the demand for its products, it could face inventory levels in excess of demand, which could result in inventory write-downs or write-offs and the sale of excess inventory at discounted prices, which would harm the potential target’s gross margins and brand management efforts.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Due to the nascent nature of the market, it could be difficult for the potential target to forecast demand. In particular, it could be difficult to forecast the rate of the illicit cannabis market crossing over to the legal market. If the market does not develop as the potential target business expects, it could have a material adverse effect on its business, results of operations and financial condition. In addition to inherent risks and difficulties forecasting sales, anticipated costs and yields are also challenging to predict with certainty as the cannabis industry is in its relative infancy and rapidly evolving. If we make capital investments based on flawed sales, costs and yields forecasts, the potential target business may not achieve its expected, or any, return on invested capital. Failure to realize forecasted sales, costs and yields could have a material adverse effect on the potential target's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customers may have difficulty accessing the service of banks, which may make it difficult to sell products and services.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development and operation of businesses in the cannabis industry may require additional financing, which may not be available on favorable terms, if at all.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Due to the growth in the cannabis industry, the continued development and operation of businesses in the cannabis industry may require additional financing. The failure to raise such capital could result in the delay or indefinite</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spacing w:after="0" w:line="16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the cannabis industry more generally, may receive unfavorable publicity or become subject to negative consumer or investor perception.</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publicity could arise even if the adverse effects associated with cannabis products resulted from consumers’ failure to use such products legally, appropriately or as directed.</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Third parties with whom we do business may perceive themselves as being exposed to reputational risk by virtue of their relationship with us and may ultimately elect not to do business with us.</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ability to do business may be negatively impacted by the improper conduct of our business partners, employees or agents.</w:t>
      </w:r>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regulatory, legal or reputational risk associated with potential misuse of our products by our customers.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cannot provide assurance that our customers will always use our products in the manner in which we intend. Any misuse of our products by our customers could lead to substantial civil and criminal monetary and non-monetary penalties, and could cause us to incur significant legal and investigatory fees.</w:t>
      </w:r>
    </w:p>
    <w:p>
      <w:pPr>
        <w:spacing w:after="0" w:line="12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A potential target company may not succeed in promoting and sustaining its brands, which could have an adverse effect on its future growth and business.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 critical component of a potential target company’s future growth is its ability to promote and sustain its brands, often achieved by providing a high-quality user experience. An important element of a target company’s brand promotion strategy is establishing a relationship of trust with its consumers. In order to provide a high-quality user experience, a potential target company may need to have invested and continue to invest substantial resources in the development of products, infrastructure, fulfilment and customer service operations. Campaigns designed to enhance a potential target company’s brand and attract consumers, subject to restrictions imposed by law, can be expensive and may not result in increased sales. If a potential target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potential target company’s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events or developments in the cannabis industry more generally may impact our reputation.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service providers and customers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ultimately have direct control over how we or the cannabis industry is perceived by others. Reputational issues may result in decreased investor confidence, increased challenges in developing and maintaining community</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relations and present an impediment to our overall ability to advance our business strategy and realize on our growth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is subject to the risks inherent in an agricultural business, including the risk of crop failure.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 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potential target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is subject to transportation disruptions, including those related to an agricultural product.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business revolving mainly around the growth of an agricultural product, the ability to obtain speedy, cost-effective and efficient transport services will be essential to the prolonged operations of a potential target cannabis company’s business. Should such transportation become unavailable for prolonged periods of time, it could have a material adverse effect on the potential target company’s business, financial condition and results of operations.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Due to the nature of a potential target cannabis company’s products, security of the product during transportation to and from its facilities may be important. A breach of security during transport or delivery could have a material adverse effect on a potential target company’s business, financial condition and results of operations. Any breach of the security measures during transport or delivery, including any failure to comply with recommendations or requirements of regulatory authorities, could also have an impact on the potential target company’s ability to continue operating under its license or the prospect of renewing its licenses.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cannabis businesses are subject to significant environmental regulations and risks.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potential target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cannabis businesses are dependent on key personnel with sufficient experience in the cannabis industry.</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a limited number of management teams in the cannabis industry that are familiar with U.S. securities laws.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There are a limited number of management teams in the cannabis industry that have U.S. public company experience. As a result, management of a target cannabis business,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continuously maintain and retain a competitive talent pool with public company standards.</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As a target company grows, it may need to hire additional human resources to continue to develop its businesses.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Without adequate personnel and expertise, the growth of the business may suffer. There can be no assurance that a target company will be able to identify, attract, hire and retain qualified personnel and expertise in the future, and any failure to do so could have a material adverse effect on the business,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potential target company may be dependent on skilled labor and suppliers.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ability of a potential target business to compete and grow will be dependent on it having access, at a reasonable cost and in a timely manner, to skilled labor, equipment, parts and components. No assurances can be given that the potential target business will be successful in maintaining its required supply of skilled labor, equipment, parts and components. Qualified individuals are in high demand, and the potential target business may incur significant costs to attract and retain them. It is also possible that the final costs of the major equipment and materials, including packaging materials, contemplated by the potential target's capital expenditure program may be significantly greater than anticipated by the potential target's management, and may be greater than funds available to the potential target business, in which circumstance the potential target business may curtail, or extend the timeframes for completing, its capital expenditure plans. This could have a material adverse effect on the potential target's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Fraudulent or illegal activity by employees, contractors and consultants may adversely affect our business, financial condition or results of operations.</w:t>
      </w:r>
    </w:p>
    <w:p>
      <w:pPr>
        <w:spacing w:after="0" w:line="26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w:t>
      </w:r>
    </w:p>
    <w:p>
      <w:pPr>
        <w:ind w:right="40" w:firstLine="8"/>
        <w:spacing w:after="0" w:line="268" w:lineRule="auto"/>
        <w:tabs>
          <w:tab w:leader="none" w:pos="2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potential target cannabis company may be reliant on key inputs and may not be able to realize its cannabis production or capacity targets. The price of production of cannabis will also vary based on a number of factors outside of our control.</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potential target cannabis company’s ability to produce and process cannabis, and the price of production, may be affected by a number of factors, including available space, raw materials, plant design errors, non-performance by third 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potential target company. Some of these inputs</w:t>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may only be available from a single supplier or a limited group of suppliers, including access to the electricity grid. If a sole source supplier was to go out of business, the target company might be unable to find a replacement for such source in a timely manner or at all. If a sole source supplier were to be acquired by a competitor, that competitor may elect not to sell to the potential target company in the future. Any inability to secure required supplies and services or to do so on appropriate terms could have a materially adverse impact on the business, financial condition, results of operations and prospects of such businesses.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potential target company may be vulnerable to rising energy costs.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Cannabis growing operations consume considerable energy, which makes a potential target cannabis company vulnerable to rising energy costs and/or the availability of stable energy sources. Accordingly, rising or volatile energy costs or the inability to access stable energy sources may have a material adverse effect on the potential target company’s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extent we acquire cannabis businesses or assets, there may be a lack of access to U.S. bankruptcy protections.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Because cannabis is illegal under U.S. federal law, many courts have denied cannabis businesses bankruptcy protections, thus making it very difficult for lenders to recoup their investments in the cannabis industry in the event of a bankruptcy. If a company we acquire as part of a qualifying transaction were to experience a bankruptcy, there is no guarantee that U.S. federal bankruptcy protections would be available, which could have a material adverse effect on the financial condition and prospects of such business and on the rights of its lenders and security holders.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Some statements contained in this prospectus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7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 business in the cannabis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offering 25,000,000 units at an offering price of $10.00 per unit. We estimate that the net proceeds of this offering together with the funds we will receive from the sale of the private placement warrants will be used as set forth in the following table.</w:t>
      </w:r>
    </w:p>
    <w:p>
      <w:pPr>
        <w:sectPr>
          <w:pgSz w:w="11900" w:h="16838" w:orient="portrait"/>
          <w:cols w:equalWidth="0" w:num="1">
            <w:col w:w="11400"/>
          </w:cols>
          <w:pgMar w:left="240" w:top="229" w:right="25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Without Over-</w:t>
            </w:r>
          </w:p>
        </w:tc>
        <w:tc>
          <w:tcPr>
            <w:tcW w:w="0" w:type="dxa"/>
            <w:vAlign w:val="bottom"/>
          </w:tcPr>
          <w:p>
            <w:pPr>
              <w:spacing w:after="0"/>
              <w:rPr>
                <w:sz w:val="1"/>
                <w:szCs w:val="1"/>
                <w:color w:val="auto"/>
              </w:rPr>
            </w:pPr>
          </w:p>
        </w:tc>
      </w:tr>
      <w:tr>
        <w:trPr>
          <w:trHeight w:val="234"/>
        </w:trPr>
        <w:tc>
          <w:tcPr>
            <w:tcW w:w="8040" w:type="dxa"/>
            <w:vAlign w:val="bottom"/>
            <w:vMerge w:val="restart"/>
          </w:tcPr>
          <w:p>
            <w:pPr>
              <w:spacing w:after="0"/>
              <w:rPr>
                <w:sz w:val="20"/>
                <w:szCs w:val="20"/>
                <w:color w:val="auto"/>
              </w:rPr>
            </w:pPr>
            <w:r>
              <w:rPr>
                <w:rFonts w:ascii="Arial" w:cs="Arial" w:eastAsia="Arial" w:hAnsi="Arial"/>
                <w:sz w:val="18"/>
                <w:szCs w:val="18"/>
                <w:i w:val="1"/>
                <w:iCs w:val="1"/>
                <w:color w:val="auto"/>
              </w:rPr>
              <w:t>Gross proceeds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Allotment Option</w:t>
            </w:r>
          </w:p>
        </w:tc>
        <w:tc>
          <w:tcPr>
            <w:tcW w:w="0" w:type="dxa"/>
            <w:vAlign w:val="bottom"/>
          </w:tcPr>
          <w:p>
            <w:pPr>
              <w:spacing w:after="0"/>
              <w:rPr>
                <w:sz w:val="1"/>
                <w:szCs w:val="1"/>
                <w:color w:val="auto"/>
              </w:rPr>
            </w:pPr>
          </w:p>
        </w:tc>
      </w:tr>
      <w:tr>
        <w:trPr>
          <w:trHeight w:val="199"/>
        </w:trPr>
        <w:tc>
          <w:tcPr>
            <w:tcW w:w="80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040" w:type="dxa"/>
            <w:vAlign w:val="bottom"/>
          </w:tcPr>
          <w:p>
            <w:pPr>
              <w:spacing w:after="0" w:line="253"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9"/>
                <w:szCs w:val="29"/>
                <w:color w:val="auto"/>
                <w:vertAlign w:val="superscript"/>
              </w:rPr>
              <w:t>(1)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44"/>
        </w:trPr>
        <w:tc>
          <w:tcPr>
            <w:tcW w:w="8040" w:type="dxa"/>
            <w:vAlign w:val="bottom"/>
          </w:tcPr>
          <w:p>
            <w:pPr>
              <w:spacing w:after="0"/>
              <w:rPr>
                <w:sz w:val="20"/>
                <w:szCs w:val="20"/>
                <w:color w:val="auto"/>
              </w:rPr>
            </w:pPr>
            <w:r>
              <w:rPr>
                <w:rFonts w:ascii="Arial" w:cs="Arial" w:eastAsia="Arial" w:hAnsi="Arial"/>
                <w:sz w:val="18"/>
                <w:szCs w:val="18"/>
                <w:color w:val="auto"/>
              </w:rPr>
              <w:t>Gross proceeds from private placement warrants offered in the private placement</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8"/>
                <w:szCs w:val="18"/>
                <w:color w:val="auto"/>
              </w:rPr>
              <w:t>Total gross proceeds</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257,000,000</w:t>
            </w:r>
          </w:p>
        </w:tc>
        <w:tc>
          <w:tcPr>
            <w:tcW w:w="0" w:type="dxa"/>
            <w:vAlign w:val="bottom"/>
          </w:tcPr>
          <w:p>
            <w:pPr>
              <w:spacing w:after="0"/>
              <w:rPr>
                <w:sz w:val="1"/>
                <w:szCs w:val="1"/>
                <w:color w:val="auto"/>
              </w:rPr>
            </w:pPr>
          </w:p>
        </w:tc>
      </w:tr>
      <w:tr>
        <w:trPr>
          <w:trHeight w:val="222"/>
        </w:trPr>
        <w:tc>
          <w:tcPr>
            <w:tcW w:w="8040" w:type="dxa"/>
            <w:vAlign w:val="bottom"/>
          </w:tcPr>
          <w:p>
            <w:pPr>
              <w:spacing w:after="0" w:line="222" w:lineRule="exact"/>
              <w:rPr>
                <w:sz w:val="20"/>
                <w:szCs w:val="20"/>
                <w:color w:val="auto"/>
              </w:rPr>
            </w:pPr>
            <w:r>
              <w:rPr>
                <w:rFonts w:ascii="Arial" w:cs="Arial" w:eastAsia="Arial" w:hAnsi="Arial"/>
                <w:sz w:val="16"/>
                <w:szCs w:val="16"/>
                <w:i w:val="1"/>
                <w:iCs w:val="1"/>
                <w:color w:val="auto"/>
              </w:rPr>
              <w:t>Estimated offering expenses</w:t>
            </w:r>
            <w:r>
              <w:rPr>
                <w:rFonts w:ascii="Arial" w:cs="Arial" w:eastAsia="Arial" w:hAnsi="Arial"/>
                <w:sz w:val="25"/>
                <w:szCs w:val="25"/>
                <w:i w:val="1"/>
                <w:iCs w:val="1"/>
                <w:color w:val="auto"/>
                <w:vertAlign w:val="superscript"/>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40" w:type="dxa"/>
            <w:vAlign w:val="bottom"/>
          </w:tcPr>
          <w:p>
            <w:pPr>
              <w:spacing w:after="0"/>
              <w:rPr>
                <w:sz w:val="20"/>
                <w:szCs w:val="20"/>
                <w:color w:val="auto"/>
              </w:rPr>
            </w:pPr>
            <w:r>
              <w:rPr>
                <w:rFonts w:ascii="Arial" w:cs="Arial" w:eastAsia="Arial" w:hAnsi="Arial"/>
                <w:sz w:val="18"/>
                <w:szCs w:val="18"/>
                <w:color w:val="auto"/>
                <w:w w:val="94"/>
              </w:rPr>
              <w:t>Underwriting commissions (2.0% of gross proceeds from units offered to public, excluding deferred portion)</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7"/>
        </w:trPr>
        <w:tc>
          <w:tcPr>
            <w:tcW w:w="8040" w:type="dxa"/>
            <w:vAlign w:val="bottom"/>
          </w:tcPr>
          <w:p>
            <w:pPr>
              <w:spacing w:after="0"/>
              <w:rPr>
                <w:sz w:val="20"/>
                <w:szCs w:val="20"/>
                <w:color w:val="auto"/>
              </w:rPr>
            </w:pPr>
            <w:r>
              <w:rPr>
                <w:rFonts w:ascii="Arial" w:cs="Arial" w:eastAsia="Arial" w:hAnsi="Arial"/>
                <w:sz w:val="15"/>
                <w:szCs w:val="15"/>
                <w:color w:val="auto"/>
              </w:rPr>
              <w:t>(3)</w:t>
            </w:r>
          </w:p>
        </w:tc>
        <w:tc>
          <w:tcPr>
            <w:tcW w:w="12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040" w:type="dxa"/>
            <w:vAlign w:val="bottom"/>
          </w:tcPr>
          <w:p>
            <w:pPr>
              <w:spacing w:after="0" w:line="195" w:lineRule="exact"/>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SEC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34,845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FINRA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43,625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Travel and road show</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3"/>
        </w:trPr>
        <w:tc>
          <w:tcPr>
            <w:tcW w:w="8040" w:type="dxa"/>
            <w:vAlign w:val="bottom"/>
          </w:tcPr>
          <w:p>
            <w:pPr>
              <w:spacing w:after="0"/>
              <w:rPr>
                <w:sz w:val="20"/>
                <w:szCs w:val="20"/>
                <w:color w:val="auto"/>
              </w:rPr>
            </w:pPr>
            <w:r>
              <w:rPr>
                <w:rFonts w:ascii="Arial" w:cs="Arial" w:eastAsia="Arial" w:hAnsi="Arial"/>
                <w:sz w:val="18"/>
                <w:szCs w:val="18"/>
                <w:color w:val="auto"/>
              </w:rPr>
              <w:t>Nasdaq listing and filing fees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7"/>
        </w:trPr>
        <w:tc>
          <w:tcPr>
            <w:tcW w:w="8040" w:type="dxa"/>
            <w:vAlign w:val="bottom"/>
          </w:tcPr>
          <w:p>
            <w:pPr>
              <w:spacing w:after="0" w:line="266" w:lineRule="exact"/>
              <w:rPr>
                <w:sz w:val="20"/>
                <w:szCs w:val="20"/>
                <w:color w:val="auto"/>
              </w:rPr>
            </w:pPr>
            <w:r>
              <w:rPr>
                <w:rFonts w:ascii="Arial" w:cs="Arial" w:eastAsia="Arial" w:hAnsi="Arial"/>
                <w:sz w:val="18"/>
                <w:szCs w:val="18"/>
                <w:color w:val="auto"/>
              </w:rPr>
              <w:t>Miscellaneous expenses</w:t>
            </w:r>
            <w:r>
              <w:rPr>
                <w:rFonts w:ascii="Arial" w:cs="Arial" w:eastAsia="Arial" w:hAnsi="Arial"/>
                <w:sz w:val="30"/>
                <w:szCs w:val="30"/>
                <w:color w:val="auto"/>
                <w:vertAlign w:val="superscript"/>
              </w:rPr>
              <w:t>(4)</w:t>
            </w:r>
          </w:p>
        </w:tc>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244,030</w:t>
            </w:r>
          </w:p>
        </w:tc>
        <w:tc>
          <w:tcPr>
            <w:tcW w:w="0" w:type="dxa"/>
            <w:vAlign w:val="bottom"/>
          </w:tcPr>
          <w:p>
            <w:pPr>
              <w:spacing w:after="0"/>
              <w:rPr>
                <w:sz w:val="1"/>
                <w:szCs w:val="1"/>
                <w:color w:val="auto"/>
              </w:rPr>
            </w:pPr>
          </w:p>
        </w:tc>
      </w:tr>
      <w:tr>
        <w:trPr>
          <w:trHeight w:val="195"/>
        </w:trPr>
        <w:tc>
          <w:tcPr>
            <w:tcW w:w="8040" w:type="dxa"/>
            <w:vAlign w:val="bottom"/>
          </w:tcPr>
          <w:p>
            <w:pPr>
              <w:spacing w:after="0" w:line="195" w:lineRule="exact"/>
              <w:rPr>
                <w:sz w:val="20"/>
                <w:szCs w:val="20"/>
                <w:color w:val="auto"/>
              </w:rPr>
            </w:pPr>
            <w:r>
              <w:rPr>
                <w:rFonts w:ascii="Arial" w:cs="Arial" w:eastAsia="Arial" w:hAnsi="Arial"/>
                <w:sz w:val="18"/>
                <w:szCs w:val="18"/>
                <w:color w:val="auto"/>
              </w:rPr>
              <w:t>Total estimated offering expenses (other than underwriting commissions)</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4"/>
        </w:trPr>
        <w:tc>
          <w:tcPr>
            <w:tcW w:w="804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251,000,000</w:t>
            </w:r>
          </w:p>
        </w:tc>
        <w:tc>
          <w:tcPr>
            <w:tcW w:w="0" w:type="dxa"/>
            <w:vAlign w:val="bottom"/>
          </w:tcPr>
          <w:p>
            <w:pPr>
              <w:spacing w:after="0"/>
              <w:rPr>
                <w:sz w:val="1"/>
                <w:szCs w:val="1"/>
                <w:color w:val="auto"/>
              </w:rPr>
            </w:pPr>
          </w:p>
        </w:tc>
      </w:tr>
      <w:tr>
        <w:trPr>
          <w:trHeight w:val="222"/>
        </w:trPr>
        <w:tc>
          <w:tcPr>
            <w:tcW w:w="8040" w:type="dxa"/>
            <w:vAlign w:val="bottom"/>
          </w:tcPr>
          <w:p>
            <w:pPr>
              <w:spacing w:after="0" w:line="222" w:lineRule="exact"/>
              <w:rPr>
                <w:sz w:val="20"/>
                <w:szCs w:val="20"/>
                <w:color w:val="auto"/>
              </w:rPr>
            </w:pPr>
            <w:r>
              <w:rPr>
                <w:rFonts w:ascii="Arial" w:cs="Arial" w:eastAsia="Arial" w:hAnsi="Arial"/>
                <w:sz w:val="16"/>
                <w:szCs w:val="16"/>
                <w:color w:val="auto"/>
              </w:rPr>
              <w:t>Held in trust account</w:t>
            </w:r>
            <w:r>
              <w:rPr>
                <w:rFonts w:ascii="Arial" w:cs="Arial" w:eastAsia="Arial" w:hAnsi="Arial"/>
                <w:sz w:val="25"/>
                <w:szCs w:val="25"/>
                <w:color w:val="auto"/>
                <w:vertAlign w:val="superscript"/>
              </w:rPr>
              <w:t>(3)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20"/>
        </w:trPr>
        <w:tc>
          <w:tcPr>
            <w:tcW w:w="804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90"/>
        </w:trPr>
        <w:tc>
          <w:tcPr>
            <w:tcW w:w="8040" w:type="dxa"/>
            <w:vAlign w:val="bottom"/>
          </w:tcPr>
          <w:p>
            <w:pPr>
              <w:spacing w:after="0"/>
              <w:rPr>
                <w:sz w:val="20"/>
                <w:szCs w:val="20"/>
                <w:color w:val="auto"/>
              </w:rPr>
            </w:pPr>
            <w:r>
              <w:rPr>
                <w:rFonts w:ascii="Arial" w:cs="Arial" w:eastAsia="Arial" w:hAnsi="Arial"/>
                <w:sz w:val="18"/>
                <w:szCs w:val="18"/>
                <w:color w:val="auto"/>
              </w:rPr>
              <w:t>Not held in trust account</w:t>
            </w:r>
            <w:r>
              <w:rPr>
                <w:rFonts w:ascii="Arial" w:cs="Arial" w:eastAsia="Arial" w:hAnsi="Arial"/>
                <w:sz w:val="30"/>
                <w:szCs w:val="30"/>
                <w:color w:val="auto"/>
                <w:vertAlign w:val="superscript"/>
              </w:rPr>
              <w:t>(2)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-2839085</wp:posOffset>
            </wp:positionV>
            <wp:extent cx="72466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-1826895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-1552575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-1278255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-995045</wp:posOffset>
            </wp:positionV>
            <wp:extent cx="72466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72466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-2110105</wp:posOffset>
            </wp:positionV>
            <wp:extent cx="72466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-2546985</wp:posOffset>
            </wp:positionV>
            <wp:extent cx="724662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-3147695</wp:posOffset>
            </wp:positionV>
            <wp:extent cx="72466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30"/>
          <w:szCs w:val="30"/>
          <w:color w:val="auto"/>
          <w:vertAlign w:val="superscript"/>
        </w:rPr>
        <w:t>(5)</w:t>
      </w:r>
      <w:r>
        <w:rPr>
          <w:rFonts w:ascii="Arial" w:cs="Arial" w:eastAsia="Arial" w:hAnsi="Arial"/>
          <w:sz w:val="18"/>
          <w:szCs w:val="18"/>
          <w:color w:val="auto"/>
        </w:rPr>
        <w: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vMerge w:val="restart"/>
          </w:tcPr>
          <w:p>
            <w:pPr>
              <w:spacing w:after="0"/>
              <w:rPr>
                <w:sz w:val="20"/>
                <w:szCs w:val="20"/>
                <w:color w:val="auto"/>
              </w:rPr>
            </w:pPr>
            <w:r>
              <w:rPr>
                <w:rFonts w:ascii="Arial" w:cs="Arial" w:eastAsia="Arial" w:hAnsi="Arial"/>
                <w:sz w:val="18"/>
                <w:szCs w:val="18"/>
                <w:color w:val="auto"/>
                <w:w w:val="93"/>
              </w:rPr>
              <w:t>Legal, accounting, due diligence, travel and other expenses in connection with any business combination</w:t>
            </w:r>
            <w:r>
              <w:rPr>
                <w:rFonts w:ascii="Arial" w:cs="Arial" w:eastAsia="Arial" w:hAnsi="Arial"/>
                <w:sz w:val="30"/>
                <w:szCs w:val="30"/>
                <w:color w:val="auto"/>
                <w:w w:val="93"/>
                <w:vertAlign w:val="superscript"/>
              </w:rPr>
              <w:t>(6)</w:t>
            </w:r>
          </w:p>
        </w:tc>
        <w:tc>
          <w:tcPr>
            <w:tcW w:w="56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42"/>
        </w:trPr>
        <w:tc>
          <w:tcPr>
            <w:tcW w:w="8040" w:type="dxa"/>
            <w:vAlign w:val="bottom"/>
            <w:vMerge w:val="continue"/>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Reserve for liquidation expenses</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0"/>
        </w:trPr>
        <w:tc>
          <w:tcPr>
            <w:tcW w:w="8040" w:type="dxa"/>
            <w:vAlign w:val="bottom"/>
          </w:tcPr>
          <w:p>
            <w:pPr>
              <w:spacing w:after="0"/>
              <w:rPr>
                <w:sz w:val="20"/>
                <w:szCs w:val="20"/>
                <w:color w:val="auto"/>
              </w:rPr>
            </w:pPr>
            <w:r>
              <w:rPr>
                <w:rFonts w:ascii="Arial" w:cs="Arial" w:eastAsia="Arial" w:hAnsi="Arial"/>
                <w:sz w:val="18"/>
                <w:szCs w:val="18"/>
                <w:color w:val="auto"/>
              </w:rPr>
              <w:t>Nasdaq continued listing fees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6"/>
        </w:trPr>
        <w:tc>
          <w:tcPr>
            <w:tcW w:w="8040" w:type="dxa"/>
            <w:vAlign w:val="bottom"/>
          </w:tcPr>
          <w:p>
            <w:pPr>
              <w:spacing w:after="0" w:line="266" w:lineRule="exact"/>
              <w:rPr>
                <w:sz w:val="20"/>
                <w:szCs w:val="20"/>
                <w:color w:val="auto"/>
              </w:rPr>
            </w:pPr>
            <w:r>
              <w:rPr>
                <w:rFonts w:ascii="Arial" w:cs="Arial" w:eastAsia="Arial" w:hAnsi="Arial"/>
                <w:sz w:val="18"/>
                <w:szCs w:val="18"/>
                <w:color w:val="auto"/>
              </w:rPr>
              <w:t>Other miscellaneous expenses, including overhead</w:t>
            </w:r>
            <w:r>
              <w:rPr>
                <w:rFonts w:ascii="Arial" w:cs="Arial" w:eastAsia="Arial" w:hAnsi="Arial"/>
                <w:sz w:val="30"/>
                <w:szCs w:val="30"/>
                <w:color w:val="auto"/>
                <w:vertAlign w:val="superscript"/>
              </w:rPr>
              <w:t>(7)</w:t>
            </w:r>
          </w:p>
        </w:tc>
        <w:tc>
          <w:tcPr>
            <w:tcW w:w="5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44"/>
        </w:trPr>
        <w:tc>
          <w:tcPr>
            <w:tcW w:w="804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3346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60" w:right="140" w:firstLine="59"/>
        <w:spacing w:after="0" w:line="347" w:lineRule="auto"/>
        <w:rPr>
          <w:sz w:val="20"/>
          <w:szCs w:val="20"/>
          <w:color w:val="auto"/>
        </w:rPr>
      </w:pPr>
      <w:r>
        <w:rPr>
          <w:rFonts w:ascii="Arial" w:cs="Arial" w:eastAsia="Arial" w:hAnsi="Arial"/>
          <w:sz w:val="16"/>
          <w:szCs w:val="16"/>
          <w:b w:val="1"/>
          <w:bCs w:val="1"/>
          <w:color w:val="auto"/>
        </w:rPr>
        <w:t>Over-Allotment Option Exercised</w:t>
      </w:r>
    </w:p>
    <w:p>
      <w:pPr>
        <w:spacing w:after="0" w:line="174" w:lineRule="exact"/>
        <w:rPr>
          <w:sz w:val="20"/>
          <w:szCs w:val="20"/>
          <w:color w:val="auto"/>
        </w:rPr>
      </w:pPr>
    </w:p>
    <w:p>
      <w:pPr>
        <w:ind w:left="580" w:hanging="574"/>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287,500,000</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7,750,000</w:t>
      </w:r>
    </w:p>
    <w:p>
      <w:pPr>
        <w:spacing w:after="0" w:line="23" w:lineRule="exact"/>
        <w:rPr>
          <w:sz w:val="20"/>
          <w:szCs w:val="20"/>
          <w:color w:val="auto"/>
        </w:rPr>
      </w:pPr>
    </w:p>
    <w:p>
      <w:pPr>
        <w:ind w:left="580" w:hanging="574"/>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295,250,000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0375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60" w:hanging="75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5,750,000</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400,000</w:t>
      </w:r>
    </w:p>
    <w:p>
      <w:pPr>
        <w:spacing w:after="0" w:line="2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42,500</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20,000</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34,845</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43,625</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40,000</w:t>
      </w:r>
    </w:p>
    <w:p>
      <w:pPr>
        <w:spacing w:after="0" w:line="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100,000</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75,000</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244,030</w:t>
      </w:r>
    </w:p>
    <w:p>
      <w:pPr>
        <w:spacing w:after="0" w:line="23" w:lineRule="exact"/>
        <w:rPr>
          <w:sz w:val="20"/>
          <w:szCs w:val="20"/>
          <w:color w:val="auto"/>
        </w:rPr>
      </w:pPr>
    </w:p>
    <w:p>
      <w:pPr>
        <w:ind w:left="760" w:hanging="75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0375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 w:lineRule="exact"/>
        <w:rPr>
          <w:sz w:val="20"/>
          <w:szCs w:val="20"/>
          <w:color w:val="auto"/>
        </w:rPr>
      </w:pPr>
    </w:p>
    <w:p>
      <w:pPr>
        <w:ind w:left="580" w:hanging="574"/>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288,500,000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0375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9" w:lineRule="exact"/>
        <w:rPr>
          <w:sz w:val="20"/>
          <w:szCs w:val="20"/>
          <w:color w:val="auto"/>
        </w:rPr>
      </w:pPr>
    </w:p>
    <w:p>
      <w:pPr>
        <w:ind w:left="580" w:hanging="574"/>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287,500,000</w:t>
      </w:r>
    </w:p>
    <w:p>
      <w:pPr>
        <w:spacing w:after="0" w:line="23"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6"/>
          <w:szCs w:val="16"/>
          <w:color w:val="auto"/>
        </w:rPr>
        <w:t>100%</w:t>
      </w:r>
    </w:p>
    <w:p>
      <w:pPr>
        <w:spacing w:after="0" w:line="58" w:lineRule="exact"/>
        <w:rPr>
          <w:sz w:val="20"/>
          <w:szCs w:val="20"/>
          <w:color w:val="auto"/>
        </w:rPr>
      </w:pPr>
    </w:p>
    <w:p>
      <w:pPr>
        <w:ind w:left="760" w:hanging="75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1,000,000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left="700" w:hanging="223"/>
        <w:spacing w:after="0"/>
        <w:tabs>
          <w:tab w:leader="none" w:pos="700"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of Total</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14605</wp:posOffset>
            </wp:positionV>
            <wp:extent cx="9607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31750</wp:posOffset>
            </wp:positionV>
            <wp:extent cx="9607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-130810</wp:posOffset>
            </wp:positionV>
            <wp:extent cx="9607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700" w:space="80"/>
            <w:col w:w="1620"/>
          </w:cols>
          <w:pgMar w:left="240" w:top="229" w:right="25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340" w:right="20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amounts payable to public shareholders who properly redeem their shares in connection with our successful completion of our initial business combination.</w:t>
      </w:r>
    </w:p>
    <w:p>
      <w:pPr>
        <w:spacing w:after="0" w:line="170" w:lineRule="exact"/>
        <w:rPr>
          <w:rFonts w:ascii="Arial" w:cs="Arial" w:eastAsia="Arial" w:hAnsi="Arial"/>
          <w:sz w:val="18"/>
          <w:szCs w:val="18"/>
          <w:color w:val="auto"/>
        </w:rPr>
      </w:pPr>
    </w:p>
    <w:p>
      <w:pPr>
        <w:ind w:left="340" w:right="140" w:hanging="332"/>
        <w:spacing w:after="0" w:line="273"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portion of the offering expenses have been paid from the proceeds of loans from our sponsor of up to $250,000 as described in this prospectus. As of June 30, 2019, we had borrowed $68,625 under the promissory note with our sponsor to be used for a portion of the expenses of this offering. These loans will be repaid upon completion of this offering out of the $1,000,000 of offering proceeds that has been allocated for the payment of offering expenses (other than underwriting commissions) not held in the trust account. These expenses are estimates only.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340" w:right="40" w:hanging="332"/>
        <w:spacing w:after="0" w:line="272"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underwriter has agreed to defer underwriting commissions equal to 3.5% of the gross proceeds of this offering. Upon completion of our initial business combination, $8,750,000 (or up to $10,062,500 if the underwriter’s over-allotment option is exercised in full), which constitutes the underwriter’s deferred commissions, will be paid to the underwriter from the funds held in the trust account, and the remaining funds, less amounts used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 will not be entitled to any interest accrued on the deferred underwriting discounts and commissions.</w:t>
      </w:r>
    </w:p>
    <w:p>
      <w:pPr>
        <w:spacing w:after="0" w:line="177"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organizational and administrative expenses and may include amounts related to above-listed expenses in the event actual amounts exceed estimates.</w:t>
      </w:r>
    </w:p>
    <w:p>
      <w:pPr>
        <w:spacing w:after="0" w:line="170" w:lineRule="exact"/>
        <w:rPr>
          <w:rFonts w:ascii="Arial" w:cs="Arial" w:eastAsia="Arial" w:hAnsi="Arial"/>
          <w:sz w:val="18"/>
          <w:szCs w:val="18"/>
          <w:color w:val="auto"/>
        </w:rPr>
      </w:pPr>
    </w:p>
    <w:p>
      <w:pPr>
        <w:ind w:left="340" w:hanging="332"/>
        <w:spacing w:after="0" w:line="285"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Based on current interest rates, we would expect approximately $3,500,000 to be available to us from interest earned on the funds held in the trust account over the 12 months following the closing of this offering; however, we can provide no assurances regarding this amount. This estimate assumes an interest rate of 1.40% per annum based upon current yields of securities in which the trust account may be invested. 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5" w:lineRule="exact"/>
        <w:rPr>
          <w:rFonts w:ascii="Arial" w:cs="Arial" w:eastAsia="Arial" w:hAnsi="Arial"/>
          <w:sz w:val="16"/>
          <w:szCs w:val="16"/>
          <w:color w:val="auto"/>
        </w:rPr>
      </w:pPr>
    </w:p>
    <w:p>
      <w:pPr>
        <w:ind w:left="340" w:right="28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70" w:lineRule="exact"/>
        <w:rPr>
          <w:rFonts w:ascii="Arial" w:cs="Arial" w:eastAsia="Arial" w:hAnsi="Arial"/>
          <w:sz w:val="18"/>
          <w:szCs w:val="18"/>
          <w:color w:val="auto"/>
        </w:rPr>
      </w:pPr>
    </w:p>
    <w:p>
      <w:pPr>
        <w:ind w:left="340" w:right="28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will enter into an Administrative Services Agreement pursuant to which we will pay our sponsor up to $20,000 per month for office space, administrative and support services. Upon completion of our initial business combination or our liquidation, we will cease paying these monthly fees.</w:t>
      </w:r>
    </w:p>
    <w:p>
      <w:pPr>
        <w:spacing w:after="0" w:line="12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Of the net proceeds of this offering and the sale of the private placement warrants, $250,000,000 (or $287,500,000 if the underwriter’s over-allotment option is exercised in full), including $8,750,000 (or up to $10,062,500 if the underwriter’s over-allotment option is exercised in full) of deferred underwriting commissions, will, upon the consummation of this offering, be placed in a U.S.-based trust account with Continental Stock Transfer &amp; Trust Company acting as trustee. The funds in the trust account will be invested only in U.S. government treasury bills with a maturity of 180 days or less or in money market funds investing solely in U.S. Treasuries and meeting certain conditions under Rule 2a-7 under the Investment Company Act. Based on current interest rates, we estimate that the interest earned on the trust account will be approximately $3,500,000 per year, assuming an interest rate of 1.40% per year. We will not be permitted to withdraw any of the principal or interest held in the trust account except for the withdrawal of interest to pay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business combination activity; and (3) the redemption of our public shares if we are unable to complete our initial business combination within 24 months from the closing of this offering, subject to applicable law. Based on current interest rates, we expect that interest earned on the trust account will be sufficient to pay taxes.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loan funds to, or invest in, us.</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will enter into an Administrative Services Agreement pursuant to which we will pay our sponsor up to $20,000 per month for office space, administrative and support services. Upon completion of our initial business combination or our liquidation, we will cease paying any of these monthly fees.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Prior to the closing of this offering, 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officers, advisors or any of their affiliates may also purchase shares in privately negotiated transactions or in the open market either prior to or following the completion of our initial business combination. Please see “Proposed Business—Permitted purchases of our securities” for a description of how such persons will determine from which shareholders to seek to acquire shares. The price per share paid in any such transaction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 and the agreement for our initial business combination may require as a closing condition that we have a minimum net worth or a certain amount of cash. If too many public shareholders exercise their redemption rights so that we cannot satisfy the net tangible asset requirement or any net worth or cash requirements, we would not proceed with such redemption of our public shares and the related business combination, and we instead may search for an alternate business combination.</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public shareholder will be entitled to receive funds from the trust account only upon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In no other circumstances will a shareholder have any right or interest of any kind to or in the trust account.</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In addition, our initial shareholders have agreed to waive their rights to liquidating distributions from the trust account with respect to their founder shares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issued and outstanding Class A ordinary shares.</w:t>
      </w:r>
    </w:p>
    <w:p>
      <w:pPr>
        <w:spacing w:after="0" w:line="16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At June 30, 2019, our net tangible book value was a deficiency of $295,281, or approximately $(0.04) per ordinary share. After giving effect to the sale of 25,000,000 Class A ordinary shares included in the units we are offering by this prospectus, the sale of the private placement warrants and the deduction of underwriting commissions and estimated expenses of this offering, our pro forma net tangible book value at June 30, 2019 would have been $5,000,010 or $0.66 per share, representing an immediate increase in net tangible book value (as decreased by the value of 23,726,999 Class A ordinary shares that may be redeemed for cash and assuming no exercise of the underwriter’s over-allotment option) of 0.70 per share to our initial shareholders as of the date of this prospectus and an immediate dilution of $9.34 per share or 93.40% to our public shareholders not exercising their redemption rights. The dilution to new investors if the underwriter exercises the over-allotment option in full would be an immediate dilution of $9.42 per share or 94.20%.</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Without Over-</w:t>
            </w:r>
          </w:p>
        </w:tc>
        <w:tc>
          <w:tcPr>
            <w:tcW w:w="22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With Over-</w:t>
            </w: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allotment</w:t>
            </w:r>
          </w:p>
        </w:tc>
        <w:tc>
          <w:tcPr>
            <w:tcW w:w="22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allotment</w:t>
            </w:r>
          </w:p>
        </w:tc>
        <w:tc>
          <w:tcPr>
            <w:tcW w:w="0" w:type="dxa"/>
            <w:vAlign w:val="bottom"/>
          </w:tcPr>
          <w:p>
            <w:pPr>
              <w:spacing w:after="0"/>
              <w:rPr>
                <w:sz w:val="1"/>
                <w:szCs w:val="1"/>
                <w:color w:val="auto"/>
              </w:rPr>
            </w:pPr>
          </w:p>
        </w:tc>
      </w:tr>
      <w:tr>
        <w:trPr>
          <w:trHeight w:val="210"/>
        </w:trPr>
        <w:tc>
          <w:tcPr>
            <w:tcW w:w="82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8280" w:type="dxa"/>
            <w:vAlign w:val="bottom"/>
            <w:shd w:val="clear" w:color="auto" w:fill="D5EAEA"/>
          </w:tcPr>
          <w:p>
            <w:pPr>
              <w:spacing w:after="0"/>
              <w:rPr>
                <w:sz w:val="20"/>
                <w:szCs w:val="20"/>
                <w:color w:val="auto"/>
              </w:rPr>
            </w:pPr>
            <w:r>
              <w:rPr>
                <w:rFonts w:ascii="Arial" w:cs="Arial" w:eastAsia="Arial" w:hAnsi="Arial"/>
                <w:sz w:val="18"/>
                <w:szCs w:val="18"/>
                <w:color w:val="auto"/>
              </w:rPr>
              <w:t>Increase attributable to public shareholders</w:t>
            </w:r>
          </w:p>
        </w:tc>
        <w:tc>
          <w:tcPr>
            <w:tcW w:w="140" w:type="dxa"/>
            <w:vAlign w:val="bottom"/>
            <w:tcBorders>
              <w:bottom w:val="single" w:sz="8" w:color="auto"/>
            </w:tcBorders>
            <w:shd w:val="clear" w:color="auto" w:fill="D5EAEA"/>
          </w:tcPr>
          <w:p>
            <w:pPr>
              <w:spacing w:after="0"/>
              <w:rPr>
                <w:sz w:val="18"/>
                <w:szCs w:val="18"/>
                <w:color w:val="auto"/>
              </w:rPr>
            </w:pPr>
          </w:p>
        </w:tc>
        <w:tc>
          <w:tcPr>
            <w:tcW w:w="138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D5EAEA"/>
          </w:tcPr>
          <w:p>
            <w:pPr>
              <w:spacing w:after="0"/>
              <w:rPr>
                <w:sz w:val="18"/>
                <w:szCs w:val="18"/>
                <w:color w:val="auto"/>
              </w:rPr>
            </w:pPr>
          </w:p>
        </w:tc>
        <w:tc>
          <w:tcPr>
            <w:tcW w:w="220" w:type="dxa"/>
            <w:vAlign w:val="bottom"/>
            <w:tcBorders>
              <w:bottom w:val="single" w:sz="8" w:color="auto"/>
            </w:tcBorders>
            <w:shd w:val="clear" w:color="auto" w:fill="D5EAEA"/>
          </w:tcPr>
          <w:p>
            <w:pPr>
              <w:spacing w:after="0"/>
              <w:rPr>
                <w:sz w:val="18"/>
                <w:szCs w:val="18"/>
                <w:color w:val="auto"/>
              </w:rPr>
            </w:pPr>
          </w:p>
        </w:tc>
        <w:tc>
          <w:tcPr>
            <w:tcW w:w="130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Pro forma net tangible book value after this offering and the sale of the private placement warrants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D5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Dilution to public shareholders</w:t>
            </w:r>
          </w:p>
        </w:tc>
        <w:tc>
          <w:tcPr>
            <w:tcW w:w="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D5EAEA"/>
            </w:tcBorders>
            <w:shd w:val="clear" w:color="auto" w:fill="D5EAEA"/>
          </w:tcPr>
          <w:p>
            <w:pPr>
              <w:spacing w:after="0"/>
              <w:rPr>
                <w:sz w:val="18"/>
                <w:szCs w:val="18"/>
                <w:color w:val="auto"/>
              </w:rPr>
            </w:pPr>
          </w:p>
        </w:tc>
        <w:tc>
          <w:tcPr>
            <w:tcW w:w="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93.40%</w:t>
            </w:r>
          </w:p>
        </w:tc>
        <w:tc>
          <w:tcPr>
            <w:tcW w:w="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purposes of presentation, we have reduced our pro forma net tangible book value after this offering (assuming no exercise of the underwriter’s over-allotment option) by $237,269,990 because holders of up to approximately 94.9% of our public shares may redeem their shares for a pro rata share of the aggregate amount then on deposit in the trust account at a per-share redemption price equal to the amount in the trust account as set forth in our tender offer or proxy materials (initially anticipated to be the aggregate amount held in trust two days prior to the commencement of our tender offer or shareholders meeting, including interest (which interest shall be net of taxes payable), divided by the number of Class A ordinary shares sold in this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our initial shareholders and the public shareholders: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Average Price per</w:t>
            </w:r>
          </w:p>
        </w:tc>
      </w:tr>
      <w:tr>
        <w:trPr>
          <w:trHeight w:val="234"/>
        </w:trPr>
        <w:tc>
          <w:tcPr>
            <w:tcW w:w="2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20" w:type="dxa"/>
            <w:vAlign w:val="bottom"/>
            <w:gridSpan w:val="4"/>
          </w:tcPr>
          <w:p>
            <w:pPr>
              <w:ind w:left="980"/>
              <w:spacing w:after="0"/>
              <w:rPr>
                <w:sz w:val="20"/>
                <w:szCs w:val="20"/>
                <w:color w:val="auto"/>
              </w:rPr>
            </w:pPr>
            <w:r>
              <w:rPr>
                <w:rFonts w:ascii="Arial" w:cs="Arial" w:eastAsia="Arial" w:hAnsi="Arial"/>
                <w:sz w:val="18"/>
                <w:szCs w:val="18"/>
                <w:b w:val="1"/>
                <w:bCs w:val="1"/>
                <w:color w:val="auto"/>
              </w:rPr>
              <w:t>Shares Purchased</w:t>
            </w:r>
          </w:p>
        </w:tc>
        <w:tc>
          <w:tcPr>
            <w:tcW w:w="300" w:type="dxa"/>
            <w:vAlign w:val="bottom"/>
          </w:tcPr>
          <w:p>
            <w:pPr>
              <w:spacing w:after="0"/>
              <w:rPr>
                <w:sz w:val="20"/>
                <w:szCs w:val="20"/>
                <w:color w:val="auto"/>
              </w:rPr>
            </w:pPr>
          </w:p>
        </w:tc>
        <w:tc>
          <w:tcPr>
            <w:tcW w:w="2260" w:type="dxa"/>
            <w:vAlign w:val="bottom"/>
            <w:gridSpan w:val="3"/>
          </w:tcPr>
          <w:p>
            <w:pPr>
              <w:ind w:left="600"/>
              <w:spacing w:after="0"/>
              <w:rPr>
                <w:sz w:val="20"/>
                <w:szCs w:val="20"/>
                <w:color w:val="auto"/>
              </w:rPr>
            </w:pPr>
            <w:r>
              <w:rPr>
                <w:rFonts w:ascii="Arial" w:cs="Arial" w:eastAsia="Arial" w:hAnsi="Arial"/>
                <w:sz w:val="18"/>
                <w:szCs w:val="18"/>
                <w:b w:val="1"/>
                <w:bCs w:val="1"/>
                <w:color w:val="auto"/>
                <w:w w:val="97"/>
              </w:rPr>
              <w:t>Total Consideration</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Share</w:t>
            </w:r>
          </w:p>
        </w:tc>
      </w:tr>
      <w:tr>
        <w:trPr>
          <w:trHeight w:val="223"/>
        </w:trPr>
        <w:tc>
          <w:tcPr>
            <w:tcW w:w="2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8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Number</w:t>
            </w:r>
          </w:p>
        </w:tc>
        <w:tc>
          <w:tcPr>
            <w:tcW w:w="16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Amount</w:t>
            </w:r>
          </w:p>
        </w:tc>
        <w:tc>
          <w:tcPr>
            <w:tcW w:w="164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37"/>
        </w:trPr>
        <w:tc>
          <w:tcPr>
            <w:tcW w:w="2980" w:type="dxa"/>
            <w:vAlign w:val="bottom"/>
            <w:tcBorders>
              <w:top w:val="single" w:sz="8" w:color="D5EAEA"/>
            </w:tcBorders>
            <w:gridSpan w:val="2"/>
            <w:shd w:val="clear" w:color="auto" w:fill="D5EAEA"/>
          </w:tcPr>
          <w:p>
            <w:pPr>
              <w:spacing w:after="0" w:line="236" w:lineRule="exact"/>
              <w:rPr>
                <w:sz w:val="20"/>
                <w:szCs w:val="20"/>
                <w:color w:val="auto"/>
              </w:rPr>
            </w:pPr>
            <w:r>
              <w:rPr>
                <w:rFonts w:ascii="Arial" w:cs="Arial" w:eastAsia="Arial" w:hAnsi="Arial"/>
                <w:sz w:val="17"/>
                <w:szCs w:val="17"/>
                <w:color w:val="auto"/>
              </w:rPr>
              <w:t>Initial Shareholders</w:t>
            </w:r>
            <w:r>
              <w:rPr>
                <w:rFonts w:ascii="Arial" w:cs="Arial" w:eastAsia="Arial" w:hAnsi="Arial"/>
                <w:sz w:val="27"/>
                <w:szCs w:val="27"/>
                <w:color w:val="auto"/>
                <w:vertAlign w:val="superscript"/>
              </w:rPr>
              <w:t>(1)</w:t>
            </w:r>
          </w:p>
        </w:tc>
        <w:tc>
          <w:tcPr>
            <w:tcW w:w="15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6,250,000</w:t>
            </w:r>
          </w:p>
        </w:tc>
        <w:tc>
          <w:tcPr>
            <w:tcW w:w="100" w:type="dxa"/>
            <w:vAlign w:val="bottom"/>
            <w:tcBorders>
              <w:top w:val="single" w:sz="8" w:color="D5EAEA"/>
            </w:tcBorders>
            <w:shd w:val="clear" w:color="auto" w:fill="D5EAEA"/>
          </w:tcPr>
          <w:p>
            <w:pPr>
              <w:spacing w:after="0"/>
              <w:rPr>
                <w:sz w:val="20"/>
                <w:szCs w:val="20"/>
                <w:color w:val="auto"/>
              </w:rPr>
            </w:pPr>
          </w:p>
        </w:tc>
        <w:tc>
          <w:tcPr>
            <w:tcW w:w="16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D5EAEA"/>
            </w:tcBorders>
            <w:shd w:val="clear" w:color="auto" w:fill="D5EAEA"/>
          </w:tcPr>
          <w:p>
            <w:pPr>
              <w:spacing w:after="0"/>
              <w:rPr>
                <w:sz w:val="20"/>
                <w:szCs w:val="20"/>
                <w:color w:val="auto"/>
              </w:rPr>
            </w:pPr>
          </w:p>
        </w:tc>
        <w:tc>
          <w:tcPr>
            <w:tcW w:w="300" w:type="dxa"/>
            <w:vAlign w:val="bottom"/>
            <w:tcBorders>
              <w:top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D5EAEA"/>
            </w:tcBorders>
            <w:shd w:val="clear" w:color="auto" w:fill="D5EAEA"/>
          </w:tcPr>
          <w:p>
            <w:pPr>
              <w:spacing w:after="0"/>
              <w:rPr>
                <w:sz w:val="20"/>
                <w:szCs w:val="20"/>
                <w:color w:val="auto"/>
              </w:rPr>
            </w:pPr>
          </w:p>
        </w:tc>
        <w:tc>
          <w:tcPr>
            <w:tcW w:w="860" w:type="dxa"/>
            <w:vAlign w:val="bottom"/>
            <w:tcBorders>
              <w:top w:val="single" w:sz="8" w:color="auto"/>
            </w:tcBorders>
            <w:shd w:val="clear" w:color="auto" w:fill="D5EAEA"/>
          </w:tcPr>
          <w:p>
            <w:pPr>
              <w:spacing w:after="0"/>
              <w:rPr>
                <w:sz w:val="20"/>
                <w:szCs w:val="20"/>
                <w:color w:val="auto"/>
              </w:rPr>
            </w:pPr>
          </w:p>
        </w:tc>
        <w:tc>
          <w:tcPr>
            <w:tcW w:w="7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top w:val="single" w:sz="8" w:color="D5EAEA"/>
            </w:tcBorders>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D5EAEA"/>
            </w:tcBorders>
            <w:shd w:val="clear" w:color="auto" w:fill="D5EAEA"/>
          </w:tcPr>
          <w:p>
            <w:pPr>
              <w:jc w:val="right"/>
              <w:ind w:right="10"/>
              <w:spacing w:after="0"/>
              <w:rPr>
                <w:sz w:val="20"/>
                <w:szCs w:val="20"/>
                <w:color w:val="auto"/>
              </w:rPr>
            </w:pPr>
            <w:r>
              <w:rPr>
                <w:rFonts w:ascii="Arial" w:cs="Arial" w:eastAsia="Arial" w:hAnsi="Arial"/>
                <w:sz w:val="18"/>
                <w:szCs w:val="18"/>
                <w:color w:val="auto"/>
              </w:rPr>
              <w:t>0.004</w:t>
            </w:r>
          </w:p>
        </w:tc>
      </w:tr>
      <w:tr>
        <w:trPr>
          <w:trHeight w:val="230"/>
        </w:trPr>
        <w:tc>
          <w:tcPr>
            <w:tcW w:w="2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Public Shareholders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25,000,000</w:t>
            </w:r>
          </w:p>
        </w:tc>
        <w:tc>
          <w:tcPr>
            <w:tcW w:w="100" w:type="dxa"/>
            <w:vAlign w:val="bottom"/>
            <w:tcBorders>
              <w:bottom w:val="single" w:sz="8" w:color="D5EAEA"/>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250,000,000</w:t>
            </w:r>
          </w:p>
        </w:tc>
        <w:tc>
          <w:tcPr>
            <w:tcW w:w="120" w:type="dxa"/>
            <w:vAlign w:val="bottom"/>
            <w:tcBorders>
              <w:bottom w:val="single" w:sz="8" w:color="D5EAEA"/>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Borders>
              <w:bottom w:val="single" w:sz="8" w:color="D5EAE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r>
      <w:tr>
        <w:trPr>
          <w:trHeight w:val="223"/>
        </w:trPr>
        <w:tc>
          <w:tcPr>
            <w:tcW w:w="2300" w:type="dxa"/>
            <w:vAlign w:val="bottom"/>
            <w:tcBorders>
              <w:bottom w:val="single" w:sz="8" w:color="D5EAEA"/>
            </w:tcBorders>
            <w:shd w:val="clear" w:color="auto" w:fill="D5EAEA"/>
          </w:tcPr>
          <w:p>
            <w:pPr>
              <w:spacing w:after="0"/>
              <w:rPr>
                <w:sz w:val="19"/>
                <w:szCs w:val="19"/>
                <w:color w:val="auto"/>
              </w:rPr>
            </w:pPr>
          </w:p>
        </w:tc>
        <w:tc>
          <w:tcPr>
            <w:tcW w:w="680" w:type="dxa"/>
            <w:vAlign w:val="bottom"/>
            <w:tcBorders>
              <w:bottom w:val="single" w:sz="8" w:color="D5EAEA"/>
            </w:tcBorders>
            <w:shd w:val="clear" w:color="auto" w:fill="D5EAEA"/>
          </w:tcPr>
          <w:p>
            <w:pPr>
              <w:spacing w:after="0"/>
              <w:rPr>
                <w:sz w:val="19"/>
                <w:szCs w:val="19"/>
                <w:color w:val="auto"/>
              </w:rPr>
            </w:pP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31,250,000</w:t>
            </w:r>
          </w:p>
        </w:tc>
        <w:tc>
          <w:tcPr>
            <w:tcW w:w="100" w:type="dxa"/>
            <w:vAlign w:val="bottom"/>
            <w:tcBorders>
              <w:bottom w:val="single" w:sz="8" w:color="D5EAEA"/>
            </w:tcBorders>
            <w:shd w:val="clear" w:color="auto" w:fill="D5EAEA"/>
          </w:tcPr>
          <w:p>
            <w:pPr>
              <w:spacing w:after="0"/>
              <w:rPr>
                <w:sz w:val="19"/>
                <w:szCs w:val="19"/>
                <w:color w:val="auto"/>
              </w:rPr>
            </w:pPr>
          </w:p>
        </w:tc>
        <w:tc>
          <w:tcPr>
            <w:tcW w:w="16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D5EAEA"/>
            </w:tcBorders>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250,025,000</w:t>
            </w:r>
          </w:p>
        </w:tc>
        <w:tc>
          <w:tcPr>
            <w:tcW w:w="120" w:type="dxa"/>
            <w:vAlign w:val="bottom"/>
            <w:tcBorders>
              <w:bottom w:val="single" w:sz="8" w:color="D5EAEA"/>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spacing w:after="0"/>
              <w:rPr>
                <w:sz w:val="19"/>
                <w:szCs w:val="19"/>
                <w:color w:val="auto"/>
              </w:rPr>
            </w:pPr>
          </w:p>
        </w:tc>
        <w:tc>
          <w:tcPr>
            <w:tcW w:w="7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auto"/>
            </w:tcBorders>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5"/>
        </w:trPr>
        <w:tc>
          <w:tcPr>
            <w:tcW w:w="2300" w:type="dxa"/>
            <w:vAlign w:val="bottom"/>
            <w:tcBorders>
              <w:bottom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bl>
    <w:p>
      <w:pPr>
        <w:spacing w:after="0" w:line="53" w:lineRule="exact"/>
        <w:rPr>
          <w:sz w:val="20"/>
          <w:szCs w:val="20"/>
          <w:color w:val="auto"/>
        </w:rPr>
      </w:pPr>
    </w:p>
    <w:p>
      <w:pPr>
        <w:ind w:left="340" w:right="36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Assumes the full forfeiture of 937,500 founder shares that are subject to forfeiture by our sponsor depending on the extent to which the underwriter’s over-allotment option is exercised.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 forma net tangible book value per share after this offering is calculated as follows: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136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Without Over-</w:t>
            </w:r>
          </w:p>
        </w:tc>
        <w:tc>
          <w:tcPr>
            <w:tcW w:w="200" w:type="dxa"/>
            <w:vAlign w:val="bottom"/>
          </w:tcPr>
          <w:p>
            <w:pPr>
              <w:spacing w:after="0"/>
              <w:rPr>
                <w:sz w:val="24"/>
                <w:szCs w:val="24"/>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With Over-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allotment</w:t>
            </w:r>
          </w:p>
        </w:tc>
        <w:tc>
          <w:tcPr>
            <w:tcW w:w="20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allotment</w:t>
            </w:r>
          </w:p>
        </w:tc>
        <w:tc>
          <w:tcPr>
            <w:tcW w:w="0" w:type="dxa"/>
            <w:vAlign w:val="bottom"/>
          </w:tcPr>
          <w:p>
            <w:pPr>
              <w:spacing w:after="0"/>
              <w:rPr>
                <w:sz w:val="1"/>
                <w:szCs w:val="1"/>
                <w:color w:val="auto"/>
              </w:rPr>
            </w:pPr>
          </w:p>
        </w:tc>
      </w:tr>
      <w:tr>
        <w:trPr>
          <w:trHeight w:val="210"/>
        </w:trPr>
        <w:tc>
          <w:tcPr>
            <w:tcW w:w="550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Numerator:</w:t>
            </w:r>
          </w:p>
        </w:tc>
        <w:tc>
          <w:tcPr>
            <w:tcW w:w="2860" w:type="dxa"/>
            <w:vAlign w:val="bottom"/>
            <w:tcBorders>
              <w:top w:val="single" w:sz="8" w:color="D5EAEA"/>
            </w:tcBorders>
            <w:shd w:val="clear" w:color="auto" w:fill="D5EAEA"/>
          </w:tcPr>
          <w:p>
            <w:pPr>
              <w:spacing w:after="0"/>
              <w:rPr>
                <w:sz w:val="18"/>
                <w:szCs w:val="18"/>
                <w:color w:val="auto"/>
              </w:rPr>
            </w:pPr>
          </w:p>
        </w:tc>
        <w:tc>
          <w:tcPr>
            <w:tcW w:w="140" w:type="dxa"/>
            <w:vAlign w:val="bottom"/>
            <w:tcBorders>
              <w:top w:val="single" w:sz="8" w:color="auto"/>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200" w:type="dxa"/>
            <w:vAlign w:val="bottom"/>
            <w:tcBorders>
              <w:top w:val="single" w:sz="8" w:color="auto"/>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Net tangible book deficit before this offering</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(295,281)</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(295,281)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2"/>
              </w:rPr>
              <w:t>Net proceeds from this offering and sale of the private placement warrants</w:t>
            </w:r>
          </w:p>
        </w:tc>
        <w:tc>
          <w:tcPr>
            <w:tcW w:w="28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251,000,000</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288,500,000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w w:val="96"/>
              </w:rPr>
              <w:t>Plus: Offering costs paid in advance, excluded from tangible book value</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315,281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315,281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Less: Deferred underwriting commissions</w:t>
            </w:r>
          </w:p>
        </w:tc>
        <w:tc>
          <w:tcPr>
            <w:tcW w:w="28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Less: Proceeds held in trust subject to redemption</w:t>
            </w:r>
          </w:p>
        </w:tc>
        <w:tc>
          <w:tcPr>
            <w:tcW w:w="2860" w:type="dxa"/>
            <w:vAlign w:val="bottom"/>
            <w:tcBorders>
              <w:bottom w:val="single" w:sz="8" w:color="D5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(237,269,990)</w:t>
            </w:r>
          </w:p>
        </w:tc>
        <w:tc>
          <w:tcPr>
            <w:tcW w:w="100" w:type="dxa"/>
            <w:vAlign w:val="bottom"/>
            <w:tcBorders>
              <w:bottom w:val="single" w:sz="8" w:color="D5EAEA"/>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(273,457,490)</w:t>
            </w:r>
          </w:p>
        </w:tc>
        <w:tc>
          <w:tcPr>
            <w:tcW w:w="0" w:type="dxa"/>
            <w:vAlign w:val="bottom"/>
          </w:tcPr>
          <w:p>
            <w:pPr>
              <w:spacing w:after="0"/>
              <w:rPr>
                <w:sz w:val="1"/>
                <w:szCs w:val="1"/>
                <w:color w:val="auto"/>
              </w:rPr>
            </w:pPr>
          </w:p>
        </w:tc>
      </w:tr>
      <w:tr>
        <w:trPr>
          <w:trHeight w:val="210"/>
        </w:trPr>
        <w:tc>
          <w:tcPr>
            <w:tcW w:w="1360" w:type="dxa"/>
            <w:vAlign w:val="bottom"/>
            <w:tcBorders>
              <w:bottom w:val="single" w:sz="8" w:color="D5EAEA"/>
            </w:tcBorders>
            <w:shd w:val="clear" w:color="auto" w:fill="D5EAEA"/>
          </w:tcPr>
          <w:p>
            <w:pPr>
              <w:spacing w:after="0"/>
              <w:rPr>
                <w:sz w:val="18"/>
                <w:szCs w:val="18"/>
                <w:color w:val="auto"/>
              </w:rPr>
            </w:pPr>
          </w:p>
        </w:tc>
        <w:tc>
          <w:tcPr>
            <w:tcW w:w="4140" w:type="dxa"/>
            <w:vAlign w:val="bottom"/>
            <w:tcBorders>
              <w:bottom w:val="single" w:sz="8" w:color="D5EAEA"/>
            </w:tcBorders>
            <w:shd w:val="clear" w:color="auto" w:fill="D5EAEA"/>
          </w:tcPr>
          <w:p>
            <w:pPr>
              <w:spacing w:after="0"/>
              <w:rPr>
                <w:sz w:val="18"/>
                <w:szCs w:val="18"/>
                <w:color w:val="auto"/>
              </w:rPr>
            </w:pPr>
          </w:p>
        </w:tc>
        <w:tc>
          <w:tcPr>
            <w:tcW w:w="2860" w:type="dxa"/>
            <w:vAlign w:val="bottom"/>
            <w:tcBorders>
              <w:bottom w:val="single" w:sz="8" w:color="D5EAEA"/>
            </w:tcBorders>
            <w:shd w:val="clear" w:color="auto" w:fill="D5EAEA"/>
          </w:tcPr>
          <w:p>
            <w:pPr>
              <w:spacing w:after="0"/>
              <w:rPr>
                <w:sz w:val="18"/>
                <w:szCs w:val="18"/>
                <w:color w:val="auto"/>
              </w:rPr>
            </w:pPr>
          </w:p>
        </w:tc>
        <w:tc>
          <w:tcPr>
            <w:tcW w:w="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5,000,010</w:t>
            </w:r>
          </w:p>
        </w:tc>
        <w:tc>
          <w:tcPr>
            <w:tcW w:w="100" w:type="dxa"/>
            <w:vAlign w:val="bottom"/>
            <w:tcBorders>
              <w:bottom w:val="single" w:sz="8" w:color="D5EAEA"/>
            </w:tcBorders>
            <w:shd w:val="clear" w:color="auto" w:fill="D5EAEA"/>
          </w:tcPr>
          <w:p>
            <w:pPr>
              <w:spacing w:after="0"/>
              <w:rPr>
                <w:sz w:val="18"/>
                <w:szCs w:val="18"/>
                <w:color w:val="auto"/>
              </w:rPr>
            </w:pPr>
          </w:p>
        </w:tc>
        <w:tc>
          <w:tcPr>
            <w:tcW w:w="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5,000,010</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Class B ordinary shares outstanding prior to this offering</w:t>
            </w:r>
          </w:p>
        </w:tc>
        <w:tc>
          <w:tcPr>
            <w:tcW w:w="28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7,187,500</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7,187,500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Class B ordinary shares forfeited if over-allotment is not exercised</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(937,500)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Class A ordinary shares included in the units offered</w:t>
            </w:r>
          </w:p>
        </w:tc>
        <w:tc>
          <w:tcPr>
            <w:tcW w:w="286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Less: Ordinary shares subject to redemption/tender</w:t>
            </w:r>
          </w:p>
        </w:tc>
        <w:tc>
          <w:tcPr>
            <w:tcW w:w="2860" w:type="dxa"/>
            <w:vAlign w:val="bottom"/>
            <w:tcBorders>
              <w:bottom w:val="single" w:sz="8" w:color="D5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(23,726,999)</w:t>
            </w:r>
          </w:p>
        </w:tc>
        <w:tc>
          <w:tcPr>
            <w:tcW w:w="100" w:type="dxa"/>
            <w:vAlign w:val="bottom"/>
            <w:tcBorders>
              <w:bottom w:val="single" w:sz="8" w:color="D5EAEA"/>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(27,345,749)</w:t>
            </w:r>
          </w:p>
        </w:tc>
        <w:tc>
          <w:tcPr>
            <w:tcW w:w="0" w:type="dxa"/>
            <w:vAlign w:val="bottom"/>
          </w:tcPr>
          <w:p>
            <w:pPr>
              <w:spacing w:after="0"/>
              <w:rPr>
                <w:sz w:val="1"/>
                <w:szCs w:val="1"/>
                <w:color w:val="auto"/>
              </w:rPr>
            </w:pPr>
          </w:p>
        </w:tc>
      </w:tr>
      <w:tr>
        <w:trPr>
          <w:trHeight w:val="210"/>
        </w:trPr>
        <w:tc>
          <w:tcPr>
            <w:tcW w:w="1360" w:type="dxa"/>
            <w:vAlign w:val="bottom"/>
            <w:tcBorders>
              <w:bottom w:val="single" w:sz="8" w:color="D5EAEA"/>
            </w:tcBorders>
            <w:shd w:val="clear" w:color="auto" w:fill="D5EAEA"/>
          </w:tcPr>
          <w:p>
            <w:pPr>
              <w:spacing w:after="0"/>
              <w:rPr>
                <w:sz w:val="18"/>
                <w:szCs w:val="18"/>
                <w:color w:val="auto"/>
              </w:rPr>
            </w:pPr>
          </w:p>
        </w:tc>
        <w:tc>
          <w:tcPr>
            <w:tcW w:w="4140" w:type="dxa"/>
            <w:vAlign w:val="bottom"/>
            <w:tcBorders>
              <w:bottom w:val="single" w:sz="8" w:color="D5EAEA"/>
            </w:tcBorders>
            <w:shd w:val="clear" w:color="auto" w:fill="D5EAEA"/>
          </w:tcPr>
          <w:p>
            <w:pPr>
              <w:spacing w:after="0"/>
              <w:rPr>
                <w:sz w:val="18"/>
                <w:szCs w:val="18"/>
                <w:color w:val="auto"/>
              </w:rPr>
            </w:pPr>
          </w:p>
        </w:tc>
        <w:tc>
          <w:tcPr>
            <w:tcW w:w="2860" w:type="dxa"/>
            <w:vAlign w:val="bottom"/>
            <w:tcBorders>
              <w:bottom w:val="single" w:sz="8" w:color="D5EAEA"/>
            </w:tcBorders>
            <w:shd w:val="clear" w:color="auto" w:fill="D5EAEA"/>
          </w:tcPr>
          <w:p>
            <w:pPr>
              <w:spacing w:after="0"/>
              <w:rPr>
                <w:sz w:val="18"/>
                <w:szCs w:val="18"/>
                <w:color w:val="auto"/>
              </w:rPr>
            </w:pPr>
          </w:p>
        </w:tc>
        <w:tc>
          <w:tcPr>
            <w:tcW w:w="140" w:type="dxa"/>
            <w:vAlign w:val="bottom"/>
            <w:tcBorders>
              <w:bottom w:val="single" w:sz="8" w:color="auto"/>
            </w:tcBorders>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7,523,001</w:t>
            </w:r>
          </w:p>
        </w:tc>
        <w:tc>
          <w:tcPr>
            <w:tcW w:w="100" w:type="dxa"/>
            <w:vAlign w:val="bottom"/>
            <w:tcBorders>
              <w:bottom w:val="single" w:sz="8" w:color="D5EAEA"/>
            </w:tcBorders>
            <w:shd w:val="clear" w:color="auto" w:fill="D5EAEA"/>
          </w:tcPr>
          <w:p>
            <w:pPr>
              <w:spacing w:after="0"/>
              <w:rPr>
                <w:sz w:val="18"/>
                <w:szCs w:val="18"/>
                <w:color w:val="auto"/>
              </w:rPr>
            </w:pPr>
          </w:p>
        </w:tc>
        <w:tc>
          <w:tcPr>
            <w:tcW w:w="200" w:type="dxa"/>
            <w:vAlign w:val="bottom"/>
            <w:tcBorders>
              <w:bottom w:val="single" w:sz="8" w:color="auto"/>
            </w:tcBorders>
            <w:shd w:val="clear" w:color="auto" w:fill="D5EAEA"/>
          </w:tcPr>
          <w:p>
            <w:pPr>
              <w:spacing w:after="0"/>
              <w:rPr>
                <w:sz w:val="18"/>
                <w:szCs w:val="18"/>
                <w:color w:val="auto"/>
              </w:rPr>
            </w:pPr>
          </w:p>
        </w:tc>
        <w:tc>
          <w:tcPr>
            <w:tcW w:w="12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8,591,751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60" w:type="dxa"/>
            <w:vAlign w:val="bottom"/>
            <w:vMerge w:val="restart"/>
          </w:tcPr>
          <w:p>
            <w:pPr>
              <w:jc w:val="right"/>
              <w:ind w:right="2450"/>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3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capitalization at June 30, 2019, and as adjusted to give effect to the sale of our 25,000,000 units in this offering for</w:t>
      </w:r>
    </w:p>
    <w:p>
      <w:pPr>
        <w:spacing w:after="0" w:line="3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$250,000,000 (or $10.00 per unit) and the sale of 7,000,000 private placement warrants for $7,000,000 (or $1.00 per warrant) and the application of the estimated net proceeds derived from the sale of such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June 30, 2019</w:t>
            </w:r>
          </w:p>
        </w:tc>
      </w:tr>
      <w:tr>
        <w:trPr>
          <w:trHeight w:val="210"/>
        </w:trPr>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As Adjusted(2)</w:t>
            </w:r>
          </w:p>
        </w:tc>
      </w:tr>
      <w:tr>
        <w:trPr>
          <w:trHeight w:val="210"/>
        </w:trPr>
        <w:tc>
          <w:tcPr>
            <w:tcW w:w="82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Note payable to related party(1)</w:t>
            </w:r>
          </w:p>
        </w:tc>
        <w:tc>
          <w:tcPr>
            <w:tcW w:w="100" w:type="dxa"/>
            <w:vAlign w:val="bottom"/>
            <w:tcBorders>
              <w:top w:val="single" w:sz="8" w:color="D5EAEA"/>
            </w:tcBorders>
            <w:shd w:val="clear" w:color="auto" w:fill="D5EAEA"/>
          </w:tcPr>
          <w:p>
            <w:pPr>
              <w:spacing w:after="0"/>
              <w:rPr>
                <w:sz w:val="18"/>
                <w:szCs w:val="18"/>
                <w:color w:val="auto"/>
              </w:rPr>
            </w:pPr>
          </w:p>
        </w:tc>
        <w:tc>
          <w:tcPr>
            <w:tcW w:w="280" w:type="dxa"/>
            <w:vAlign w:val="bottom"/>
            <w:tcBorders>
              <w:top w:val="single" w:sz="8" w:color="auto"/>
              <w:bottom w:val="single" w:sz="8" w:color="auto"/>
            </w:tcBorders>
            <w:shd w:val="clear" w:color="auto" w:fill="D5EAEA"/>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68,625</w:t>
            </w: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2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Borders>
              <w:bottom w:val="single" w:sz="8" w:color="D5EAEA"/>
            </w:tcBorders>
          </w:tcPr>
          <w:p>
            <w:pPr>
              <w:spacing w:after="0"/>
              <w:rPr>
                <w:sz w:val="18"/>
                <w:szCs w:val="18"/>
                <w:color w:val="auto"/>
              </w:rPr>
            </w:pPr>
          </w:p>
        </w:tc>
        <w:tc>
          <w:tcPr>
            <w:tcW w:w="280" w:type="dxa"/>
            <w:vAlign w:val="bottom"/>
            <w:tcBorders>
              <w:bottom w:val="single" w:sz="8" w:color="D5EAEA"/>
            </w:tcBorders>
          </w:tcPr>
          <w:p>
            <w:pPr>
              <w:spacing w:after="0"/>
              <w:rPr>
                <w:sz w:val="18"/>
                <w:szCs w:val="18"/>
                <w:color w:val="auto"/>
              </w:rPr>
            </w:pPr>
          </w:p>
        </w:tc>
        <w:tc>
          <w:tcPr>
            <w:tcW w:w="1220" w:type="dxa"/>
            <w:vAlign w:val="bottom"/>
            <w:tcBorders>
              <w:bottom w:val="single" w:sz="8" w:color="D5EAEA"/>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8,750,000</w:t>
            </w:r>
          </w:p>
        </w:tc>
      </w:tr>
      <w:tr>
        <w:trPr>
          <w:trHeight w:val="210"/>
        </w:trPr>
        <w:tc>
          <w:tcPr>
            <w:tcW w:w="8260" w:type="dxa"/>
            <w:vAlign w:val="bottom"/>
            <w:shd w:val="clear" w:color="auto" w:fill="D5EAEA"/>
          </w:tcPr>
          <w:p>
            <w:pPr>
              <w:spacing w:after="0"/>
              <w:rPr>
                <w:sz w:val="20"/>
                <w:szCs w:val="20"/>
                <w:color w:val="auto"/>
              </w:rPr>
            </w:pPr>
            <w:r>
              <w:rPr>
                <w:rFonts w:ascii="Arial" w:cs="Arial" w:eastAsia="Arial" w:hAnsi="Arial"/>
                <w:sz w:val="18"/>
                <w:szCs w:val="18"/>
                <w:color w:val="auto"/>
                <w:w w:val="99"/>
              </w:rPr>
              <w:t>Class A ordinary shares, subject to redemption; -0- shares actual and 23,726,999 shares as adjusted(3)</w:t>
            </w:r>
          </w:p>
        </w:tc>
        <w:tc>
          <w:tcPr>
            <w:tcW w:w="10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3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237,269,990</w:t>
            </w:r>
          </w:p>
        </w:tc>
      </w:tr>
      <w:tr>
        <w:trPr>
          <w:trHeight w:val="210"/>
        </w:trPr>
        <w:tc>
          <w:tcPr>
            <w:tcW w:w="82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2"/>
        </w:trPr>
        <w:tc>
          <w:tcPr>
            <w:tcW w:w="826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w w:val="93"/>
              </w:rPr>
              <w:t>Preferred shares, $0.0001 par value, 1,000,000 shares authorized; none issued and outstanding, actual and as</w:t>
            </w:r>
          </w:p>
        </w:tc>
        <w:tc>
          <w:tcPr>
            <w:tcW w:w="100" w:type="dxa"/>
            <w:vAlign w:val="bottom"/>
            <w:shd w:val="clear" w:color="auto" w:fill="D5EAEA"/>
          </w:tcPr>
          <w:p>
            <w:pPr>
              <w:spacing w:after="0"/>
              <w:rPr>
                <w:sz w:val="17"/>
                <w:szCs w:val="17"/>
                <w:color w:val="auto"/>
              </w:rPr>
            </w:pPr>
          </w:p>
        </w:tc>
        <w:tc>
          <w:tcPr>
            <w:tcW w:w="28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30"/>
        </w:trPr>
        <w:tc>
          <w:tcPr>
            <w:tcW w:w="8260" w:type="dxa"/>
            <w:vAlign w:val="bottom"/>
            <w:shd w:val="clear" w:color="auto" w:fill="D5EAEA"/>
          </w:tcPr>
          <w:p>
            <w:pPr>
              <w:spacing w:after="0"/>
              <w:rPr>
                <w:sz w:val="20"/>
                <w:szCs w:val="20"/>
                <w:color w:val="auto"/>
              </w:rPr>
            </w:pPr>
            <w:r>
              <w:rPr>
                <w:rFonts w:ascii="Arial" w:cs="Arial" w:eastAsia="Arial" w:hAnsi="Arial"/>
                <w:sz w:val="18"/>
                <w:szCs w:val="18"/>
                <w:color w:val="auto"/>
              </w:rPr>
              <w:t>adjusted</w:t>
            </w:r>
          </w:p>
        </w:tc>
        <w:tc>
          <w:tcPr>
            <w:tcW w:w="100" w:type="dxa"/>
            <w:vAlign w:val="bottom"/>
            <w:shd w:val="clear" w:color="auto" w:fill="D5EAEA"/>
          </w:tcPr>
          <w:p>
            <w:pPr>
              <w:spacing w:after="0"/>
              <w:rPr>
                <w:sz w:val="20"/>
                <w:szCs w:val="20"/>
                <w:color w:val="auto"/>
              </w:rPr>
            </w:pPr>
          </w:p>
        </w:tc>
        <w:tc>
          <w:tcPr>
            <w:tcW w:w="280" w:type="dxa"/>
            <w:vAlign w:val="bottom"/>
            <w:shd w:val="clear" w:color="auto" w:fill="D5EAEA"/>
          </w:tcPr>
          <w:p>
            <w:pPr>
              <w:spacing w:after="0"/>
              <w:rPr>
                <w:sz w:val="20"/>
                <w:szCs w:val="20"/>
                <w:color w:val="auto"/>
              </w:rPr>
            </w:pPr>
          </w:p>
        </w:tc>
        <w:tc>
          <w:tcPr>
            <w:tcW w:w="13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260" w:type="dxa"/>
            <w:vAlign w:val="bottom"/>
          </w:tcPr>
          <w:p>
            <w:pPr>
              <w:spacing w:after="0" w:line="201" w:lineRule="exact"/>
              <w:rPr>
                <w:sz w:val="20"/>
                <w:szCs w:val="20"/>
                <w:color w:val="auto"/>
              </w:rPr>
            </w:pPr>
            <w:r>
              <w:rPr>
                <w:rFonts w:ascii="Arial" w:cs="Arial" w:eastAsia="Arial" w:hAnsi="Arial"/>
                <w:sz w:val="18"/>
                <w:szCs w:val="18"/>
                <w:color w:val="auto"/>
                <w:w w:val="92"/>
              </w:rPr>
              <w:t>Class A ordinary shares, $0.0001 par value, 200,000,000 shares authorized; no shares issued and outstanding,</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w w:val="90"/>
              </w:rPr>
              <w:t>actual; 1,273,001 shares issued and outstanding (excluding 23,726,999 shares subject to possible redemption), as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02"/>
        </w:trPr>
        <w:tc>
          <w:tcPr>
            <w:tcW w:w="826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w w:val="89"/>
              </w:rPr>
              <w:t>Class B ordinary shares, $0.0001 par value; 20,000,000 shares authorized; 7,187,500 and 6,250,000 shares issued</w:t>
            </w:r>
          </w:p>
        </w:tc>
        <w:tc>
          <w:tcPr>
            <w:tcW w:w="100" w:type="dxa"/>
            <w:vAlign w:val="bottom"/>
            <w:shd w:val="clear" w:color="auto" w:fill="D5EAEA"/>
          </w:tcPr>
          <w:p>
            <w:pPr>
              <w:spacing w:after="0"/>
              <w:rPr>
                <w:sz w:val="17"/>
                <w:szCs w:val="17"/>
                <w:color w:val="auto"/>
              </w:rPr>
            </w:pPr>
          </w:p>
        </w:tc>
        <w:tc>
          <w:tcPr>
            <w:tcW w:w="28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30"/>
        </w:trPr>
        <w:tc>
          <w:tcPr>
            <w:tcW w:w="8260" w:type="dxa"/>
            <w:vAlign w:val="bottom"/>
            <w:shd w:val="clear" w:color="auto" w:fill="D5EAEA"/>
          </w:tcPr>
          <w:p>
            <w:pPr>
              <w:spacing w:after="0"/>
              <w:rPr>
                <w:sz w:val="20"/>
                <w:szCs w:val="20"/>
                <w:color w:val="auto"/>
              </w:rPr>
            </w:pPr>
            <w:r>
              <w:rPr>
                <w:rFonts w:ascii="Arial" w:cs="Arial" w:eastAsia="Arial" w:hAnsi="Arial"/>
                <w:sz w:val="18"/>
                <w:szCs w:val="18"/>
                <w:color w:val="auto"/>
              </w:rPr>
              <w:t>and outstanding, actual and as adjusted, respectively(4)</w:t>
            </w:r>
          </w:p>
        </w:tc>
        <w:tc>
          <w:tcPr>
            <w:tcW w:w="100" w:type="dxa"/>
            <w:vAlign w:val="bottom"/>
            <w:shd w:val="clear" w:color="auto" w:fill="D5EAEA"/>
          </w:tcPr>
          <w:p>
            <w:pPr>
              <w:spacing w:after="0"/>
              <w:rPr>
                <w:sz w:val="20"/>
                <w:szCs w:val="20"/>
                <w:color w:val="auto"/>
              </w:rPr>
            </w:pPr>
          </w:p>
        </w:tc>
        <w:tc>
          <w:tcPr>
            <w:tcW w:w="280" w:type="dxa"/>
            <w:vAlign w:val="bottom"/>
            <w:shd w:val="clear" w:color="auto" w:fill="D5EAEA"/>
          </w:tcPr>
          <w:p>
            <w:pPr>
              <w:spacing w:after="0"/>
              <w:rPr>
                <w:sz w:val="20"/>
                <w:szCs w:val="20"/>
                <w:color w:val="auto"/>
              </w:rPr>
            </w:pPr>
          </w:p>
        </w:tc>
        <w:tc>
          <w:tcPr>
            <w:tcW w:w="1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625</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Additional paid-in capital(5)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5,004,258</w:t>
            </w:r>
          </w:p>
        </w:tc>
      </w:tr>
      <w:tr>
        <w:trPr>
          <w:trHeight w:val="216"/>
        </w:trPr>
        <w:tc>
          <w:tcPr>
            <w:tcW w:w="8260" w:type="dxa"/>
            <w:vAlign w:val="bottom"/>
            <w:shd w:val="clear" w:color="auto" w:fill="D5EAEA"/>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D5EAEA"/>
          </w:tcPr>
          <w:p>
            <w:pPr>
              <w:spacing w:after="0"/>
              <w:rPr>
                <w:sz w:val="18"/>
                <w:szCs w:val="18"/>
                <w:color w:val="auto"/>
              </w:rPr>
            </w:pPr>
          </w:p>
        </w:tc>
        <w:tc>
          <w:tcPr>
            <w:tcW w:w="280" w:type="dxa"/>
            <w:vAlign w:val="bottom"/>
            <w:tcBorders>
              <w:bottom w:val="single" w:sz="8" w:color="auto"/>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r>
      <w:tr>
        <w:trPr>
          <w:trHeight w:val="210"/>
        </w:trPr>
        <w:tc>
          <w:tcPr>
            <w:tcW w:w="82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D5EAEA"/>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5,000,010</w:t>
            </w:r>
          </w:p>
        </w:tc>
      </w:tr>
      <w:tr>
        <w:trPr>
          <w:trHeight w:val="210"/>
        </w:trPr>
        <w:tc>
          <w:tcPr>
            <w:tcW w:w="82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D5EAEA"/>
            </w:tcBorders>
            <w:shd w:val="clear" w:color="auto" w:fill="D5EAEA"/>
          </w:tcPr>
          <w:p>
            <w:pPr>
              <w:spacing w:after="0"/>
              <w:rPr>
                <w:sz w:val="18"/>
                <w:szCs w:val="18"/>
                <w:color w:val="auto"/>
              </w:rPr>
            </w:pPr>
          </w:p>
        </w:tc>
        <w:tc>
          <w:tcPr>
            <w:tcW w:w="280" w:type="dxa"/>
            <w:vAlign w:val="bottom"/>
            <w:tcBorders>
              <w:bottom w:val="single" w:sz="8" w:color="auto"/>
            </w:tcBorders>
            <w:shd w:val="clear" w:color="auto" w:fill="D5EAEA"/>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88,625</w:t>
            </w:r>
          </w:p>
        </w:tc>
        <w:tc>
          <w:tcPr>
            <w:tcW w:w="10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251,020,000</w:t>
            </w:r>
          </w:p>
        </w:tc>
      </w:tr>
      <w:tr>
        <w:trPr>
          <w:trHeight w:val="20"/>
        </w:trPr>
        <w:tc>
          <w:tcPr>
            <w:tcW w:w="8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0"/>
          <w:szCs w:val="20"/>
          <w:color w:val="auto"/>
        </w:rPr>
      </w:pPr>
    </w:p>
    <w:p>
      <w:pPr>
        <w:ind w:left="34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w:t>
      </w:r>
    </w:p>
    <w:p>
      <w:pPr>
        <w:spacing w:after="0" w:line="146" w:lineRule="exact"/>
        <w:rPr>
          <w:rFonts w:ascii="Arial" w:cs="Arial" w:eastAsia="Arial" w:hAnsi="Arial"/>
          <w:sz w:val="17"/>
          <w:szCs w:val="17"/>
          <w:color w:val="auto"/>
        </w:rPr>
      </w:pPr>
    </w:p>
    <w:p>
      <w:pPr>
        <w:jc w:val="both"/>
        <w:ind w:left="340" w:right="540" w:hanging="332"/>
        <w:spacing w:after="0" w:line="286"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Assumes the full forfeiture of 937,500 shares that are subject to forfeiture by our sponsor depending on the extent to which the underwriter’s over-allotment option is exercised. The proceeds of the sale of such shares will not be deposited into the trust account, the shares will not be eligible for redemption from the trust account nor will they be eligible to vote upon the initial business combination.</w:t>
      </w:r>
    </w:p>
    <w:p>
      <w:pPr>
        <w:spacing w:after="0" w:line="165" w:lineRule="exact"/>
        <w:rPr>
          <w:rFonts w:ascii="Arial" w:cs="Arial" w:eastAsia="Arial" w:hAnsi="Arial"/>
          <w:sz w:val="17"/>
          <w:szCs w:val="17"/>
          <w:color w:val="auto"/>
        </w:rPr>
      </w:pPr>
    </w:p>
    <w:p>
      <w:pPr>
        <w:ind w:left="340" w:right="60" w:hanging="332"/>
        <w:spacing w:after="0" w:line="289"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Upon the completion of our initial business combination, we will provide our public shareholders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taxes payable), subject to the limitations described herein whereby our net tangible assets, after payment of the deferred underwriting commission, will be maintained at a minimum of $5,000,001 upon our initial business combination and any limitations (including, but not limited to, cash requirements) created by the terms of the proposed business combination. The “as adjusted” amount of Class A ordinary shares, subject to redemption equals the “as adjusted” total assets of $251,020,000, less the “as adjusted” total liabilities of $8,750,000, less the “as adjusted” total shareholder’s equity. The value of Class A ordinary shares that may be redeemed is equal to $10.00 per share (which is the assumed redemption price) multiplied by 23,726,999 Class A ordinary shares, which is the maximum number of Class A ordinary shares that may be redeemed for a $10.00 purchase price per share and still maintain at least $5,000,001 of net tangible assets.</w:t>
      </w:r>
    </w:p>
    <w:p>
      <w:pPr>
        <w:spacing w:after="0" w:line="166" w:lineRule="exact"/>
        <w:rPr>
          <w:rFonts w:ascii="Arial" w:cs="Arial" w:eastAsia="Arial" w:hAnsi="Arial"/>
          <w:sz w:val="16"/>
          <w:szCs w:val="16"/>
          <w:color w:val="auto"/>
        </w:rPr>
      </w:pPr>
    </w:p>
    <w:p>
      <w:pPr>
        <w:ind w:left="340" w:right="28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by our sponsor and as adjusted share amount assumes no exercise of the underwriter’s over-allotment option.</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 adjusted” additional paid-in capital calculation is equal to the “as adjusted” total shareholder’s equity of $5,000,010, minus Class A and Class B ordinary shares (par value) of $752, minus the accumulated deficit of $(5,000).</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blank check company incorporated as a Cayman Islands exempted company and formed for the purpose of effecting a merger, amalgamation,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private placement warrants, our shares, debt or a combination of cash, shares and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225" w:lineRule="exact"/>
        <w:rPr>
          <w:sz w:val="20"/>
          <w:szCs w:val="20"/>
          <w:color w:val="auto"/>
        </w:rPr>
      </w:pPr>
    </w:p>
    <w:p>
      <w:pPr>
        <w:ind w:left="6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of the Class B ordinary shares resulted in the issuance of Class A ordinary shares on a greater than one-to-one basis upon conversion of the Class B ordinary shares;</w:t>
      </w:r>
    </w:p>
    <w:p>
      <w:pPr>
        <w:spacing w:after="0" w:line="123"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 and/or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74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right="1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indicated in the accompanying financial statements, at June 30, 2019, we had deferred offering costs of approximately $315,281. Further, we expect to continue to incur significant costs in the pursuit of our acquisition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our plans to raise capital or to complete our initial business combination will be successful.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liquidity needs have been satisfied prior to the completion of this offering from the availability of up to $250,000 in loans from our sponsor under an unsecured promissory note. As of June 30, 2019, we have borrowed $68,625 under the promissory note.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from (1) the sale of the units in this offering, after deducting offering expenses of approximately $1,000,000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underwriting commissions of $5,000,000 ($5,750,000 if the underwriter’s over-allotment option is exercised in full) (excluding deferred underwriting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commissions of $8,750,000 (or up to $10,062,500 if the underwriter’s over-allotment option is exercised in full)), and (2) the sale of the private placement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for a purchase price of $7,000,000 (or $7,750,000 if the underwriter’s over-allotment option is exercised in full), will be $251,000,000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$288,500,000 if the underwriter’s over-allotment option is exercised in full). Of this amount, $250,000,000 or $287,500,000 if the underwriter’s over-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allotment option is exercised in full, including $8,750,000 (or up to $10,062,500 if the underwriter’s over-allotment option is exercised in full) in deferred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underwriting commissions will be deposited into the trust account. The funds in the trust account will be invested only in U.S. government treasury bills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maturity of 180 days or less or in money market funds investing solely in U.S. Treasuries. The remaining $1,000,000 will not be held in the trust account.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event that our offering expenses exceed our estimate of $1,000,000 we may fund such excess with funds not to be held in the trust account. In such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funds we intend to be held outside the trust account would decrease by a corresponding amount. Conversely, in the event that the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are less than our estimate of $1,000,000, the amount of funds we intend to be held outside the trust account would increase by a corresponding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(which interest shall be net of taxes payable and excluding deferred underwriting commissions) to complete our initial business combination. We may withdraw interest to pay taxes, if any. Our annual income tax obligations will depend on the amount of interest and other income earned on the amounts held in the trust account. We expect the interest earned on the amount in the trust account will be sufficient to pay our taxes. We expect the only taxes payable by us out of the funds in the trust account will be income and franchise taxes, if any. To the extent that our ordinary shares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the completion of our initial business combination, we will have available to us $1,000,000 of proceeds held outside the trust account. We will use these funds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expect our primary liquidity requirements during that period to include approximately $450,000 for legal, accounting, due diligence, travel and other expenses in connection with any business combinations; $150,000 for legal and accounting fees related to regulatory reporting requirements; $75,000 for Nasdaq continued listing fees; $100,000 as a reserve for liquidation expenses and approximately $225,000 for general working capital that will be used for miscellaneous expenses, including overhead, and reserves net of estimated interest income.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2020. Only in the event that we are deemed to be a large accelerated filer or an accelerated filer, and no longer qualify as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Prior to the closing of this offering, we have not completed an assessment, nor have our auditors tested our systems, of internal controls. We expect to assess the internal controls of our target business or businesses prior to the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8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The net proceeds of this offering and the sale of the private placement warrants held in the trust account will be invested in U.S. government treasury bills with a maturity of 180 days or less or in money market funds investing solely in U.S. Treasuries and meeting certain conditions under Rule 2a-7 under the Investment Company Act. Due to the short-term nature of these investments, we believe there will be no associated material exposure to interest rate risk.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June 2019, our sponsor purchased 7,187,500 founder shares for an aggregate purchase price of $25,000, or $0.004 per share (assuming the over-allotment option is not exercised and the forfeiture by our sponsor of 937,500 founder shares). In connection with closing of this offering, our sponsor intends to grant sponsor LLC equity interests to our independent director nominees that collectively comprise approximately 1% of the outstanding equity interests in our sponsor. Our initial shareholders will collectively own 20% of our issued and outstanding shares after this offering (assuming our initial shareholders do not purchase any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6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will enter into an Administrative Services Agreement pursuant to which we will pay our sponsor up to $20,000 per month for office space, administrative and support services. Upon completion of our initial business combination or our liquidation, we will cease paying any of these monthly fees.</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 These loans are non-interest bearing, unsecured and</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sponsor has committed to purchase an aggregate of 7,000,000 (or 7,750,000 if the underwriter’s over-allotment option is exercised in full) private placement warrants at a price of $1.00 per warrant ($7,000,000 in the aggregate or $7,750,000 in the aggregate if the underwriter’s over-allotment option is exercised in full) in a private placement that will occur simultaneously with the closing of this offering. Each private placement warrant entitles the holder to purchase one Class A ordinary share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The private placement warrants may also be exercised by our sponsor or its permitted transferees for cash or on a cashless basis and our sponsor and its permitted transferees will also have certain registration rights related to the private placement warrants, as described below. Otherwise, the private placement warrants have terms and provisions that are identical to those of the warrants being sold as part of the units in this offering.</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a registration rights agreement that we will enter into with our initial shareholders on or prior to the closing of this offering, we may be required to register certain securities for sale under the Securities Act. These 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However, the registration rights agreement provides that we will not permit any registration statement filed under the Securities Act to become effective until the securities covered thereby are released from their lock-up restrictions, as described herein. We will bear the costs and expenses of filing any such registration statements. See “Principal Shareholders—Registration Rights.”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w:t>
      </w: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of June 30, 2019, we did not have any off-balance sheet arrangements as defined in Item 303(a)(4)(ii) of Regulation S-K and did not have any commitments or contractual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spacing w:after="0" w:line="18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Our sponsor is an affiliate of Silver Spike Capital. Silver Spike Capital is an asset management fund focused on the burgeoning cannabis and related health &amp; 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CBD businesses that are compliant with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more than 50 countries have legalized some form of medical cannabis. Over the next 24 months, we believe that legislative activity in certain jurisdictions will further broaden our opportunity set for eligible acquisitions.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order to succeed under the new legislative and regulatory frameworks, we believe that businesses will need strong management teams with deep operational expertise and financial acumen.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19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18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 collective operating, technical, regulatory and legal expertise to build a strong business with competitive advantages to emerge as a leading public company in the space.</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who will provide operating, technical, regulatory and legal expertise to assist a target business access the public markets, and our team includes Scott Gordon and Orrin Devinsky, both of whom have extensive expertise in cannabis. Our team consists of professionals who have decades of experience in capital markets globally, have extensive scientific and medical knowledge of the plant and its many compounds and includes entrepreneurs and founders of consumer facing businesses.</w:t>
      </w:r>
    </w:p>
    <w:p>
      <w:pPr>
        <w:spacing w:after="0" w:line="193"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Our acquisition plan is to leverage our management team’s networks of potential transaction sources where we believe a combination of our management team’s industry relationships, knowledge and experience could effect a positive transformation or augmentation of existing businesses or assets. Over the course of their careers, the members of our management team have developed a broad network of contacts and corporate relationships that we</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p>
      <w:pPr>
        <w:spacing w:after="0" w:line="184" w:lineRule="exact"/>
        <w:rPr>
          <w:sz w:val="20"/>
          <w:szCs w:val="20"/>
          <w:color w:val="auto"/>
        </w:rPr>
      </w:pPr>
    </w:p>
    <w:p>
      <w:pPr>
        <w:ind w:left="660" w:right="800" w:hanging="328"/>
        <w:spacing w:after="0" w:line="28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exhibit institutional-level operations and financial controls. </w:t>
      </w:r>
      <w:r>
        <w:rPr>
          <w:rFonts w:ascii="Arial" w:cs="Arial" w:eastAsia="Arial" w:hAnsi="Arial"/>
          <w:sz w:val="18"/>
          <w:szCs w:val="18"/>
          <w:color w:val="auto"/>
        </w:rPr>
        <w:t>We intend to seek a target in the cannabis space that not only has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position, but also has the underlying infrastructure and operations to build a public platform;</w:t>
      </w:r>
    </w:p>
    <w:p>
      <w:pPr>
        <w:spacing w:after="0" w:line="188" w:lineRule="exact"/>
        <w:rPr>
          <w:rFonts w:ascii="Arial" w:cs="Arial" w:eastAsia="Arial" w:hAnsi="Arial"/>
          <w:sz w:val="18"/>
          <w:szCs w:val="18"/>
          <w:color w:val="auto"/>
        </w:rPr>
      </w:pPr>
    </w:p>
    <w:p>
      <w:pPr>
        <w:ind w:left="660" w:right="480" w:hanging="328"/>
        <w:spacing w:after="0" w:line="28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have durable competitive advantages that are differentiated in the sector. </w:t>
      </w:r>
      <w:r>
        <w:rPr>
          <w:rFonts w:ascii="Arial" w:cs="Arial" w:eastAsia="Arial" w:hAnsi="Arial"/>
          <w:sz w:val="18"/>
          <w:szCs w:val="18"/>
          <w:color w:val="auto"/>
        </w:rPr>
        <w:t>We intend to acquire an asset that not only benefits from secular</w:t>
      </w:r>
      <w:r>
        <w:rPr>
          <w:rFonts w:ascii="Arial" w:cs="Arial" w:eastAsia="Arial" w:hAnsi="Arial"/>
          <w:sz w:val="18"/>
          <w:szCs w:val="18"/>
          <w:b w:val="1"/>
          <w:bCs w:val="1"/>
          <w:color w:val="auto"/>
        </w:rPr>
        <w:t xml:space="preserve"> </w:t>
      </w:r>
      <w:r>
        <w:rPr>
          <w:rFonts w:ascii="Arial" w:cs="Arial" w:eastAsia="Arial" w:hAnsi="Arial"/>
          <w:sz w:val="18"/>
          <w:szCs w:val="18"/>
          <w:color w:val="auto"/>
        </w:rPr>
        <w:t>tailwinds in the industry, but also exhibit hard-to-replicate competitive advantages amongst its peers;</w:t>
      </w:r>
    </w:p>
    <w:p>
      <w:pPr>
        <w:spacing w:after="0" w:line="161" w:lineRule="exact"/>
        <w:rPr>
          <w:rFonts w:ascii="Arial" w:cs="Arial" w:eastAsia="Arial" w:hAnsi="Arial"/>
          <w:sz w:val="18"/>
          <w:szCs w:val="18"/>
          <w:color w:val="auto"/>
        </w:rPr>
      </w:pPr>
    </w:p>
    <w:p>
      <w:pPr>
        <w:ind w:left="660" w:right="520" w:hanging="328"/>
        <w:spacing w:after="0" w:line="26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are fundamentally sound with consistent operational performance and free cash flow generation. </w:t>
      </w:r>
      <w:r>
        <w:rPr>
          <w:rFonts w:ascii="Arial" w:cs="Arial" w:eastAsia="Arial" w:hAnsi="Arial"/>
          <w:sz w:val="18"/>
          <w:szCs w:val="18"/>
          <w:color w:val="auto"/>
        </w:rPr>
        <w:t>We expect to target a business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exhibited profitability and strong cash flow generation. Our management team has a proven track record accelerating growth of companies with strong past performance;</w:t>
      </w:r>
    </w:p>
    <w:p>
      <w:pPr>
        <w:spacing w:after="0" w:line="176" w:lineRule="exact"/>
        <w:rPr>
          <w:rFonts w:ascii="Arial" w:cs="Arial" w:eastAsia="Arial" w:hAnsi="Arial"/>
          <w:sz w:val="18"/>
          <w:szCs w:val="18"/>
          <w:color w:val="auto"/>
        </w:rPr>
      </w:pPr>
    </w:p>
    <w:p>
      <w:pPr>
        <w:ind w:left="660" w:right="620" w:hanging="328"/>
        <w:spacing w:after="0" w:line="313"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 xml:space="preserve">are at an inflection point, such as requiring additional capital to achieve a growth strategy. </w:t>
      </w:r>
      <w:r>
        <w:rPr>
          <w:rFonts w:ascii="Arial" w:cs="Arial" w:eastAsia="Arial" w:hAnsi="Arial"/>
          <w:sz w:val="17"/>
          <w:szCs w:val="17"/>
          <w:color w:val="auto"/>
        </w:rPr>
        <w:t>We intend to look for targets that have clear</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for long-term sustainable growth, but which require our capital or expertise to achieve a growth strategy;</w:t>
      </w:r>
    </w:p>
    <w:p>
      <w:pPr>
        <w:spacing w:after="0" w:line="138"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have the potential to further improve their performance under our ownership. </w:t>
      </w:r>
      <w:r>
        <w:rPr>
          <w:rFonts w:ascii="Arial" w:cs="Arial" w:eastAsia="Arial" w:hAnsi="Arial"/>
          <w:sz w:val="18"/>
          <w:szCs w:val="18"/>
          <w:color w:val="auto"/>
        </w:rPr>
        <w:t>We intend to seek targets where we believe we can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p>
      <w:pPr>
        <w:spacing w:after="0" w:line="180" w:lineRule="exact"/>
        <w:rPr>
          <w:rFonts w:ascii="Arial" w:cs="Arial" w:eastAsia="Arial" w:hAnsi="Arial"/>
          <w:sz w:val="18"/>
          <w:szCs w:val="18"/>
          <w:color w:val="auto"/>
        </w:rPr>
      </w:pPr>
    </w:p>
    <w:p>
      <w:pPr>
        <w:ind w:left="660" w:right="40" w:hanging="328"/>
        <w:spacing w:after="0" w:line="313"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 xml:space="preserve">may benefit from capital markets access. </w:t>
      </w:r>
      <w:r>
        <w:rPr>
          <w:rFonts w:ascii="Arial" w:cs="Arial" w:eastAsia="Arial" w:hAnsi="Arial"/>
          <w:sz w:val="17"/>
          <w:szCs w:val="17"/>
          <w:color w:val="auto"/>
        </w:rPr>
        <w:t>We intend to seek a target that may benefit from being, or has the potential to become, a public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with an increased public profile, enhanced corporate governance and increased access to a more diversified pool of capital; and</w:t>
      </w:r>
    </w:p>
    <w:p>
      <w:pPr>
        <w:spacing w:after="0" w:line="138" w:lineRule="exact"/>
        <w:rPr>
          <w:rFonts w:ascii="Arial" w:cs="Arial" w:eastAsia="Arial" w:hAnsi="Arial"/>
          <w:sz w:val="17"/>
          <w:szCs w:val="17"/>
          <w:color w:val="auto"/>
        </w:rPr>
      </w:pPr>
    </w:p>
    <w:p>
      <w:pPr>
        <w:ind w:left="660" w:right="160" w:hanging="328"/>
        <w:spacing w:after="0" w:line="28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exhibit unrecognized value and desirable returns on capital. </w:t>
      </w:r>
      <w:r>
        <w:rPr>
          <w:rFonts w:ascii="Arial" w:cs="Arial" w:eastAsia="Arial" w:hAnsi="Arial"/>
          <w:sz w:val="18"/>
          <w:szCs w:val="18"/>
          <w:color w:val="auto"/>
        </w:rPr>
        <w:t>We will look for targets that we believe have been undervalued by the marketplace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our analysis and due diligence review.</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Acquisition Process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Other Corporate Information</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a Cayman Islands exempted company incorporated on June 7, 2019. Our executive offices are located at 1114 6th Ave, 41st Floor New York, New York, 10036 and our telephone number is (212) 905-4923.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target businesses an alternative to the traditional initial public offering through a merger, amalgamation, share exchange, asset acquisition, share purchase, reorganization or similar business combination. In this situation, the owners of the target business would exchange their shares or shares of stock in the target business for our shares or for a combination of our shares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incurred in marketing, road show and public reporting efforts that may not be present to the same extent in connection with a business combination with us.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shareholders’ interests. It can offer further benefits by augmenting a company’s profile among potential new customers and vendors and aid in attracting talented employees.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With funds available for a business combination initially in the amount of $241,250,000 assuming no redemptions and after payment of $8,750,000 of deferred underwriting fees (or $277,437,500 assuming no redemptions and after payment of up to $10,062,500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case of an initial business combination funded with assets other than the trust account assets, our tender offer documents or proxy materials disclosing the business combination would disclose the terms of the financing and, only if required by law or we decide to do so for business or other reasons, we would seek shareholder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17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71" w:lineRule="exact"/>
        <w:rPr>
          <w:sz w:val="20"/>
          <w:szCs w:val="20"/>
          <w:color w:val="auto"/>
        </w:rPr>
      </w:pPr>
    </w:p>
    <w:p>
      <w:pPr>
        <w:ind w:left="660" w:right="6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Under Nasdaq’s listing rules, shareholder approval would be required for our initial business combination if, for example:</w:t>
      </w:r>
    </w:p>
    <w:p>
      <w:pPr>
        <w:spacing w:after="0" w:line="225" w:lineRule="exact"/>
        <w:rPr>
          <w:sz w:val="20"/>
          <w:szCs w:val="20"/>
          <w:color w:val="auto"/>
        </w:rPr>
      </w:pPr>
    </w:p>
    <w:p>
      <w:pPr>
        <w:ind w:left="660" w:right="3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shares or voting power of our ordinary shares then issued and outstanding (other than in a public offering);</w:t>
      </w:r>
    </w:p>
    <w:p>
      <w:pPr>
        <w:spacing w:after="0" w:line="170"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common shares or voting power of 5% or more; or</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Companies Law and Cayman Islands law do not currently require, and we are not aware of any other applicable law that will require, shareholder approval of our initial business combination.</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event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the event that our sponsor, directors, officers, advisors or any of their affiliates purchase public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purpose of such purchases could be to (1) vote such shares in favor of the business combination and thereby increase the likelihood of obtaining shareholder approval of our initial business combination or (2)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17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sponsor, officers, directors, advisors and/or any of their affiliates anticipate that they may identify the shareholders with whom our sponsor, officers, directors, advisors or any of their affiliates may pursue privately negotiated purchases by either the shareholders contacting us directly or by our receipt of redemption requests submitted by shareholders following our mailing of proxy materials in connection with our initial business combination. To the extent that our sponsor, officers, directors, advisors or any of their affiliates enter into a private purchase, they would identify and contact only potential selling shareholders who have expressed their election to redeem their shares for a pro rata share of the trust account or vote against our initial business combination. Such persons would select the shareholders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shareholder would receive if it elected to redeem its shares in connection with our initial business combination. Our sponsor, officers, directors, advisors or any of their affiliates will purchase shares only if such purchases comply with Regulation M under the Exchange Act and the other federal securities laws.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purchases by our sponsor, officers, directors and/or any of their affiliates who are affiliated purchasers under Rule 10b-18 under the Exchange Act will be made only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affiliates will be restricted from making purchases of ordinary shares if such purchases would violate Section 9(a)(2) or Rule 10b-5 of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19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147"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 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amended and restated memorandum and articles of association will provide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combination or redeem any shares in connection therewith, and all public shares submitted for redemption will be returned to the holders thereof.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shareholder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from the closing of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sponsor, officers and directors have agreed that we will have only 24 months from the closing of this offering to complete our initial business combination. If we are unable to complete our initial business combination within such 24-month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within 24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24-month time frame.</w:t>
      </w:r>
    </w:p>
    <w:p>
      <w:pPr>
        <w:spacing w:after="0" w:line="1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 of this offering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w:t>
      </w:r>
    </w:p>
    <w:p>
      <w:pPr>
        <w:spacing w:after="0" w:line="3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the event that the proceeds in the trust account are reduced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auditors),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will have access to up to $1,000,000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If we file a winding-up or bankruptcy petition or an involuntary winding-up or bankruptcy petition is filed against us that is not dismissed, the proceeds held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trust account could be subject to applicable insolvency law, and may be included in our insolvency estate and subject to the claims of third parties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priority over the claims of our shareholders. To the extent any insolvency claims deplete the trust account, we cannot assure you we will be able to return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per share to our public shareholders. Additionally, if we file a winding-up or bankruptcy petition or an involuntary winding-up or bankruptcy petition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filed against us that is not dismissed, any distributions received by shareholders could be viewed under applicable debtor/creditor and/or insolvency laws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voidable performance. As a result, a bankruptcy court could seek to recover some or all amounts received by our shareholders. Furthermore, our board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viewed as having breached its fiduciary duty to our creditors and/or may have acted in bad faith, and thereby exposing itself and our company to claims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punitive damages, by paying public shareholders from the trust account prior to addressing the claims of creditors. We cannot assure you that claims will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brought against us for these reasons.</w:t>
      </w:r>
    </w:p>
    <w:p>
      <w:pPr>
        <w:spacing w:after="0" w:line="21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amended and restated memorandum and articles of association will contain certain requirements and restrictions relating to this offering that will apply to us until the completion of our initial business combination. Our amended and restated memorandum and articles of association contains a provision which provides that, if we seek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we will provide public shareholders with the opportunity to redeem their public shares in connection with any such amendment. Specifically, our amended and restated memorandum and articles of association will provide, among other things, that:</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line="272"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prior to the completion of our initial business combination, we shall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p>
    <w:p>
      <w:pPr>
        <w:spacing w:after="0" w:line="177"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after payment of the deferred underwriting commissions, of at least $5,000,001 upon completion of our initial business combination and, solely if we seek shareholder approval, a majority of the issued and outstanding ordinary shares voted are voted in favor of the business combination;</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from the closing of this offering, then our existence will terminate and we will distribute all amounts in the trust account; and</w:t>
      </w:r>
    </w:p>
    <w:p>
      <w:pPr>
        <w:spacing w:after="0" w:line="170"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provisions cannot be amended without the approval of holders of at least two-thirds of our ordinary shares. In the event we seek shareholder approval in connection with our initial business combination, our amended and restated memorandum and articles of association will provide that we may consummate our initial business combination only if approved by a majority of the ordinary shares voted by our shareholders at a duly held shareholders meeting.</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Additionally, our amended and restated memorandum and articles of association provides that, prior to our initial business combination, only holders of our founder shares will have the right to vote on the election of directors and that holders of a majority of our founder shares may remove a member of the board of directors for any reason. These provisions of our amended and restated memorandum and articles of association may only be amended by a special resolution passed by at least 90% of our ordinary shares voting in a general meeting.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7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400"/>
          </w:cols>
          <w:pgMar w:left="240" w:top="229" w:right="259" w:bottom="1440" w:gutter="0" w:footer="0" w:header="0"/>
        </w:sectPr>
      </w:pP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Redemptions in Connection with</w:t>
            </w:r>
          </w:p>
        </w:tc>
        <w:tc>
          <w:tcPr>
            <w:tcW w:w="4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Other Permitted Purchases of</w:t>
            </w:r>
          </w:p>
        </w:tc>
      </w:tr>
      <w:tr>
        <w:trPr>
          <w:trHeight w:val="234"/>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our Initial Business Combination</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 Shares by our Affiliates</w:t>
            </w:r>
          </w:p>
        </w:tc>
      </w:tr>
      <w:tr>
        <w:trPr>
          <w:trHeight w:val="276"/>
        </w:trPr>
        <w:tc>
          <w:tcPr>
            <w:tcW w:w="2660" w:type="dxa"/>
            <w:vAlign w:val="bottom"/>
          </w:tcPr>
          <w:p>
            <w:pPr>
              <w:spacing w:after="0"/>
              <w:rPr>
                <w:sz w:val="20"/>
                <w:szCs w:val="20"/>
                <w:color w:val="auto"/>
              </w:rPr>
            </w:pPr>
            <w:r>
              <w:rPr>
                <w:rFonts w:ascii="Arial" w:cs="Arial" w:eastAsia="Arial" w:hAnsi="Arial"/>
                <w:sz w:val="18"/>
                <w:szCs w:val="18"/>
                <w:b w:val="1"/>
                <w:bCs w:val="1"/>
                <w:color w:val="auto"/>
                <w:w w:val="97"/>
              </w:rPr>
              <w:t>Calculation of redemption price</w:t>
            </w: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w w:val="95"/>
              </w:rPr>
              <w:t>Redemptions at the time of our initial</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w w:val="99"/>
              </w:rPr>
              <w:t>If we seek shareholder approval of</w:t>
            </w:r>
          </w:p>
        </w:tc>
      </w:tr>
      <w:tr>
        <w:trPr>
          <w:trHeight w:val="216"/>
        </w:trPr>
        <w:tc>
          <w:tcPr>
            <w:tcW w:w="266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w w:val="96"/>
              </w:rPr>
              <w:t>business combination may be made</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w w:val="95"/>
              </w:rPr>
              <w:t>our initial business combination, our</w:t>
            </w:r>
          </w:p>
        </w:tc>
      </w:tr>
      <w:tr>
        <w:trPr>
          <w:trHeight w:val="216"/>
        </w:trPr>
        <w:tc>
          <w:tcPr>
            <w:tcW w:w="266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rPr>
              <w:t>pursuant to a tender offer or in</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w w:val="95"/>
              </w:rPr>
              <w:t>sponsor, directors, officers, advisors</w:t>
            </w:r>
          </w:p>
        </w:tc>
      </w:tr>
      <w:tr>
        <w:trPr>
          <w:trHeight w:val="216"/>
        </w:trPr>
        <w:tc>
          <w:tcPr>
            <w:tcW w:w="266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w w:val="98"/>
              </w:rPr>
              <w:t>connection with a shareholder vote.</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w w:val="91"/>
              </w:rPr>
              <w:t>or any of their affiliates may purchase</w:t>
            </w:r>
          </w:p>
        </w:tc>
      </w:tr>
      <w:tr>
        <w:trPr>
          <w:trHeight w:val="216"/>
        </w:trPr>
        <w:tc>
          <w:tcPr>
            <w:tcW w:w="266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w w:val="91"/>
              </w:rPr>
              <w:t>The redemption price will be the same</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shares in privately negotiated</w:t>
            </w:r>
          </w:p>
        </w:tc>
      </w:tr>
      <w:tr>
        <w:trPr>
          <w:trHeight w:val="230"/>
        </w:trPr>
        <w:tc>
          <w:tcPr>
            <w:tcW w:w="2660" w:type="dxa"/>
            <w:vAlign w:val="bottom"/>
          </w:tcPr>
          <w:p>
            <w:pPr>
              <w:spacing w:after="0"/>
              <w:rPr>
                <w:sz w:val="20"/>
                <w:szCs w:val="20"/>
                <w:color w:val="auto"/>
              </w:rPr>
            </w:pPr>
          </w:p>
        </w:tc>
        <w:tc>
          <w:tcPr>
            <w:tcW w:w="3020" w:type="dxa"/>
            <w:vAlign w:val="bottom"/>
            <w:gridSpan w:val="3"/>
          </w:tcPr>
          <w:p>
            <w:pPr>
              <w:ind w:left="220"/>
              <w:spacing w:after="0"/>
              <w:rPr>
                <w:sz w:val="20"/>
                <w:szCs w:val="20"/>
                <w:color w:val="auto"/>
              </w:rPr>
            </w:pPr>
            <w:r>
              <w:rPr>
                <w:rFonts w:ascii="Arial" w:cs="Arial" w:eastAsia="Arial" w:hAnsi="Arial"/>
                <w:sz w:val="18"/>
                <w:szCs w:val="18"/>
                <w:color w:val="auto"/>
              </w:rPr>
              <w:t>whether we</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transactions or</w:t>
            </w:r>
          </w:p>
        </w:tc>
      </w:tr>
      <w:tr>
        <w:trPr>
          <w:trHeight w:val="365"/>
        </w:trPr>
        <w:tc>
          <w:tcPr>
            <w:tcW w:w="2660" w:type="dxa"/>
            <w:vAlign w:val="bottom"/>
          </w:tcPr>
          <w:p>
            <w:pPr>
              <w:spacing w:after="0"/>
              <w:rPr>
                <w:sz w:val="24"/>
                <w:szCs w:val="24"/>
                <w:color w:val="auto"/>
              </w:rPr>
            </w:pPr>
          </w:p>
        </w:tc>
        <w:tc>
          <w:tcPr>
            <w:tcW w:w="5820" w:type="dxa"/>
            <w:vAlign w:val="bottom"/>
            <w:gridSpan w:val="5"/>
          </w:tcPr>
          <w:p>
            <w:pPr>
              <w:ind w:left="290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left="20" w:right="40"/>
        <w:spacing w:after="0" w:line="346" w:lineRule="auto"/>
        <w:rPr>
          <w:sz w:val="20"/>
          <w:szCs w:val="20"/>
          <w:color w:val="auto"/>
        </w:rPr>
      </w:pPr>
      <w:r>
        <w:rPr>
          <w:rFonts w:ascii="Arial" w:cs="Arial" w:eastAsia="Arial" w:hAnsi="Arial"/>
          <w:sz w:val="16"/>
          <w:szCs w:val="16"/>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7583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right="40"/>
        <w:spacing w:after="0" w:line="255" w:lineRule="auto"/>
        <w:rPr>
          <w:sz w:val="20"/>
          <w:szCs w:val="20"/>
          <w:color w:val="auto"/>
        </w:rPr>
      </w:pPr>
      <w:r>
        <w:rPr>
          <w:rFonts w:ascii="Arial" w:cs="Arial" w:eastAsia="Arial" w:hAnsi="Arial"/>
          <w:sz w:val="18"/>
          <w:szCs w:val="18"/>
          <w:color w:val="auto"/>
        </w:rPr>
        <w:t>If we are unable to complete our initial business combination within 24 months from the closing of this offering, we will redeem all public shares at a per-share price, payable in cash, equal to</w:t>
      </w:r>
    </w:p>
    <w:p>
      <w:pPr>
        <w:sectPr>
          <w:pgSz w:w="11900" w:h="16838" w:orient="portrait"/>
          <w:cols w:equalWidth="0" w:num="2">
            <w:col w:w="8520" w:space="100"/>
            <w:col w:w="2780"/>
          </w:cols>
          <w:pgMar w:left="240" w:top="229" w:right="25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tbl>
      <w:tblPr>
        <w:tblLayout w:type="fixed"/>
        <w:tblInd w:w="2680" w:type="dxa"/>
        <w:tblCellMar>
          <w:top w:w="0" w:type="dxa"/>
          <w:left w:w="0" w:type="dxa"/>
          <w:bottom w:w="0" w:type="dxa"/>
          <w:right w:w="0" w:type="dxa"/>
        </w:tblCellMar>
      </w:tblPr>
      <w:tr>
        <w:trPr>
          <w:trHeight w:val="216"/>
        </w:trPr>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Redemptions in Connection with our</w:t>
            </w:r>
          </w:p>
        </w:tc>
        <w:tc>
          <w:tcPr>
            <w:tcW w:w="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Other Permitted Purchases of</w:t>
            </w:r>
          </w:p>
        </w:tc>
        <w:tc>
          <w:tcPr>
            <w:tcW w:w="1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Redemptions if we fail to Complete</w:t>
            </w:r>
          </w:p>
        </w:tc>
      </w:tr>
      <w:tr>
        <w:trPr>
          <w:trHeight w:val="234"/>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Initial Business Combination</w:t>
            </w:r>
          </w:p>
        </w:tc>
        <w:tc>
          <w:tcPr>
            <w:tcW w:w="8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 Shares by our Affiliates</w:t>
            </w:r>
          </w:p>
        </w:tc>
        <w:tc>
          <w:tcPr>
            <w:tcW w:w="10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 Initial Business Combination</w:t>
            </w:r>
          </w:p>
        </w:tc>
      </w:tr>
    </w:tbl>
    <w:p>
      <w:pPr>
        <w:spacing w:after="0" w:line="67" w:lineRule="exact"/>
        <w:rPr>
          <w:sz w:val="20"/>
          <w:szCs w:val="20"/>
          <w:color w:val="auto"/>
        </w:rPr>
      </w:pPr>
    </w:p>
    <w:p>
      <w:pPr>
        <w:sectPr>
          <w:pgSz w:w="11900" w:h="16838" w:orient="portrait"/>
          <w:cols w:equalWidth="0" w:num="1">
            <w:col w:w="11380"/>
          </w:cols>
          <w:pgMar w:left="240" w:top="229" w:right="279" w:bottom="1440" w:gutter="0" w:footer="0" w:header="0"/>
        </w:sectPr>
      </w:pPr>
    </w:p>
    <w:tbl>
      <w:tblPr>
        <w:tblLayout w:type="fixed"/>
        <w:tblInd w:w="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0"/>
              </w:rPr>
              <w:t>conduct redemptions pursuant to a tender</w:t>
            </w:r>
          </w:p>
        </w:tc>
        <w:tc>
          <w:tcPr>
            <w:tcW w:w="2820" w:type="dxa"/>
            <w:vAlign w:val="bottom"/>
          </w:tcPr>
          <w:p>
            <w:pPr>
              <w:ind w:left="60"/>
              <w:spacing w:after="0"/>
              <w:rPr>
                <w:sz w:val="20"/>
                <w:szCs w:val="20"/>
                <w:color w:val="auto"/>
              </w:rPr>
            </w:pPr>
            <w:r>
              <w:rPr>
                <w:rFonts w:ascii="Arial" w:cs="Arial" w:eastAsia="Arial" w:hAnsi="Arial"/>
                <w:sz w:val="18"/>
                <w:szCs w:val="18"/>
                <w:color w:val="auto"/>
                <w:w w:val="97"/>
              </w:rPr>
              <w:t>in the open market either prior to or</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3"/>
              </w:rPr>
              <w:t>offer or in connection with a shareholder</w:t>
            </w:r>
          </w:p>
        </w:tc>
        <w:tc>
          <w:tcPr>
            <w:tcW w:w="2820" w:type="dxa"/>
            <w:vAlign w:val="bottom"/>
          </w:tcPr>
          <w:p>
            <w:pPr>
              <w:ind w:left="60"/>
              <w:spacing w:after="0"/>
              <w:rPr>
                <w:sz w:val="20"/>
                <w:szCs w:val="20"/>
                <w:color w:val="auto"/>
              </w:rPr>
            </w:pPr>
            <w:r>
              <w:rPr>
                <w:rFonts w:ascii="Arial" w:cs="Arial" w:eastAsia="Arial" w:hAnsi="Arial"/>
                <w:sz w:val="18"/>
                <w:szCs w:val="18"/>
                <w:color w:val="auto"/>
                <w:w w:val="94"/>
              </w:rPr>
              <w:t>following the completion of our initial</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vote. In either case, our public</w:t>
            </w:r>
          </w:p>
        </w:tc>
        <w:tc>
          <w:tcPr>
            <w:tcW w:w="2820" w:type="dxa"/>
            <w:vAlign w:val="bottom"/>
          </w:tcPr>
          <w:p>
            <w:pPr>
              <w:ind w:left="60"/>
              <w:spacing w:after="0"/>
              <w:rPr>
                <w:sz w:val="20"/>
                <w:szCs w:val="20"/>
                <w:color w:val="auto"/>
              </w:rPr>
            </w:pPr>
            <w:r>
              <w:rPr>
                <w:rFonts w:ascii="Arial" w:cs="Arial" w:eastAsia="Arial" w:hAnsi="Arial"/>
                <w:sz w:val="18"/>
                <w:szCs w:val="18"/>
                <w:color w:val="auto"/>
                <w:w w:val="87"/>
              </w:rPr>
              <w:t>business combination. Such purchases</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9"/>
              </w:rPr>
              <w:t>shareholders may redeem their public</w:t>
            </w:r>
          </w:p>
        </w:tc>
        <w:tc>
          <w:tcPr>
            <w:tcW w:w="2820" w:type="dxa"/>
            <w:vAlign w:val="bottom"/>
          </w:tcPr>
          <w:p>
            <w:pPr>
              <w:ind w:left="60"/>
              <w:spacing w:after="0"/>
              <w:rPr>
                <w:sz w:val="20"/>
                <w:szCs w:val="20"/>
                <w:color w:val="auto"/>
              </w:rPr>
            </w:pPr>
            <w:r>
              <w:rPr>
                <w:rFonts w:ascii="Arial" w:cs="Arial" w:eastAsia="Arial" w:hAnsi="Arial"/>
                <w:sz w:val="18"/>
                <w:szCs w:val="18"/>
                <w:color w:val="auto"/>
                <w:w w:val="92"/>
              </w:rPr>
              <w:t>will be prohibited except to the extent</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7"/>
              </w:rPr>
              <w:t>shares for cash equal to the aggregate</w:t>
            </w:r>
          </w:p>
        </w:tc>
        <w:tc>
          <w:tcPr>
            <w:tcW w:w="2820" w:type="dxa"/>
            <w:vAlign w:val="bottom"/>
          </w:tcPr>
          <w:p>
            <w:pPr>
              <w:ind w:left="60"/>
              <w:spacing w:after="0"/>
              <w:rPr>
                <w:sz w:val="20"/>
                <w:szCs w:val="20"/>
                <w:color w:val="auto"/>
              </w:rPr>
            </w:pPr>
            <w:r>
              <w:rPr>
                <w:rFonts w:ascii="Arial" w:cs="Arial" w:eastAsia="Arial" w:hAnsi="Arial"/>
                <w:sz w:val="18"/>
                <w:szCs w:val="18"/>
                <w:color w:val="auto"/>
              </w:rPr>
              <w:t>they are able to be made in</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amount then on deposit in the trust</w:t>
            </w:r>
          </w:p>
        </w:tc>
        <w:tc>
          <w:tcPr>
            <w:tcW w:w="2820" w:type="dxa"/>
            <w:vAlign w:val="bottom"/>
          </w:tcPr>
          <w:p>
            <w:pPr>
              <w:ind w:left="60"/>
              <w:spacing w:after="0"/>
              <w:rPr>
                <w:sz w:val="20"/>
                <w:szCs w:val="20"/>
                <w:color w:val="auto"/>
              </w:rPr>
            </w:pPr>
            <w:r>
              <w:rPr>
                <w:rFonts w:ascii="Arial" w:cs="Arial" w:eastAsia="Arial" w:hAnsi="Arial"/>
                <w:sz w:val="18"/>
                <w:szCs w:val="18"/>
                <w:color w:val="auto"/>
                <w:w w:val="95"/>
              </w:rPr>
              <w:t>compliance with Rule 10b-18, which</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3"/>
              </w:rPr>
              <w:t>account as of two business days prior to</w:t>
            </w:r>
          </w:p>
        </w:tc>
        <w:tc>
          <w:tcPr>
            <w:tcW w:w="2820" w:type="dxa"/>
            <w:vAlign w:val="bottom"/>
          </w:tcPr>
          <w:p>
            <w:pPr>
              <w:ind w:left="60"/>
              <w:spacing w:after="0"/>
              <w:rPr>
                <w:sz w:val="20"/>
                <w:szCs w:val="20"/>
                <w:color w:val="auto"/>
              </w:rPr>
            </w:pPr>
            <w:r>
              <w:rPr>
                <w:rFonts w:ascii="Arial" w:cs="Arial" w:eastAsia="Arial" w:hAnsi="Arial"/>
                <w:sz w:val="18"/>
                <w:szCs w:val="18"/>
                <w:color w:val="auto"/>
              </w:rPr>
              <w:t>is a safe harbor from liability for</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3"/>
              </w:rPr>
              <w:t>the consummation of the initial business</w:t>
            </w:r>
          </w:p>
        </w:tc>
        <w:tc>
          <w:tcPr>
            <w:tcW w:w="2820" w:type="dxa"/>
            <w:vAlign w:val="bottom"/>
          </w:tcPr>
          <w:p>
            <w:pPr>
              <w:ind w:left="60"/>
              <w:spacing w:after="0"/>
              <w:rPr>
                <w:sz w:val="20"/>
                <w:szCs w:val="20"/>
                <w:color w:val="auto"/>
              </w:rPr>
            </w:pPr>
            <w:r>
              <w:rPr>
                <w:rFonts w:ascii="Arial" w:cs="Arial" w:eastAsia="Arial" w:hAnsi="Arial"/>
                <w:sz w:val="18"/>
                <w:szCs w:val="18"/>
                <w:color w:val="auto"/>
                <w:w w:val="98"/>
              </w:rPr>
              <w:t>manipulation under Section 9(a)(2)</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combination (which is initially</w:t>
            </w:r>
          </w:p>
        </w:tc>
        <w:tc>
          <w:tcPr>
            <w:tcW w:w="2820" w:type="dxa"/>
            <w:vAlign w:val="bottom"/>
          </w:tcPr>
          <w:p>
            <w:pPr>
              <w:ind w:left="60"/>
              <w:spacing w:after="0"/>
              <w:rPr>
                <w:sz w:val="20"/>
                <w:szCs w:val="20"/>
                <w:color w:val="auto"/>
              </w:rPr>
            </w:pPr>
            <w:r>
              <w:rPr>
                <w:rFonts w:ascii="Arial" w:cs="Arial" w:eastAsia="Arial" w:hAnsi="Arial"/>
                <w:sz w:val="18"/>
                <w:szCs w:val="18"/>
                <w:color w:val="auto"/>
                <w:w w:val="93"/>
              </w:rPr>
              <w:t>and Rule 10b-5 of the Exchange Act.</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anticipated to be $10.00 per share),</w:t>
            </w:r>
          </w:p>
        </w:tc>
        <w:tc>
          <w:tcPr>
            <w:tcW w:w="2820" w:type="dxa"/>
            <w:vAlign w:val="bottom"/>
          </w:tcPr>
          <w:p>
            <w:pPr>
              <w:ind w:left="60"/>
              <w:spacing w:after="0"/>
              <w:rPr>
                <w:sz w:val="20"/>
                <w:szCs w:val="20"/>
                <w:color w:val="auto"/>
              </w:rPr>
            </w:pPr>
            <w:r>
              <w:rPr>
                <w:rFonts w:ascii="Arial" w:cs="Arial" w:eastAsia="Arial" w:hAnsi="Arial"/>
                <w:sz w:val="18"/>
                <w:szCs w:val="18"/>
                <w:color w:val="auto"/>
                <w:w w:val="91"/>
              </w:rPr>
              <w:t>None of the funds in the trust account</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2"/>
              </w:rPr>
              <w:t>including interest (which interest shall be</w:t>
            </w:r>
          </w:p>
        </w:tc>
        <w:tc>
          <w:tcPr>
            <w:tcW w:w="2820" w:type="dxa"/>
            <w:vAlign w:val="bottom"/>
          </w:tcPr>
          <w:p>
            <w:pPr>
              <w:ind w:left="60"/>
              <w:spacing w:after="0"/>
              <w:rPr>
                <w:sz w:val="20"/>
                <w:szCs w:val="20"/>
                <w:color w:val="auto"/>
              </w:rPr>
            </w:pPr>
            <w:r>
              <w:rPr>
                <w:rFonts w:ascii="Arial" w:cs="Arial" w:eastAsia="Arial" w:hAnsi="Arial"/>
                <w:sz w:val="18"/>
                <w:szCs w:val="18"/>
                <w:color w:val="auto"/>
              </w:rPr>
              <w:t>will be used to purchase shares in</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net of taxes payable), divided by the</w:t>
            </w:r>
          </w:p>
        </w:tc>
        <w:tc>
          <w:tcPr>
            <w:tcW w:w="2820" w:type="dxa"/>
            <w:vAlign w:val="bottom"/>
          </w:tcPr>
          <w:p>
            <w:pPr>
              <w:ind w:left="60"/>
              <w:spacing w:after="0"/>
              <w:rPr>
                <w:sz w:val="20"/>
                <w:szCs w:val="20"/>
                <w:color w:val="auto"/>
              </w:rPr>
            </w:pPr>
            <w:r>
              <w:rPr>
                <w:rFonts w:ascii="Arial" w:cs="Arial" w:eastAsia="Arial" w:hAnsi="Arial"/>
                <w:sz w:val="18"/>
                <w:szCs w:val="18"/>
                <w:color w:val="auto"/>
              </w:rPr>
              <w:t>such transactions.</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6"/>
              </w:rPr>
              <w:t>number of then issued and outstanding</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public shares, subject to the limitation</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5"/>
              </w:rPr>
              <w:t>that no redemptions will take place if all</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5"/>
              </w:rPr>
              <w:t>of the redemptions would cause our net</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tangible assets, after payment of the</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8"/>
              </w:rPr>
              <w:t>deferred underwriting commissions, to</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1"/>
              </w:rPr>
              <w:t>be less than $5,000,001 upon completion</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8"/>
              </w:rPr>
              <w:t>of our initial business combination and</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any limitations (including, but not</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4"/>
              </w:rPr>
              <w:t>limited to, cash requirements) agreed to</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in connection with the negotiation of</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terms of a proposed business</w:t>
            </w:r>
          </w:p>
        </w:tc>
        <w:tc>
          <w:tcPr>
            <w:tcW w:w="282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combination.</w:t>
            </w:r>
          </w:p>
        </w:tc>
        <w:tc>
          <w:tcPr>
            <w:tcW w:w="2820" w:type="dxa"/>
            <w:vAlign w:val="bottom"/>
          </w:tcPr>
          <w:p>
            <w:pPr>
              <w:spacing w:after="0"/>
              <w:rPr>
                <w:sz w:val="20"/>
                <w:szCs w:val="20"/>
                <w:color w:val="auto"/>
              </w:rPr>
            </w:pPr>
          </w:p>
        </w:tc>
      </w:tr>
      <w:tr>
        <w:trPr>
          <w:trHeight w:val="279"/>
        </w:trPr>
        <w:tc>
          <w:tcPr>
            <w:tcW w:w="2120" w:type="dxa"/>
            <w:vAlign w:val="bottom"/>
          </w:tcPr>
          <w:p>
            <w:pPr>
              <w:spacing w:after="0"/>
              <w:rPr>
                <w:sz w:val="20"/>
                <w:szCs w:val="20"/>
                <w:color w:val="auto"/>
              </w:rPr>
            </w:pPr>
            <w:r>
              <w:rPr>
                <w:rFonts w:ascii="Arial" w:cs="Arial" w:eastAsia="Arial" w:hAnsi="Arial"/>
                <w:sz w:val="18"/>
                <w:szCs w:val="18"/>
                <w:b w:val="1"/>
                <w:bCs w:val="1"/>
                <w:color w:val="auto"/>
              </w:rPr>
              <w:t>Impact to remaining</w:t>
            </w:r>
          </w:p>
        </w:tc>
        <w:tc>
          <w:tcPr>
            <w:tcW w:w="3540" w:type="dxa"/>
            <w:vAlign w:val="bottom"/>
          </w:tcPr>
          <w:p>
            <w:pPr>
              <w:ind w:left="520"/>
              <w:spacing w:after="0"/>
              <w:rPr>
                <w:sz w:val="20"/>
                <w:szCs w:val="20"/>
                <w:color w:val="auto"/>
              </w:rPr>
            </w:pPr>
            <w:r>
              <w:rPr>
                <w:rFonts w:ascii="Arial" w:cs="Arial" w:eastAsia="Arial" w:hAnsi="Arial"/>
                <w:sz w:val="18"/>
                <w:szCs w:val="18"/>
                <w:color w:val="auto"/>
                <w:w w:val="95"/>
              </w:rPr>
              <w:t>The redemptions in connection with our</w:t>
            </w:r>
          </w:p>
        </w:tc>
        <w:tc>
          <w:tcPr>
            <w:tcW w:w="2820" w:type="dxa"/>
            <w:vAlign w:val="bottom"/>
          </w:tcPr>
          <w:p>
            <w:pPr>
              <w:ind w:left="60"/>
              <w:spacing w:after="0"/>
              <w:rPr>
                <w:sz w:val="20"/>
                <w:szCs w:val="20"/>
                <w:color w:val="auto"/>
              </w:rPr>
            </w:pPr>
            <w:r>
              <w:rPr>
                <w:rFonts w:ascii="Arial" w:cs="Arial" w:eastAsia="Arial" w:hAnsi="Arial"/>
                <w:sz w:val="18"/>
                <w:szCs w:val="18"/>
                <w:color w:val="auto"/>
                <w:w w:val="94"/>
              </w:rPr>
              <w:t>If the permitted purchases described</w:t>
            </w:r>
          </w:p>
        </w:tc>
      </w:tr>
      <w:tr>
        <w:trPr>
          <w:trHeight w:val="220"/>
        </w:trPr>
        <w:tc>
          <w:tcPr>
            <w:tcW w:w="212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3540" w:type="dxa"/>
            <w:vAlign w:val="bottom"/>
          </w:tcPr>
          <w:p>
            <w:pPr>
              <w:ind w:left="520"/>
              <w:spacing w:after="0"/>
              <w:rPr>
                <w:sz w:val="20"/>
                <w:szCs w:val="20"/>
                <w:color w:val="auto"/>
              </w:rPr>
            </w:pPr>
            <w:r>
              <w:rPr>
                <w:rFonts w:ascii="Arial" w:cs="Arial" w:eastAsia="Arial" w:hAnsi="Arial"/>
                <w:sz w:val="18"/>
                <w:szCs w:val="18"/>
                <w:color w:val="auto"/>
                <w:w w:val="97"/>
              </w:rPr>
              <w:t>initial business combination will reduce</w:t>
            </w:r>
          </w:p>
        </w:tc>
        <w:tc>
          <w:tcPr>
            <w:tcW w:w="2820" w:type="dxa"/>
            <w:vAlign w:val="bottom"/>
          </w:tcPr>
          <w:p>
            <w:pPr>
              <w:ind w:left="60"/>
              <w:spacing w:after="0"/>
              <w:rPr>
                <w:sz w:val="20"/>
                <w:szCs w:val="20"/>
                <w:color w:val="auto"/>
              </w:rPr>
            </w:pPr>
            <w:r>
              <w:rPr>
                <w:rFonts w:ascii="Arial" w:cs="Arial" w:eastAsia="Arial" w:hAnsi="Arial"/>
                <w:sz w:val="18"/>
                <w:szCs w:val="18"/>
                <w:color w:val="auto"/>
              </w:rPr>
              <w:t>above are made, there will be no</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the book value per share for our</w:t>
            </w:r>
          </w:p>
        </w:tc>
        <w:tc>
          <w:tcPr>
            <w:tcW w:w="2820" w:type="dxa"/>
            <w:vAlign w:val="bottom"/>
          </w:tcPr>
          <w:p>
            <w:pPr>
              <w:ind w:left="60"/>
              <w:spacing w:after="0"/>
              <w:rPr>
                <w:sz w:val="20"/>
                <w:szCs w:val="20"/>
                <w:color w:val="auto"/>
              </w:rPr>
            </w:pPr>
            <w:r>
              <w:rPr>
                <w:rFonts w:ascii="Arial" w:cs="Arial" w:eastAsia="Arial" w:hAnsi="Arial"/>
                <w:sz w:val="18"/>
                <w:szCs w:val="18"/>
                <w:color w:val="auto"/>
                <w:w w:val="92"/>
              </w:rPr>
              <w:t>impact to our remaining shareholders</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9"/>
              </w:rPr>
              <w:t>remaining shareholders, who will bear</w:t>
            </w:r>
          </w:p>
        </w:tc>
        <w:tc>
          <w:tcPr>
            <w:tcW w:w="2820" w:type="dxa"/>
            <w:vAlign w:val="bottom"/>
          </w:tcPr>
          <w:p>
            <w:pPr>
              <w:ind w:left="60"/>
              <w:spacing w:after="0"/>
              <w:rPr>
                <w:sz w:val="20"/>
                <w:szCs w:val="20"/>
                <w:color w:val="auto"/>
              </w:rPr>
            </w:pPr>
            <w:r>
              <w:rPr>
                <w:rFonts w:ascii="Arial" w:cs="Arial" w:eastAsia="Arial" w:hAnsi="Arial"/>
                <w:sz w:val="18"/>
                <w:szCs w:val="18"/>
                <w:color w:val="auto"/>
                <w:w w:val="90"/>
              </w:rPr>
              <w:t>because the purchase price would not</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6"/>
              </w:rPr>
              <w:t>the burden of the deferred underwriting</w:t>
            </w:r>
          </w:p>
        </w:tc>
        <w:tc>
          <w:tcPr>
            <w:tcW w:w="2820" w:type="dxa"/>
            <w:vAlign w:val="bottom"/>
          </w:tcPr>
          <w:p>
            <w:pPr>
              <w:ind w:left="60"/>
              <w:spacing w:after="0"/>
              <w:rPr>
                <w:sz w:val="20"/>
                <w:szCs w:val="20"/>
                <w:color w:val="auto"/>
              </w:rPr>
            </w:pPr>
            <w:r>
              <w:rPr>
                <w:rFonts w:ascii="Arial" w:cs="Arial" w:eastAsia="Arial" w:hAnsi="Arial"/>
                <w:sz w:val="18"/>
                <w:szCs w:val="18"/>
                <w:color w:val="auto"/>
              </w:rPr>
              <w:t>be paid by us.</w:t>
            </w: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7"/>
              </w:rPr>
              <w:t>commissions and interest withdrawn in</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2"/>
              </w:rPr>
              <w:t>order to pay taxes (to the extent not paid</w:t>
            </w:r>
          </w:p>
        </w:tc>
        <w:tc>
          <w:tcPr>
            <w:tcW w:w="28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w w:val="93"/>
              </w:rPr>
              <w:t>from amounts accrued as interest on the</w:t>
            </w:r>
          </w:p>
        </w:tc>
        <w:tc>
          <w:tcPr>
            <w:tcW w:w="282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p>
        </w:tc>
        <w:tc>
          <w:tcPr>
            <w:tcW w:w="3540" w:type="dxa"/>
            <w:vAlign w:val="bottom"/>
          </w:tcPr>
          <w:p>
            <w:pPr>
              <w:ind w:left="520"/>
              <w:spacing w:after="0"/>
              <w:rPr>
                <w:sz w:val="20"/>
                <w:szCs w:val="20"/>
                <w:color w:val="auto"/>
              </w:rPr>
            </w:pPr>
            <w:r>
              <w:rPr>
                <w:rFonts w:ascii="Arial" w:cs="Arial" w:eastAsia="Arial" w:hAnsi="Arial"/>
                <w:sz w:val="18"/>
                <w:szCs w:val="18"/>
                <w:color w:val="auto"/>
              </w:rPr>
              <w:t>funds held in the trust account).</w:t>
            </w:r>
          </w:p>
        </w:tc>
        <w:tc>
          <w:tcPr>
            <w:tcW w:w="2820" w:type="dxa"/>
            <w:vAlign w:val="bottom"/>
          </w:tcPr>
          <w:p>
            <w:pPr>
              <w:spacing w:after="0"/>
              <w:rPr>
                <w:sz w:val="20"/>
                <w:szCs w:val="20"/>
                <w:color w:val="auto"/>
              </w:rPr>
            </w:pPr>
          </w:p>
        </w:tc>
      </w:tr>
      <w:tr>
        <w:trPr>
          <w:trHeight w:val="365"/>
        </w:trPr>
        <w:tc>
          <w:tcPr>
            <w:tcW w:w="2120" w:type="dxa"/>
            <w:vAlign w:val="bottom"/>
          </w:tcPr>
          <w:p>
            <w:pPr>
              <w:spacing w:after="0"/>
              <w:rPr>
                <w:sz w:val="24"/>
                <w:szCs w:val="24"/>
                <w:color w:val="auto"/>
              </w:rPr>
            </w:pPr>
          </w:p>
        </w:tc>
        <w:tc>
          <w:tcPr>
            <w:tcW w:w="6360" w:type="dxa"/>
            <w:vAlign w:val="bottom"/>
            <w:gridSpan w:val="2"/>
          </w:tcPr>
          <w:p>
            <w:pPr>
              <w:ind w:left="3440"/>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the aggregate amount then on deposit in the trust account (which is initially anticipated to be $10.00 per share), including interest (less up to $100,000 of interest to pay dissolution expenses and which interest shall be net of taxes payable), divided by the number of then issued and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2">
            <w:col w:w="8520" w:space="100"/>
            <w:col w:w="2760"/>
          </w:cols>
          <w:pgMar w:left="240" w:top="229" w:right="27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 will not exercise its over-allotment option. None of the provisions of Rule 419 apply to our offering.</w:t>
      </w:r>
    </w:p>
    <w:p>
      <w:pPr>
        <w:sectPr>
          <w:pgSz w:w="11900" w:h="16838" w:orient="portrait"/>
          <w:cols w:equalWidth="0" w:num="1">
            <w:col w:w="11380"/>
          </w:cols>
          <w:pgMar w:left="240" w:top="229" w:right="279" w:bottom="1440" w:gutter="0" w:footer="0" w:header="0"/>
        </w:sect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Terms of Our Offering</w:t>
            </w:r>
          </w:p>
        </w:tc>
      </w:tr>
      <w:tr>
        <w:trPr>
          <w:trHeight w:val="276"/>
        </w:trPr>
        <w:tc>
          <w:tcPr>
            <w:tcW w:w="3020" w:type="dxa"/>
            <w:vAlign w:val="bottom"/>
          </w:tcPr>
          <w:p>
            <w:pPr>
              <w:spacing w:after="0"/>
              <w:rPr>
                <w:sz w:val="20"/>
                <w:szCs w:val="20"/>
                <w:color w:val="auto"/>
              </w:rPr>
            </w:pPr>
            <w:r>
              <w:rPr>
                <w:rFonts w:ascii="Arial" w:cs="Arial" w:eastAsia="Arial" w:hAnsi="Arial"/>
                <w:sz w:val="18"/>
                <w:szCs w:val="18"/>
                <w:b w:val="1"/>
                <w:bCs w:val="1"/>
                <w:color w:val="auto"/>
              </w:rPr>
              <w:t>Escrow of offering proceeds</w:t>
            </w: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w w:val="94"/>
              </w:rPr>
              <w:t>$250,000,000 of the net proceeds of this offering</w:t>
            </w:r>
          </w:p>
        </w:tc>
      </w:tr>
      <w:tr>
        <w:trPr>
          <w:trHeight w:val="216"/>
        </w:trPr>
        <w:tc>
          <w:tcPr>
            <w:tcW w:w="3020" w:type="dxa"/>
            <w:vAlign w:val="bottom"/>
          </w:tcPr>
          <w:p>
            <w:pPr>
              <w:spacing w:after="0"/>
              <w:rPr>
                <w:sz w:val="18"/>
                <w:szCs w:val="18"/>
                <w:color w:val="auto"/>
              </w:rPr>
            </w:pP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w w:val="91"/>
              </w:rPr>
              <w:t>and the sale of the private placement warrants will</w:t>
            </w:r>
          </w:p>
        </w:tc>
      </w:tr>
      <w:tr>
        <w:trPr>
          <w:trHeight w:val="216"/>
        </w:trPr>
        <w:tc>
          <w:tcPr>
            <w:tcW w:w="3020" w:type="dxa"/>
            <w:vAlign w:val="bottom"/>
          </w:tcPr>
          <w:p>
            <w:pPr>
              <w:spacing w:after="0"/>
              <w:rPr>
                <w:sz w:val="18"/>
                <w:szCs w:val="18"/>
                <w:color w:val="auto"/>
              </w:rPr>
            </w:pP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w w:val="97"/>
              </w:rPr>
              <w:t>be deposited into a U.S.-based trust account at</w:t>
            </w:r>
          </w:p>
        </w:tc>
      </w:tr>
      <w:tr>
        <w:trPr>
          <w:trHeight w:val="216"/>
        </w:trPr>
        <w:tc>
          <w:tcPr>
            <w:tcW w:w="3020" w:type="dxa"/>
            <w:vAlign w:val="bottom"/>
          </w:tcPr>
          <w:p>
            <w:pPr>
              <w:spacing w:after="0"/>
              <w:rPr>
                <w:sz w:val="18"/>
                <w:szCs w:val="18"/>
                <w:color w:val="auto"/>
              </w:rPr>
            </w:pP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w w:val="92"/>
              </w:rPr>
              <w:t>with Continental Stock Transfer &amp; Trust Company</w:t>
            </w:r>
          </w:p>
        </w:tc>
      </w:tr>
      <w:tr>
        <w:trPr>
          <w:trHeight w:val="230"/>
        </w:trPr>
        <w:tc>
          <w:tcPr>
            <w:tcW w:w="3020" w:type="dxa"/>
            <w:vAlign w:val="bottom"/>
          </w:tcPr>
          <w:p>
            <w:pPr>
              <w:spacing w:after="0"/>
              <w:rPr>
                <w:sz w:val="20"/>
                <w:szCs w:val="20"/>
                <w:color w:val="auto"/>
              </w:rPr>
            </w:pPr>
          </w:p>
        </w:tc>
        <w:tc>
          <w:tcPr>
            <w:tcW w:w="4560" w:type="dxa"/>
            <w:vAlign w:val="bottom"/>
            <w:gridSpan w:val="2"/>
          </w:tcPr>
          <w:p>
            <w:pPr>
              <w:ind w:left="880"/>
              <w:spacing w:after="0"/>
              <w:rPr>
                <w:sz w:val="20"/>
                <w:szCs w:val="20"/>
                <w:color w:val="auto"/>
              </w:rPr>
            </w:pPr>
            <w:r>
              <w:rPr>
                <w:rFonts w:ascii="Arial" w:cs="Arial" w:eastAsia="Arial" w:hAnsi="Arial"/>
                <w:sz w:val="18"/>
                <w:szCs w:val="18"/>
                <w:color w:val="auto"/>
              </w:rPr>
              <w:t>acting as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$250,000,000 of the net offering proceeds and the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sale of the private placement warrants held in trust</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will be invested only in U.S. government treasury</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bills with a maturity of 180 days or less or in</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money market funds investing solely in U.S.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Treasuries and meeting certain conditions under</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Rule 2a-7 under the Investment Company Act.</w:t>
      </w:r>
    </w:p>
    <w:p>
      <w:pPr>
        <w:spacing w:after="0" w:line="83"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Receipt of interest on escrowed funds</w:t>
      </w:r>
      <w:r>
        <w:rPr>
          <w:sz w:val="20"/>
          <w:szCs w:val="20"/>
          <w:color w:val="auto"/>
        </w:rPr>
        <w:tab/>
      </w:r>
      <w:r>
        <w:rPr>
          <w:rFonts w:ascii="Arial" w:cs="Arial" w:eastAsia="Arial" w:hAnsi="Arial"/>
          <w:sz w:val="16"/>
          <w:szCs w:val="16"/>
          <w:color w:val="auto"/>
        </w:rPr>
        <w:t>Interest on proceeds from the trust account to be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paid to shareholders is reduced by (1) any taxes</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paid or payable and (2) in the event of our</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liquidation for failure to complete our initial</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business combination within the allotted time, up</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to $100,000 of net interest that may be released to</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us should we have no or insufficient working</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capital to fund the costs and expenses of our</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dissolution and liquidation.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3323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Approximately $212,625,000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3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913" w:lineRule="exact"/>
        <w:rPr>
          <w:sz w:val="20"/>
          <w:szCs w:val="20"/>
          <w:color w:val="auto"/>
        </w:rPr>
      </w:pPr>
    </w:p>
    <w:p>
      <w:pPr>
        <w:sectPr>
          <w:pgSz w:w="11900" w:h="16838" w:orient="portrait"/>
          <w:cols w:equalWidth="0" w:num="2">
            <w:col w:w="7620" w:space="80"/>
            <w:col w:w="3680"/>
          </w:cols>
          <w:pgMar w:left="240" w:top="229" w:right="279" w:bottom="1440" w:gutter="0" w:footer="0" w:header="0"/>
          <w:type w:val="continuous"/>
        </w:sectPr>
      </w:pPr>
    </w:p>
    <w:p>
      <w:pPr>
        <w:ind w:left="40"/>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Notwithstanding the foregoing, if we are not then listed on Nasdaq for</w:t>
      </w:r>
    </w:p>
    <w:p>
      <w:pPr>
        <w:spacing w:after="0" w:line="20" w:lineRule="exact"/>
        <w:rPr>
          <w:sz w:val="20"/>
          <w:szCs w:val="20"/>
          <w:color w:val="auto"/>
        </w:rPr>
      </w:pPr>
      <w:r>
        <w:rPr>
          <w:sz w:val="20"/>
          <w:szCs w:val="20"/>
          <w:color w:val="auto"/>
        </w:rPr>
        <w:br w:type="column"/>
      </w:r>
    </w:p>
    <w:p>
      <w:pPr>
        <w:ind w:right="320"/>
        <w:spacing w:after="0" w:line="264"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1409" w:lineRule="exact"/>
        <w:rPr>
          <w:sz w:val="20"/>
          <w:szCs w:val="20"/>
          <w:color w:val="auto"/>
        </w:rPr>
      </w:pPr>
    </w:p>
    <w:p>
      <w:pPr>
        <w:sectPr>
          <w:pgSz w:w="11900" w:h="16838" w:orient="portrait"/>
          <w:cols w:equalWidth="0" w:num="3">
            <w:col w:w="3560" w:space="380"/>
            <w:col w:w="3680" w:space="80"/>
            <w:col w:w="3680"/>
          </w:cols>
          <w:pgMar w:left="240" w:top="229" w:right="27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jc w:val="right"/>
        <w:ind w:right="54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17145</wp:posOffset>
            </wp:positionV>
            <wp:extent cx="47250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p>
      <w:pPr>
        <w:spacing w:after="0" w:line="108"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whatever reason, we would no longer be required</w:t>
      </w:r>
    </w:p>
    <w:p>
      <w:pPr>
        <w:spacing w:after="0" w:line="46"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to meet the foregoing 80% fair market value test.</w:t>
      </w:r>
    </w:p>
    <w:p>
      <w:pPr>
        <w:spacing w:after="0" w:line="83"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will begin trading on or promptly after</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the date of this prospectus. The Class A ordinary</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shares and warrants constituting the units will</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begin separate trading on the 52nd day following</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the date of this prospectus unless Credit Suisse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Securities (USA) LLC informs us of its decision to</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allow earlier separate trading, subject to our</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having filed the Current Report on Form 8-K</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described below and having issued a press release</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announcing when such separate trading will begin.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We will file the Current Report on Form 8-K</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promptly after the closing of this offering. If the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underwriter’s over-allotment option is exercised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following the initial filing of such Current Report</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on Form 8-K, a second or amended Current Report</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on Form 8-K will be filed to provide updated</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financial information to reflect the exercise of the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underwriter’s over-allotment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No trading of the units or the underlying Class A ordinary shares and warrants would be permitted until the completion of a business combination.</w:t>
      </w:r>
    </w:p>
    <w:p>
      <w:pPr>
        <w:ind w:right="60"/>
        <w:spacing w:after="0" w:line="261" w:lineRule="auto"/>
        <w:rPr>
          <w:sz w:val="20"/>
          <w:szCs w:val="20"/>
          <w:color w:val="auto"/>
        </w:rPr>
      </w:pPr>
      <w:r>
        <w:rPr>
          <w:rFonts w:ascii="Arial" w:cs="Arial" w:eastAsia="Arial" w:hAnsi="Arial"/>
          <w:sz w:val="18"/>
          <w:szCs w:val="18"/>
          <w:color w:val="auto"/>
        </w:rPr>
        <w:t>During this period, the securities would be held in the escrow or trust account.</w:t>
      </w:r>
    </w:p>
    <w:p>
      <w:pPr>
        <w:spacing w:after="0" w:line="2853" w:lineRule="exact"/>
        <w:rPr>
          <w:sz w:val="20"/>
          <w:szCs w:val="20"/>
          <w:color w:val="auto"/>
        </w:rPr>
      </w:pPr>
    </w:p>
    <w:p>
      <w:pPr>
        <w:sectPr>
          <w:pgSz w:w="11900" w:h="16838" w:orient="portrait"/>
          <w:cols w:equalWidth="0" w:num="2">
            <w:col w:w="7620" w:space="80"/>
            <w:col w:w="3680"/>
          </w:cols>
          <w:pgMar w:left="240" w:top="229" w:right="279" w:bottom="1440" w:gutter="0" w:footer="0" w:header="0"/>
          <w:type w:val="continuous"/>
        </w:sect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later of</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30 days after the completion of our initial business</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combination or 12 months from the closing of this</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offering.</w:t>
      </w:r>
    </w:p>
    <w:p>
      <w:pPr>
        <w:spacing w:after="0" w:line="288"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shareholders with the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opportunity to redeem their public shares for cash</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equal to their pro rata share of the aggregate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amount then on deposit in the trust account as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two business days prior to the completion of our</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initial business combination, including interest,</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which interest shall be net of taxes payable, upon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the completion of our initial business combination,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subject to the limitations described herein. We may</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not be required by applicable law or stock</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exchange rules to hold a shareholder vote. If we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are not required by applicable law or stock</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exchange rules and do not otherwise decide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hold a shareholder vote, we will, pursuant to our</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amended and restated memorandum and articles of</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association, conduct the redemptions</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5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w:t>
      </w:r>
    </w:p>
    <w:p>
      <w:pPr>
        <w:sectPr>
          <w:pgSz w:w="11900" w:h="16838" w:orient="portrait"/>
          <w:cols w:equalWidth="0" w:num="2">
            <w:col w:w="7620" w:space="80"/>
            <w:col w:w="3680"/>
          </w:cols>
          <w:pgMar w:left="240" w:top="229" w:right="27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jc w:val="right"/>
        <w:ind w:right="50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17145</wp:posOffset>
            </wp:positionV>
            <wp:extent cx="47250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p>
      <w:pPr>
        <w:spacing w:after="0" w:line="108"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pursuant to the tender offer rules of the SEC and</w:t>
      </w:r>
    </w:p>
    <w:p>
      <w:pPr>
        <w:spacing w:after="0" w:line="35"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file tender offer documents with the SEC which</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will contain substantially the same financial and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other information about the initial business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combination and the redemption rights as is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required under the SEC’s proxy rules. If, however,</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we hold a shareholder vote, we will, like many</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blank check companies, offer to redeem shares in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conjunction with a proxy solicitation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the proxy rules and not pursuant to the tender offer</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rules. Pursuant to the tender offer rules, the tender</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offer period will be not less than 20 business days</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and, in the case of a shareholder vote, a final proxy</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statement would be mailed to public shareholders</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at least 10 days prior to the shareholder vote.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However, we expect that a draft proxy statement</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would be made available to such shareholders well</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advance of such time, providing additional</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notice of redemption if we conduct redemptions in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conjunction with a proxy solicitation. If we seek</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shareholder approval, we will complete our initial</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business combination only if we receive an</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ordinary resolution under Cayman Islands law,</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which requires the affirmative vote of a majority</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of the shareholders who attend and vote at a</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general meeting of the company. Additionally,</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each public shareholder may elect to redeem its</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public shares without voting and, if they do vote,</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irrespective of whether they vote for or against the</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proposed business combination.</w:t>
      </w:r>
    </w:p>
    <w:p>
      <w:pPr>
        <w:spacing w:after="0" w:line="72" w:lineRule="exact"/>
        <w:rPr>
          <w:sz w:val="20"/>
          <w:szCs w:val="20"/>
          <w:color w:val="auto"/>
        </w:rPr>
      </w:pPr>
    </w:p>
    <w:p>
      <w:pPr>
        <w:ind w:left="40"/>
        <w:spacing w:after="0"/>
        <w:tabs>
          <w:tab w:leader="none" w:pos="392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are unable to complete an initial business</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combination within 24 months from the closing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this offering, we will (1) cease all operations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except for the purpose of winding up, (2) as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promptly as reasonably possible but not more than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10 business days thereafter, redeem 100% of the</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public shares, at a per-share price, payable in cash,</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equal to the aggregate amount then on deposit in</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trust account, including interest (less up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$100,000 of interest to pay dissolution expenses</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and which</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number of investors elect to remain investors, all funds on deposit in the escrow account must be returned to all of the investors and none of the securities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620" w:space="80"/>
            <w:col w:w="3640"/>
          </w:cols>
          <w:pgMar w:left="240" w:top="229" w:right="31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jc w:val="right"/>
        <w:ind w:right="48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17145</wp:posOffset>
            </wp:positionV>
            <wp:extent cx="47250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0"/>
        <w:spacing w:after="0" w:line="314" w:lineRule="auto"/>
        <w:rPr>
          <w:sz w:val="20"/>
          <w:szCs w:val="20"/>
          <w:color w:val="auto"/>
        </w:rPr>
      </w:pPr>
      <w:r>
        <w:rPr>
          <w:rFonts w:ascii="Arial" w:cs="Arial" w:eastAsia="Arial" w:hAnsi="Arial"/>
          <w:sz w:val="16"/>
          <w:szCs w:val="16"/>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5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w:t>
      </w:r>
    </w:p>
    <w:p>
      <w:pPr>
        <w:spacing w:after="0" w:line="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Most blank check companies provide no restrictions on the ability of shareholders to redeem shares based on the number of shares held by such shareholders in connection with an initial business combination.</w:t>
      </w:r>
    </w:p>
    <w:p>
      <w:pPr>
        <w:spacing w:after="0" w:line="537" w:lineRule="exact"/>
        <w:rPr>
          <w:sz w:val="20"/>
          <w:szCs w:val="20"/>
          <w:color w:val="auto"/>
        </w:rPr>
      </w:pPr>
    </w:p>
    <w:p>
      <w:pPr>
        <w:sectPr>
          <w:pgSz w:w="11900" w:h="16838" w:orient="portrait"/>
          <w:cols w:equalWidth="0" w:num="3">
            <w:col w:w="3760" w:space="180"/>
            <w:col w:w="3680" w:space="80"/>
            <w:col w:w="3620"/>
          </w:cols>
          <w:pgMar w:left="240" w:top="229" w:right="3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jc w:val="right"/>
        <w:ind w:right="50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17145</wp:posOffset>
            </wp:positionV>
            <wp:extent cx="47250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affiliate of such shareholder or any other person with whom such shareholder is acting in concert or as a “group” (as defined under Section 13 of the Exchange Act), will be restricted from redeeming its shares with respect Excess Shares (more than an aggregate of 15% of the shares sold in this offering), without our prior consent. Our public shareholders’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5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shareholders to arrange for them to deliver their certificate to verify ownership.</w:t>
      </w:r>
    </w:p>
    <w:p>
      <w:pPr>
        <w:spacing w:after="0" w:line="3556" w:lineRule="exact"/>
        <w:rPr>
          <w:sz w:val="20"/>
          <w:szCs w:val="20"/>
          <w:color w:val="auto"/>
        </w:rPr>
      </w:pPr>
    </w:p>
    <w:p>
      <w:pPr>
        <w:sectPr>
          <w:pgSz w:w="11900" w:h="16838" w:orient="portrait"/>
          <w:cols w:equalWidth="0" w:num="3">
            <w:col w:w="3760" w:space="180"/>
            <w:col w:w="3680" w:space="80"/>
            <w:col w:w="3640"/>
          </w:cols>
          <w:pgMar w:left="240" w:top="229" w:right="31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14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currently maintain our executive offices at 1114 6th Ave, 41st Floor New York, New York, 10036. The cost for the space is included in the up to $20,000 monthly fee that we will pay our sponsor for office space, administrative and support services. We consider our current office space adequate for our current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currently have four executive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auditors.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provide shareholders with audited financial statements of the prospective target business as part of the tender offer materials or proxy solicitation materials sent to shareholders to assist them in assessing the target business. These financial statements may be required to be prepared in accordance with, or be reconciled to, U.S. GAAP or IFRS, depending on the circumstances and the historical financial statements may be required to be audited in accordance with PCAOB standards.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 While this may limit the pool of potential business combination candidates, we do not believe that this limitation will be material.</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2020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gridSpan w:val="4"/>
          </w:tcPr>
          <w:p>
            <w:pPr>
              <w:ind w:left="300"/>
              <w:spacing w:after="0"/>
              <w:rPr>
                <w:sz w:val="20"/>
                <w:szCs w:val="20"/>
                <w:color w:val="auto"/>
              </w:rPr>
            </w:pPr>
            <w:r>
              <w:rPr>
                <w:rFonts w:ascii="Arial" w:cs="Arial" w:eastAsia="Arial" w:hAnsi="Arial"/>
                <w:sz w:val="18"/>
                <w:szCs w:val="18"/>
                <w:b w:val="1"/>
                <w:bCs w:val="1"/>
                <w:color w:val="auto"/>
              </w:rPr>
              <w:t>MANAGEMENT</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Directors, Director Nominees and Executive Officers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4620" w:type="dxa"/>
            <w:vAlign w:val="bottom"/>
          </w:tcPr>
          <w:p>
            <w:pPr>
              <w:ind w:left="208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80" w:type="dxa"/>
            <w:vAlign w:val="bottom"/>
          </w:tcPr>
          <w:p>
            <w:pPr>
              <w:spacing w:after="0"/>
              <w:rPr>
                <w:sz w:val="24"/>
                <w:szCs w:val="24"/>
                <w:color w:val="auto"/>
              </w:rPr>
            </w:pPr>
          </w:p>
        </w:tc>
        <w:tc>
          <w:tcPr>
            <w:tcW w:w="5560" w:type="dxa"/>
            <w:vAlign w:val="bottom"/>
            <w:gridSpan w:val="2"/>
          </w:tcPr>
          <w:p>
            <w:pPr>
              <w:ind w:left="2580"/>
              <w:spacing w:after="0"/>
              <w:rPr>
                <w:sz w:val="20"/>
                <w:szCs w:val="20"/>
                <w:color w:val="auto"/>
              </w:rPr>
            </w:pPr>
            <w:r>
              <w:rPr>
                <w:rFonts w:ascii="Arial" w:cs="Arial" w:eastAsia="Arial" w:hAnsi="Arial"/>
                <w:sz w:val="18"/>
                <w:szCs w:val="18"/>
                <w:b w:val="1"/>
                <w:bCs w:val="1"/>
                <w:color w:val="auto"/>
              </w:rPr>
              <w:t>Title</w:t>
            </w:r>
          </w:p>
        </w:tc>
      </w:tr>
      <w:tr>
        <w:trPr>
          <w:trHeight w:val="34"/>
        </w:trPr>
        <w:tc>
          <w:tcPr>
            <w:tcW w:w="40" w:type="dxa"/>
            <w:vAlign w:val="bottom"/>
          </w:tcPr>
          <w:p>
            <w:pPr>
              <w:spacing w:after="0"/>
              <w:rPr>
                <w:sz w:val="2"/>
                <w:szCs w:val="2"/>
                <w:color w:val="auto"/>
              </w:rPr>
            </w:pPr>
          </w:p>
        </w:tc>
        <w:tc>
          <w:tcPr>
            <w:tcW w:w="4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40" w:type="dxa"/>
            <w:vAlign w:val="bottom"/>
            <w:tcBorders>
              <w:bottom w:val="single" w:sz="8" w:color="D5EAEA"/>
            </w:tcBorders>
            <w:shd w:val="clear" w:color="auto" w:fill="D5EAEA"/>
          </w:tcPr>
          <w:p>
            <w:pPr>
              <w:spacing w:after="0"/>
              <w:rPr>
                <w:sz w:val="24"/>
                <w:szCs w:val="24"/>
                <w:color w:val="auto"/>
              </w:rPr>
            </w:pPr>
          </w:p>
        </w:tc>
        <w:tc>
          <w:tcPr>
            <w:tcW w:w="46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Scott Gordon</w:t>
            </w:r>
          </w:p>
        </w:tc>
        <w:tc>
          <w:tcPr>
            <w:tcW w:w="1120" w:type="dxa"/>
            <w:vAlign w:val="bottom"/>
            <w:tcBorders>
              <w:bottom w:val="single" w:sz="8" w:color="D5EAEA"/>
            </w:tcBorders>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D5EAEA"/>
            </w:tcBorders>
            <w:shd w:val="clear" w:color="auto" w:fill="D5EAEA"/>
          </w:tcPr>
          <w:p>
            <w:pPr>
              <w:spacing w:after="0"/>
              <w:rPr>
                <w:sz w:val="24"/>
                <w:szCs w:val="24"/>
                <w:color w:val="auto"/>
              </w:rPr>
            </w:pPr>
          </w:p>
        </w:tc>
        <w:tc>
          <w:tcPr>
            <w:tcW w:w="55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Chief Executive Officer and Chairman</w:t>
            </w:r>
          </w:p>
        </w:tc>
      </w:tr>
      <w:tr>
        <w:trPr>
          <w:trHeight w:val="257"/>
        </w:trPr>
        <w:tc>
          <w:tcPr>
            <w:tcW w:w="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William Healy</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56</w:t>
            </w:r>
          </w:p>
        </w:tc>
        <w:tc>
          <w:tcPr>
            <w:tcW w:w="8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41"/>
        </w:trPr>
        <w:tc>
          <w:tcPr>
            <w:tcW w:w="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7"/>
        </w:trPr>
        <w:tc>
          <w:tcPr>
            <w:tcW w:w="40" w:type="dxa"/>
            <w:vAlign w:val="bottom"/>
            <w:tcBorders>
              <w:bottom w:val="single" w:sz="8" w:color="D5EAEA"/>
            </w:tcBorders>
            <w:shd w:val="clear" w:color="auto" w:fill="D5EAEA"/>
          </w:tcPr>
          <w:p>
            <w:pPr>
              <w:spacing w:after="0"/>
              <w:rPr>
                <w:sz w:val="24"/>
                <w:szCs w:val="24"/>
                <w:color w:val="auto"/>
              </w:rPr>
            </w:pPr>
          </w:p>
        </w:tc>
        <w:tc>
          <w:tcPr>
            <w:tcW w:w="46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Gregory M. Gentile</w:t>
            </w:r>
          </w:p>
        </w:tc>
        <w:tc>
          <w:tcPr>
            <w:tcW w:w="1120" w:type="dxa"/>
            <w:vAlign w:val="bottom"/>
            <w:tcBorders>
              <w:bottom w:val="single" w:sz="8" w:color="D5EAEA"/>
            </w:tcBorders>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D5EAEA"/>
            </w:tcBorders>
            <w:shd w:val="clear" w:color="auto" w:fill="D5EAEA"/>
          </w:tcPr>
          <w:p>
            <w:pPr>
              <w:spacing w:after="0"/>
              <w:rPr>
                <w:sz w:val="24"/>
                <w:szCs w:val="24"/>
                <w:color w:val="auto"/>
              </w:rPr>
            </w:pPr>
          </w:p>
        </w:tc>
        <w:tc>
          <w:tcPr>
            <w:tcW w:w="55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Mohammed Grimeh</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52</w:t>
            </w:r>
          </w:p>
        </w:tc>
        <w:tc>
          <w:tcPr>
            <w:tcW w:w="8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41"/>
        </w:trPr>
        <w:tc>
          <w:tcPr>
            <w:tcW w:w="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7"/>
        </w:trPr>
        <w:tc>
          <w:tcPr>
            <w:tcW w:w="40" w:type="dxa"/>
            <w:vAlign w:val="bottom"/>
            <w:tcBorders>
              <w:bottom w:val="single" w:sz="8" w:color="D5EAEA"/>
            </w:tcBorders>
            <w:shd w:val="clear" w:color="auto" w:fill="D5EAEA"/>
          </w:tcPr>
          <w:p>
            <w:pPr>
              <w:spacing w:after="0"/>
              <w:rPr>
                <w:sz w:val="24"/>
                <w:szCs w:val="24"/>
                <w:color w:val="auto"/>
              </w:rPr>
            </w:pPr>
          </w:p>
        </w:tc>
        <w:tc>
          <w:tcPr>
            <w:tcW w:w="46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Orrin Devinsky</w:t>
            </w:r>
          </w:p>
        </w:tc>
        <w:tc>
          <w:tcPr>
            <w:tcW w:w="1120" w:type="dxa"/>
            <w:vAlign w:val="bottom"/>
            <w:tcBorders>
              <w:bottom w:val="single" w:sz="8" w:color="D5EAEA"/>
            </w:tcBorders>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62</w:t>
            </w:r>
          </w:p>
        </w:tc>
        <w:tc>
          <w:tcPr>
            <w:tcW w:w="80" w:type="dxa"/>
            <w:vAlign w:val="bottom"/>
            <w:tcBorders>
              <w:bottom w:val="single" w:sz="8" w:color="D5EAEA"/>
            </w:tcBorders>
            <w:shd w:val="clear" w:color="auto" w:fill="D5EAEA"/>
          </w:tcPr>
          <w:p>
            <w:pPr>
              <w:spacing w:after="0"/>
              <w:rPr>
                <w:sz w:val="24"/>
                <w:szCs w:val="24"/>
                <w:color w:val="auto"/>
              </w:rPr>
            </w:pPr>
          </w:p>
        </w:tc>
        <w:tc>
          <w:tcPr>
            <w:tcW w:w="55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Richard M. Goldman</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58</w:t>
            </w:r>
          </w:p>
        </w:tc>
        <w:tc>
          <w:tcPr>
            <w:tcW w:w="8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41"/>
        </w:trPr>
        <w:tc>
          <w:tcPr>
            <w:tcW w:w="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7"/>
        </w:trPr>
        <w:tc>
          <w:tcPr>
            <w:tcW w:w="40" w:type="dxa"/>
            <w:vAlign w:val="bottom"/>
            <w:shd w:val="clear" w:color="auto" w:fill="D5EAEA"/>
          </w:tcPr>
          <w:p>
            <w:pPr>
              <w:spacing w:after="0"/>
              <w:rPr>
                <w:sz w:val="22"/>
                <w:szCs w:val="22"/>
                <w:color w:val="auto"/>
              </w:rPr>
            </w:pPr>
          </w:p>
        </w:tc>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Kenneth H. Landis</w:t>
            </w:r>
          </w:p>
        </w:tc>
        <w:tc>
          <w:tcPr>
            <w:tcW w:w="112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68</w:t>
            </w:r>
          </w:p>
        </w:tc>
        <w:tc>
          <w:tcPr>
            <w:tcW w:w="80" w:type="dxa"/>
            <w:vAlign w:val="bottom"/>
            <w:shd w:val="clear" w:color="auto" w:fill="D5EAEA"/>
          </w:tcPr>
          <w:p>
            <w:pPr>
              <w:spacing w:after="0"/>
              <w:rPr>
                <w:sz w:val="22"/>
                <w:szCs w:val="22"/>
                <w:color w:val="auto"/>
              </w:rPr>
            </w:pPr>
          </w:p>
        </w:tc>
        <w:tc>
          <w:tcPr>
            <w:tcW w:w="55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Director Nominee</w:t>
            </w:r>
          </w:p>
        </w:tc>
      </w:tr>
      <w:tr>
        <w:trPr>
          <w:trHeight w:val="41"/>
        </w:trPr>
        <w:tc>
          <w:tcPr>
            <w:tcW w:w="40" w:type="dxa"/>
            <w:vAlign w:val="bottom"/>
            <w:shd w:val="clear" w:color="auto" w:fill="D5EAEA"/>
          </w:tcPr>
          <w:p>
            <w:pPr>
              <w:spacing w:after="0"/>
              <w:rPr>
                <w:sz w:val="3"/>
                <w:szCs w:val="3"/>
                <w:color w:val="auto"/>
              </w:rPr>
            </w:pPr>
          </w:p>
        </w:tc>
        <w:tc>
          <w:tcPr>
            <w:tcW w:w="4620" w:type="dxa"/>
            <w:vAlign w:val="bottom"/>
            <w:shd w:val="clear" w:color="auto" w:fill="D5EAEA"/>
          </w:tcPr>
          <w:p>
            <w:pPr>
              <w:spacing w:after="0"/>
              <w:rPr>
                <w:sz w:val="3"/>
                <w:szCs w:val="3"/>
                <w:color w:val="auto"/>
              </w:rPr>
            </w:pPr>
          </w:p>
        </w:tc>
        <w:tc>
          <w:tcPr>
            <w:tcW w:w="80" w:type="dxa"/>
            <w:vAlign w:val="bottom"/>
            <w:shd w:val="clear" w:color="auto" w:fill="D5EAEA"/>
          </w:tcPr>
          <w:p>
            <w:pPr>
              <w:spacing w:after="0"/>
              <w:rPr>
                <w:sz w:val="3"/>
                <w:szCs w:val="3"/>
                <w:color w:val="auto"/>
              </w:rPr>
            </w:pPr>
          </w:p>
        </w:tc>
        <w:tc>
          <w:tcPr>
            <w:tcW w:w="1040" w:type="dxa"/>
            <w:vAlign w:val="bottom"/>
            <w:shd w:val="clear" w:color="auto" w:fill="D5EAEA"/>
          </w:tcPr>
          <w:p>
            <w:pPr>
              <w:spacing w:after="0"/>
              <w:rPr>
                <w:sz w:val="3"/>
                <w:szCs w:val="3"/>
                <w:color w:val="auto"/>
              </w:rPr>
            </w:pPr>
          </w:p>
        </w:tc>
        <w:tc>
          <w:tcPr>
            <w:tcW w:w="80" w:type="dxa"/>
            <w:vAlign w:val="bottom"/>
            <w:shd w:val="clear" w:color="auto" w:fill="D5EAEA"/>
          </w:tcPr>
          <w:p>
            <w:pPr>
              <w:spacing w:after="0"/>
              <w:rPr>
                <w:sz w:val="3"/>
                <w:szCs w:val="3"/>
                <w:color w:val="auto"/>
              </w:rPr>
            </w:pPr>
          </w:p>
        </w:tc>
        <w:tc>
          <w:tcPr>
            <w:tcW w:w="5520" w:type="dxa"/>
            <w:vAlign w:val="bottom"/>
            <w:shd w:val="clear" w:color="auto" w:fill="D5EAEA"/>
          </w:tcPr>
          <w:p>
            <w:pPr>
              <w:spacing w:after="0"/>
              <w:rPr>
                <w:sz w:val="3"/>
                <w:szCs w:val="3"/>
                <w:color w:val="auto"/>
              </w:rPr>
            </w:pPr>
          </w:p>
        </w:tc>
        <w:tc>
          <w:tcPr>
            <w:tcW w:w="40" w:type="dxa"/>
            <w:vAlign w:val="bottom"/>
            <w:shd w:val="clear" w:color="auto" w:fill="D5EAEA"/>
          </w:tcPr>
          <w:p>
            <w:pPr>
              <w:spacing w:after="0"/>
              <w:rPr>
                <w:sz w:val="3"/>
                <w:szCs w:val="3"/>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director nominees and executive officers are as follows: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Scott Gordon </w:t>
      </w:r>
      <w:r>
        <w:rPr>
          <w:rFonts w:ascii="Arial" w:cs="Arial" w:eastAsia="Arial" w:hAnsi="Arial"/>
          <w:sz w:val="17"/>
          <w:szCs w:val="17"/>
          <w:color w:val="auto"/>
        </w:rPr>
        <w:t>has been the Chairman of our board of directors and has served as our Chief Executive Officer since our inception. Since 2016, Mr. Gordon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William Healy </w:t>
      </w:r>
      <w:r>
        <w:rPr>
          <w:rFonts w:ascii="Arial" w:cs="Arial" w:eastAsia="Arial" w:hAnsi="Arial"/>
          <w:sz w:val="17"/>
          <w:szCs w:val="17"/>
          <w:color w:val="auto"/>
        </w:rPr>
        <w:t>has been a member of our board of directors and has served as our President since our inception. Since 1986, Mr. Healy has advised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Gregory M. Gentile </w:t>
      </w:r>
      <w:r>
        <w:rPr>
          <w:rFonts w:ascii="Arial" w:cs="Arial" w:eastAsia="Arial" w:hAnsi="Arial"/>
          <w:sz w:val="17"/>
          <w:szCs w:val="17"/>
          <w:color w:val="auto"/>
        </w:rPr>
        <w:t>has served as our Chief Financial Officer since our inception. From 2010 to 2018, Mr. Gentile was Chief Executive Officer of GMG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Advisors, LLC, an investment management company. From 2008 to 2009, Mr. Gentile served as Managing Director of Barclays Capital, an investment bank. Prior to joining Barclays Capital, Mr. Gentile was a Managing Director at Lehman Brothers, where he was employed from 1997 until 2008. Mr. Gentile received a bachelor’s degree in management from the Massachusetts Institute of Technology, where he graduated in 1997.</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Mohammed Grimeh </w:t>
      </w:r>
      <w:r>
        <w:rPr>
          <w:rFonts w:ascii="Arial" w:cs="Arial" w:eastAsia="Arial" w:hAnsi="Arial"/>
          <w:sz w:val="17"/>
          <w:szCs w:val="17"/>
          <w:color w:val="auto"/>
        </w:rPr>
        <w:t>has served as our Chief Operating Officer since our inception. From 2016 to 2018, Mr. Grimeh was deputy Global Head Fixed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Millennium Management, a global Alternative Asset Manager based in New York. From 2009 to 2016, Mr. Grimeh was Managing Director and head of Global Markets for Standard Chartered Bank, Americas. From 1998 to 2008, Mr. Grimeh was at Lehman Brothers where he held various roles including managing director and global head Emerging Markets. Prior to that, he was a Managing Director at ING</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Barings from 1993 to 1998. He started his career at Societe Generale, a French Bank in 1990 and moved in 1992 to London to join Westpac banking Corporation. Mr. Grimeh graduated from Ecole Centrale in Paris in 1990.</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Orrin Devinsky </w:t>
      </w:r>
      <w:r>
        <w:rPr>
          <w:rFonts w:ascii="Arial" w:cs="Arial" w:eastAsia="Arial" w:hAnsi="Arial"/>
          <w:sz w:val="17"/>
          <w:szCs w:val="17"/>
          <w:color w:val="auto"/>
        </w:rPr>
        <w:t>will be appointed as a member of our board of directors in connection with this offering. Since 1989, Dr. Devinsky has directed the NYU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Langone Comprehensive Epilepsy Center and is a Professor of Neurology, Neuroscience, Psychiatry and Neurosurgery at the NYU School of Medicine. From 2013 to 2018, Dr. Devinsky served as a lead investigator for the GW Pharma trials of EPIDIOLEX in childhood-onset severe epilepsies; since 2016, Dr. Devinsky has served as the Chair of the Medical Advisory Board for Tilray, a pharmaceutical and cannabis company, and on the Scientific Advisory Board for Papa &amp; Barkley, a cannabis products company with related subsidiary assets in manufacturing, processing and logistics; since 2017, Dr. Devinsky has served on the Business and Scientific Advisory Boards of Tevard, a company developing gene therapy platforms to target rare diseases with high unmet need, and on the Business and Scientific Advisory Boards of Engage Therapeutics, a biopharmaceutical company developing a new rescue therapy for people who experience uncontrolled epileptic seizures; since 2018, Dr. Devinsky has served as the Chief Medical Officer for Receptor Life Sciences, a cannabinoid medicine drug development company. Dr. Devinsky received an MS from Yale University in 1977, a BS from Yale College in 1978 and a MD from Harvard Medical School in 1982. We believe Dr. Devinsky's experience in medicine, cannabinoid science and companies, therapeutics and drug development make him well qualified to serve as a director.</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Richard M. Goldman </w:t>
      </w:r>
      <w:r>
        <w:rPr>
          <w:rFonts w:ascii="Arial" w:cs="Arial" w:eastAsia="Arial" w:hAnsi="Arial"/>
          <w:sz w:val="17"/>
          <w:szCs w:val="17"/>
          <w:color w:val="auto"/>
        </w:rPr>
        <w:t>will be appointed as a member of our board of directors in connection with this offering. Since 2012, Mr. Goldman has been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Member of Becket Capital, LLC, an advisory services firm for investment management companies; from 2011 to 2012, Mr. Goldman served as Chief Operating Officer of Guggenheim Investments, the global asset management and investment advisory division of Guggenheim Partners; prior to joining Guggenheim Investments, from 2007 to 2012, Mr. Goldman was the Chief Executive Officer of Rydex Investments, the investment advisor to Rydex Funds. Since 2016, Mr. Goldman has served as Independent Director for the O'Shares Investments ETF Trust; since 2017, Mr. Goldman has served as the Independent Chairman of the Board of the Harvest Volatility Edge Trust, the entity responsible for the Harvest Edge mutual funds, and on the Board of Directors of Trinitas Capital Management, a credit-focused investment management firm; since 2018, Mr. Goldman has served as Lead Independent Director for the Axonic Alternative Income Interval Fund. Mr. Goldman received a bachelor's degree from Bowdoin College in 1983. We believe Mr. Goldman's experience in the investment management business make him well qualified to serve as a director.</w:t>
      </w:r>
    </w:p>
    <w:p>
      <w:pPr>
        <w:spacing w:after="0" w:line="18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Kenneth H. Landis </w:t>
      </w:r>
      <w:r>
        <w:rPr>
          <w:rFonts w:ascii="Arial" w:cs="Arial" w:eastAsia="Arial" w:hAnsi="Arial"/>
          <w:sz w:val="16"/>
          <w:szCs w:val="16"/>
          <w:color w:val="auto"/>
        </w:rPr>
        <w:t>will be appointed as a member of our board of directors in connection with this offering. Since 2000, Mr. Landis has been the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Landis Capital, LLC, a provider of capital for seed, early stage and later stage venture investments in consumer products, ecommerce and enterprise companies. Previously, he served as Cofounder and a member of the Board of Directors of Bobbi Brown Cosmetics, CEO of Benetton Cosmetics Corp, Senior Vice President of Alfin, Inc., a manufacturer and distributer of cosmetics products, and Treasurer of IMS Health, Inc., a provider of information, services and technology for the healthcare industry. Mr. Landis began his career at Arthur Andersen and Co. and was formerly a Certified Public Accountant. He currently serves on the Board of Directors of several early stage private companies and as a Trustee of Suffield Academy. Mr. Landis obtained a BS in Economics degree from the University of Pennsylvania in 1972 and an MBA from New York University in 1973. We believe that Mr. Landis’ extensive managerial, financial and accounting experience makes him well qualified to serve as a member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our directors, director nominees and executive officers, the following individual will be advising us in making our initial business combination:</w:t>
      </w: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Rob Josephson </w:t>
      </w:r>
      <w:r>
        <w:rPr>
          <w:rFonts w:ascii="Arial" w:cs="Arial" w:eastAsia="Arial" w:hAnsi="Arial"/>
          <w:sz w:val="18"/>
          <w:szCs w:val="18"/>
          <w:color w:val="auto"/>
        </w:rPr>
        <w:t>has served as an investment consultant since our inception. From October 2017 to present Mr. Josephson has acted as CEO of Seed Capital,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 bank. From January 2014 to October 2017 Mr. Josephson acted as financial consultant to various companies in the Cannabis industry including, Cronos Group, WeedMd, Lord Jones, Lune Rouge, and DNA Genetics. Mr. Josephson holds a Bachelor of Arts degree from the University of Western Ontario, where he graduated in 1985.</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Terms of Office and Election of Officers and Directors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Upon the effectiveness of the registration statement of which this prospectus forms a part, we expect that our board of directors will consist of five members. Our board of directors is divided into two classes with only one class of directors being elected in each year and each (except for those directors appointed prior to our first annual meeting of shareholders) serving a two-year term. The term of office of the first class of directors will expire at our first annual meeting of shareholders and the term of office of the second class of directors will expire at our second annual meeting of shareholders. We may not hold an annual meeting of shareholders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officers are elected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None of our officers or directors have received or, prior to our initial business combination, will receive any cash compensation for services rendered to us. We will pay our sponsor up to $20,000 per month for office space, administrative and support services.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In connection with closing of this offering, our sponsor intends to grant sponsor LLC equity interests to our independent director nominees that collectively comprise approximately 1% of the outstanding equity interests in our sponsor. Our audit committee will review on a quarterly basis all payments that were made to our sponsor, officers, directors or our or any of their affiliates.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officers after the completion of our initial business combination will be determined by a compensation committee constituted solely by independent directors.</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Nasdaq listing rules we will establish three standing committees - an audit committee in compliance with Section 3(a)(58)(A) of the Exchange Act, a compensation committee and a nominating committee, each comprised of independent directors. Under Nasdaq listing rule 5615(b)(1), a company listing in connection with its initial public offering is permitted to phase in its compliance with the independent committee requirements. We do not intend to rely on the phase-in schedules set forth in Nasdaq listing rule 5615(b)(1).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the board of directors. The members of our audit committee will be Orrin Devinsky, Richard Goldman and Kenneth Landis. Kenneth Landis will serve as chairman of the audit committee.</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Kenneth Landis qualifies as an “audit committee financial expert” as defined in applicable SEC rules and has accounting or related financial management expertise.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adopt an audit committee charter, which will detail the purpose and principal functions of the audit committee, including:</w:t>
      </w:r>
    </w:p>
    <w:p>
      <w:pPr>
        <w:spacing w:after="0" w:line="225" w:lineRule="exact"/>
        <w:rPr>
          <w:sz w:val="20"/>
          <w:szCs w:val="20"/>
          <w:color w:val="auto"/>
        </w:rPr>
      </w:pPr>
    </w:p>
    <w:p>
      <w:pPr>
        <w:ind w:left="660" w:right="740" w:hanging="328"/>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23"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reviewing and discussing with the independent auditors all relationships the auditors have with us in order to evaluate their continued independence;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6" w:lineRule="exact"/>
        <w:rPr>
          <w:rFonts w:ascii="Arial" w:cs="Arial" w:eastAsia="Arial" w:hAnsi="Arial"/>
          <w:sz w:val="18"/>
          <w:szCs w:val="18"/>
          <w:color w:val="auto"/>
        </w:rPr>
      </w:pPr>
    </w:p>
    <w:p>
      <w:pPr>
        <w:ind w:left="660" w:right="40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18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right="2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The members of our Compensation Committee will be Orrin Devinsky, Richard Goldman and Kenneth Landis. Richard Goldman will serve as chairman of the compensation committee. We will adopt a compensation committee charter, which will detail the purpose and responsibility of the compensation committee, including:</w:t>
      </w:r>
    </w:p>
    <w:p>
      <w:pPr>
        <w:spacing w:after="0" w:line="187" w:lineRule="exact"/>
        <w:rPr>
          <w:sz w:val="20"/>
          <w:szCs w:val="20"/>
          <w:color w:val="auto"/>
        </w:rPr>
      </w:pPr>
    </w:p>
    <w:p>
      <w:pPr>
        <w:ind w:left="660" w:right="16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8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committee of the board of directors. The members of our nominating committee will be Orrin Devinsky, Richard Goldman and Kenneth Landis. Orrin Devinsky will serve as chair of the nominating committee. We will adopt a nominating committee charter, which will detail the purpose and responsibilities of the nominating committee, including:</w:t>
      </w:r>
    </w:p>
    <w:p>
      <w:pPr>
        <w:spacing w:after="0" w:line="187" w:lineRule="exact"/>
        <w:rPr>
          <w:sz w:val="20"/>
          <w:szCs w:val="20"/>
          <w:color w:val="auto"/>
        </w:rPr>
      </w:pPr>
    </w:p>
    <w:p>
      <w:pPr>
        <w:ind w:left="660" w:hanging="328"/>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charter will also provide that the nominating committee may, in their sole discretion, retain or obtain the advice of, and terminate, any search firm to be used to identify director candidates, and will be directly responsible for approving the search firm’s fees and other retention terms.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is a part, we will have adopted a code of ethics applicable to our directors, officers and employees (our “Code of Ethics”). Our Code of Ethics will be available on our website upon the completion of this offering. Our Code of Ethics is a “code of ethics,” as defined in Item 406(b) of Regulation S-K. We will make any legally required disclosures regarding amendments to, or waivers of, provisions of our Code of Ethics on our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to exercise authority for the purpose for which it is conferred;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to not improperly fetter the exercise of future discretion;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not to put themselves in a position in which there is a conflict between their duty to the company and their personal interests;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Potential investors should also be aware of the following potential conflicts of interest:</w:t>
      </w:r>
    </w:p>
    <w:p>
      <w:pPr>
        <w:spacing w:after="0" w:line="225" w:lineRule="exact"/>
        <w:rPr>
          <w:sz w:val="20"/>
          <w:szCs w:val="20"/>
          <w:color w:val="auto"/>
        </w:rPr>
      </w:pPr>
    </w:p>
    <w:p>
      <w:pPr>
        <w:ind w:left="660" w:right="8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70"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 For a complete description of our management’s other affiliations, see “—Directors, Director Nominees and Executive Officers.”</w:t>
      </w:r>
    </w:p>
    <w:p>
      <w:pPr>
        <w:spacing w:after="0" w:line="186" w:lineRule="exact"/>
        <w:rPr>
          <w:rFonts w:ascii="Arial" w:cs="Arial" w:eastAsia="Arial" w:hAnsi="Arial"/>
          <w:sz w:val="18"/>
          <w:szCs w:val="18"/>
          <w:color w:val="auto"/>
        </w:rPr>
      </w:pPr>
    </w:p>
    <w:p>
      <w:pPr>
        <w:ind w:left="660" w:hanging="328"/>
        <w:spacing w:after="0" w:line="285"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within 24 months after the closing of this offering. However, if our initial shareholders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the date on which we consummate a liquidation, merger, amalgamation, share exchange, reorganization, or other similar transaction after our initial business combination that results in all of our shareholders having the right to exchange their ordinary shares for cash, securities or other property. Notwithstanding the foregoing, if the last reported sale price of our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following this offering, our officers and directors may have a conflict of interest in determining whether a particular target business is an appropriate business with which to effectuate our initial business combination.</w:t>
      </w:r>
    </w:p>
    <w:p>
      <w:pPr>
        <w:spacing w:after="0" w:line="170"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81"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Accordingly, as a result of multiple business affiliations, our officers and directors have similar legal obligations relating to presenting business opportunities meeting the above-listed criteria to multiple entities. Below is a table summarizing the entities to which our officers, directors and director nominees currently have fiduciary duties or contractual obligations: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40" w:type="dxa"/>
            <w:vAlign w:val="bottom"/>
          </w:tcPr>
          <w:p>
            <w:pPr>
              <w:ind w:left="820"/>
              <w:spacing w:after="0"/>
              <w:rPr>
                <w:sz w:val="20"/>
                <w:szCs w:val="20"/>
                <w:color w:val="auto"/>
              </w:rPr>
            </w:pPr>
            <w:r>
              <w:rPr>
                <w:rFonts w:ascii="Arial" w:cs="Arial" w:eastAsia="Arial" w:hAnsi="Arial"/>
                <w:sz w:val="18"/>
                <w:szCs w:val="18"/>
                <w:b w:val="1"/>
                <w:bCs w:val="1"/>
                <w:color w:val="auto"/>
              </w:rPr>
              <w:t>Individual</w:t>
            </w:r>
          </w:p>
        </w:tc>
        <w:tc>
          <w:tcPr>
            <w:tcW w:w="80" w:type="dxa"/>
            <w:vAlign w:val="bottom"/>
          </w:tcPr>
          <w:p>
            <w:pPr>
              <w:spacing w:after="0"/>
              <w:rPr>
                <w:sz w:val="20"/>
                <w:szCs w:val="20"/>
                <w:color w:val="auto"/>
              </w:rPr>
            </w:pPr>
          </w:p>
        </w:tc>
        <w:tc>
          <w:tcPr>
            <w:tcW w:w="3120" w:type="dxa"/>
            <w:vAlign w:val="bottom"/>
          </w:tcPr>
          <w:p>
            <w:pPr>
              <w:ind w:left="1320"/>
              <w:spacing w:after="0"/>
              <w:rPr>
                <w:sz w:val="20"/>
                <w:szCs w:val="20"/>
                <w:color w:val="auto"/>
              </w:rPr>
            </w:pPr>
            <w:r>
              <w:rPr>
                <w:rFonts w:ascii="Arial" w:cs="Arial" w:eastAsia="Arial" w:hAnsi="Arial"/>
                <w:sz w:val="18"/>
                <w:szCs w:val="18"/>
                <w:b w:val="1"/>
                <w:bCs w:val="1"/>
                <w:color w:val="auto"/>
              </w:rPr>
              <w:t>Entity</w:t>
            </w:r>
          </w:p>
        </w:tc>
        <w:tc>
          <w:tcPr>
            <w:tcW w:w="80" w:type="dxa"/>
            <w:vAlign w:val="bottom"/>
          </w:tcPr>
          <w:p>
            <w:pPr>
              <w:spacing w:after="0"/>
              <w:rPr>
                <w:sz w:val="20"/>
                <w:szCs w:val="20"/>
                <w:color w:val="auto"/>
              </w:rPr>
            </w:pPr>
          </w:p>
        </w:tc>
        <w:tc>
          <w:tcPr>
            <w:tcW w:w="2760" w:type="dxa"/>
            <w:vAlign w:val="bottom"/>
          </w:tcPr>
          <w:p>
            <w:pPr>
              <w:ind w:left="740"/>
              <w:spacing w:after="0"/>
              <w:rPr>
                <w:sz w:val="20"/>
                <w:szCs w:val="20"/>
                <w:color w:val="auto"/>
              </w:rPr>
            </w:pPr>
            <w:r>
              <w:rPr>
                <w:rFonts w:ascii="Arial" w:cs="Arial" w:eastAsia="Arial" w:hAnsi="Arial"/>
                <w:sz w:val="18"/>
                <w:szCs w:val="18"/>
                <w:b w:val="1"/>
                <w:bCs w:val="1"/>
                <w:color w:val="auto"/>
              </w:rPr>
              <w:t>Entity’s Business</w:t>
            </w:r>
          </w:p>
        </w:tc>
        <w:tc>
          <w:tcPr>
            <w:tcW w:w="220" w:type="dxa"/>
            <w:vAlign w:val="bottom"/>
          </w:tcPr>
          <w:p>
            <w:pPr>
              <w:spacing w:after="0"/>
              <w:rPr>
                <w:sz w:val="20"/>
                <w:szCs w:val="20"/>
                <w:color w:val="auto"/>
              </w:rPr>
            </w:pPr>
          </w:p>
        </w:tc>
        <w:tc>
          <w:tcPr>
            <w:tcW w:w="2680" w:type="dxa"/>
            <w:vAlign w:val="bottom"/>
            <w:gridSpan w:val="2"/>
          </w:tcPr>
          <w:p>
            <w:pPr>
              <w:ind w:left="920"/>
              <w:spacing w:after="0"/>
              <w:rPr>
                <w:sz w:val="20"/>
                <w:szCs w:val="20"/>
                <w:color w:val="auto"/>
              </w:rPr>
            </w:pPr>
            <w:r>
              <w:rPr>
                <w:rFonts w:ascii="Arial" w:cs="Arial" w:eastAsia="Arial" w:hAnsi="Arial"/>
                <w:sz w:val="18"/>
                <w:szCs w:val="18"/>
                <w:b w:val="1"/>
                <w:bCs w:val="1"/>
                <w:color w:val="auto"/>
              </w:rPr>
              <w:t>Affiliation</w:t>
            </w:r>
          </w:p>
        </w:tc>
      </w:tr>
      <w:tr>
        <w:trPr>
          <w:trHeight w:val="34"/>
        </w:trPr>
        <w:tc>
          <w:tcPr>
            <w:tcW w:w="40" w:type="dxa"/>
            <w:vAlign w:val="bottom"/>
          </w:tcPr>
          <w:p>
            <w:pPr>
              <w:spacing w:after="0"/>
              <w:rPr>
                <w:sz w:val="2"/>
                <w:szCs w:val="2"/>
                <w:color w:val="auto"/>
              </w:rPr>
            </w:pPr>
          </w:p>
        </w:tc>
        <w:tc>
          <w:tcPr>
            <w:tcW w:w="2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40" w:type="dxa"/>
            <w:vAlign w:val="bottom"/>
            <w:shd w:val="clear" w:color="auto" w:fill="D5EAEA"/>
          </w:tcPr>
          <w:p>
            <w:pPr>
              <w:spacing w:after="0"/>
              <w:rPr>
                <w:sz w:val="21"/>
                <w:szCs w:val="21"/>
                <w:color w:val="auto"/>
              </w:rPr>
            </w:pPr>
          </w:p>
        </w:tc>
        <w:tc>
          <w:tcPr>
            <w:tcW w:w="2440" w:type="dxa"/>
            <w:vAlign w:val="bottom"/>
            <w:shd w:val="clear" w:color="auto" w:fill="D5EAEA"/>
          </w:tcPr>
          <w:p>
            <w:pPr>
              <w:spacing w:after="0"/>
              <w:rPr>
                <w:sz w:val="20"/>
                <w:szCs w:val="20"/>
                <w:color w:val="auto"/>
              </w:rPr>
            </w:pPr>
            <w:r>
              <w:rPr>
                <w:rFonts w:ascii="Arial" w:cs="Arial" w:eastAsia="Arial" w:hAnsi="Arial"/>
                <w:sz w:val="18"/>
                <w:szCs w:val="18"/>
                <w:color w:val="auto"/>
              </w:rPr>
              <w:t>Scott Gordon</w:t>
            </w:r>
          </w:p>
        </w:tc>
        <w:tc>
          <w:tcPr>
            <w:tcW w:w="80" w:type="dxa"/>
            <w:vAlign w:val="bottom"/>
            <w:shd w:val="clear" w:color="auto" w:fill="D5EAEA"/>
          </w:tcPr>
          <w:p>
            <w:pPr>
              <w:spacing w:after="0"/>
              <w:rPr>
                <w:sz w:val="21"/>
                <w:szCs w:val="21"/>
                <w:color w:val="auto"/>
              </w:rPr>
            </w:pPr>
          </w:p>
        </w:tc>
        <w:tc>
          <w:tcPr>
            <w:tcW w:w="3120" w:type="dxa"/>
            <w:vAlign w:val="bottom"/>
            <w:shd w:val="clear" w:color="auto" w:fill="D5EAEA"/>
          </w:tcPr>
          <w:p>
            <w:pPr>
              <w:spacing w:after="0"/>
              <w:rPr>
                <w:sz w:val="20"/>
                <w:szCs w:val="20"/>
                <w:color w:val="auto"/>
              </w:rPr>
            </w:pPr>
            <w:r>
              <w:rPr>
                <w:rFonts w:ascii="Arial" w:cs="Arial" w:eastAsia="Arial" w:hAnsi="Arial"/>
                <w:sz w:val="18"/>
                <w:szCs w:val="18"/>
                <w:color w:val="auto"/>
                <w:w w:val="92"/>
              </w:rPr>
              <w:t>Egg Rock Holdings (including subsidiaries</w:t>
            </w: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8"/>
              </w:rPr>
              <w:t>Cannabis products, manufacturing,</w:t>
            </w:r>
          </w:p>
        </w:tc>
        <w:tc>
          <w:tcPr>
            <w:tcW w:w="2900" w:type="dxa"/>
            <w:vAlign w:val="bottom"/>
            <w:gridSpan w:val="3"/>
            <w:shd w:val="clear" w:color="auto" w:fill="D5EAEA"/>
          </w:tcPr>
          <w:p>
            <w:pPr>
              <w:ind w:left="220"/>
              <w:spacing w:after="0"/>
              <w:rPr>
                <w:sz w:val="20"/>
                <w:szCs w:val="20"/>
                <w:color w:val="auto"/>
              </w:rPr>
            </w:pPr>
            <w:r>
              <w:rPr>
                <w:rFonts w:ascii="Arial" w:cs="Arial" w:eastAsia="Arial" w:hAnsi="Arial"/>
                <w:sz w:val="18"/>
                <w:szCs w:val="18"/>
                <w:color w:val="auto"/>
              </w:rPr>
              <w:t>Co-founder and Chairman</w:t>
            </w:r>
          </w:p>
        </w:tc>
      </w:tr>
      <w:tr>
        <w:trPr>
          <w:trHeight w:val="216"/>
        </w:trPr>
        <w:tc>
          <w:tcPr>
            <w:tcW w:w="40" w:type="dxa"/>
            <w:vAlign w:val="bottom"/>
            <w:shd w:val="clear" w:color="auto" w:fill="D5EAEA"/>
          </w:tcPr>
          <w:p>
            <w:pPr>
              <w:spacing w:after="0"/>
              <w:rPr>
                <w:sz w:val="18"/>
                <w:szCs w:val="18"/>
                <w:color w:val="auto"/>
              </w:rPr>
            </w:pPr>
          </w:p>
        </w:tc>
        <w:tc>
          <w:tcPr>
            <w:tcW w:w="24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120" w:type="dxa"/>
            <w:vAlign w:val="bottom"/>
            <w:shd w:val="clear" w:color="auto" w:fill="D5EAEA"/>
          </w:tcPr>
          <w:p>
            <w:pPr>
              <w:spacing w:after="0"/>
              <w:rPr>
                <w:sz w:val="20"/>
                <w:szCs w:val="20"/>
                <w:color w:val="auto"/>
              </w:rPr>
            </w:pPr>
            <w:r>
              <w:rPr>
                <w:rFonts w:ascii="Arial" w:cs="Arial" w:eastAsia="Arial" w:hAnsi="Arial"/>
                <w:sz w:val="18"/>
                <w:szCs w:val="18"/>
                <w:color w:val="auto"/>
                <w:w w:val="99"/>
              </w:rPr>
              <w:t>operating the Papa &amp; Barkley business</w:t>
            </w: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processing, and logistics; hemp-</w:t>
            </w:r>
          </w:p>
        </w:tc>
        <w:tc>
          <w:tcPr>
            <w:tcW w:w="220" w:type="dxa"/>
            <w:vAlign w:val="bottom"/>
            <w:shd w:val="clear" w:color="auto" w:fill="D5EAEA"/>
          </w:tcPr>
          <w:p>
            <w:pPr>
              <w:spacing w:after="0"/>
              <w:rPr>
                <w:sz w:val="18"/>
                <w:szCs w:val="18"/>
                <w:color w:val="auto"/>
              </w:rPr>
            </w:pPr>
          </w:p>
        </w:tc>
        <w:tc>
          <w:tcPr>
            <w:tcW w:w="26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51"/>
        </w:trPr>
        <w:tc>
          <w:tcPr>
            <w:tcW w:w="40" w:type="dxa"/>
            <w:vAlign w:val="bottom"/>
            <w:tcBorders>
              <w:bottom w:val="single" w:sz="8" w:color="D5EAEA"/>
            </w:tcBorders>
            <w:shd w:val="clear" w:color="auto" w:fill="D5EAEA"/>
          </w:tcPr>
          <w:p>
            <w:pPr>
              <w:spacing w:after="0"/>
              <w:rPr>
                <w:sz w:val="21"/>
                <w:szCs w:val="21"/>
                <w:color w:val="auto"/>
              </w:rPr>
            </w:pPr>
          </w:p>
        </w:tc>
        <w:tc>
          <w:tcPr>
            <w:tcW w:w="2440" w:type="dxa"/>
            <w:vAlign w:val="bottom"/>
            <w:tcBorders>
              <w:bottom w:val="single" w:sz="8" w:color="D5EAEA"/>
            </w:tcBorders>
            <w:shd w:val="clear" w:color="auto" w:fill="D5EAEA"/>
          </w:tcPr>
          <w:p>
            <w:pPr>
              <w:spacing w:after="0"/>
              <w:rPr>
                <w:sz w:val="21"/>
                <w:szCs w:val="21"/>
                <w:color w:val="auto"/>
              </w:rPr>
            </w:pPr>
          </w:p>
        </w:tc>
        <w:tc>
          <w:tcPr>
            <w:tcW w:w="80" w:type="dxa"/>
            <w:vAlign w:val="bottom"/>
            <w:tcBorders>
              <w:bottom w:val="single" w:sz="8" w:color="D5EAEA"/>
            </w:tcBorders>
            <w:shd w:val="clear" w:color="auto" w:fill="D5EAEA"/>
          </w:tcPr>
          <w:p>
            <w:pPr>
              <w:spacing w:after="0"/>
              <w:rPr>
                <w:sz w:val="21"/>
                <w:szCs w:val="21"/>
                <w:color w:val="auto"/>
              </w:rPr>
            </w:pPr>
          </w:p>
        </w:tc>
        <w:tc>
          <w:tcPr>
            <w:tcW w:w="31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line)</w:t>
            </w:r>
          </w:p>
        </w:tc>
        <w:tc>
          <w:tcPr>
            <w:tcW w:w="284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derived CBD</w:t>
            </w:r>
          </w:p>
        </w:tc>
        <w:tc>
          <w:tcPr>
            <w:tcW w:w="220" w:type="dxa"/>
            <w:vAlign w:val="bottom"/>
            <w:tcBorders>
              <w:bottom w:val="single" w:sz="8" w:color="D5EAEA"/>
            </w:tcBorders>
            <w:shd w:val="clear" w:color="auto" w:fill="D5EAEA"/>
          </w:tcPr>
          <w:p>
            <w:pPr>
              <w:spacing w:after="0"/>
              <w:rPr>
                <w:sz w:val="21"/>
                <w:szCs w:val="21"/>
                <w:color w:val="auto"/>
              </w:rPr>
            </w:pPr>
          </w:p>
        </w:tc>
        <w:tc>
          <w:tcPr>
            <w:tcW w:w="2640" w:type="dxa"/>
            <w:vAlign w:val="bottom"/>
            <w:tcBorders>
              <w:bottom w:val="single" w:sz="8" w:color="D5EAEA"/>
            </w:tcBorders>
            <w:shd w:val="clear" w:color="auto" w:fill="D5EAEA"/>
          </w:tcPr>
          <w:p>
            <w:pPr>
              <w:spacing w:after="0"/>
              <w:rPr>
                <w:sz w:val="21"/>
                <w:szCs w:val="21"/>
                <w:color w:val="auto"/>
              </w:rPr>
            </w:pPr>
          </w:p>
        </w:tc>
        <w:tc>
          <w:tcPr>
            <w:tcW w:w="40" w:type="dxa"/>
            <w:vAlign w:val="bottom"/>
            <w:tcBorders>
              <w:bottom w:val="single" w:sz="8" w:color="D5EAEA"/>
            </w:tcBorders>
            <w:shd w:val="clear" w:color="auto" w:fill="D5EAEA"/>
          </w:tcPr>
          <w:p>
            <w:pPr>
              <w:spacing w:after="0"/>
              <w:rPr>
                <w:sz w:val="21"/>
                <w:szCs w:val="21"/>
                <w:color w:val="auto"/>
              </w:rPr>
            </w:pPr>
          </w:p>
        </w:tc>
      </w:tr>
      <w:tr>
        <w:trPr>
          <w:trHeight w:val="242"/>
        </w:trPr>
        <w:tc>
          <w:tcPr>
            <w:tcW w:w="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Silver Spike Capital</w:t>
            </w:r>
          </w:p>
        </w:tc>
        <w:tc>
          <w:tcPr>
            <w:tcW w:w="2840" w:type="dxa"/>
            <w:vAlign w:val="bottom"/>
            <w:gridSpan w:val="2"/>
          </w:tcPr>
          <w:p>
            <w:pPr>
              <w:ind w:left="80"/>
              <w:spacing w:after="0"/>
              <w:rPr>
                <w:sz w:val="20"/>
                <w:szCs w:val="20"/>
                <w:color w:val="auto"/>
              </w:rPr>
            </w:pPr>
            <w:r>
              <w:rPr>
                <w:rFonts w:ascii="Arial" w:cs="Arial" w:eastAsia="Arial" w:hAnsi="Arial"/>
                <w:sz w:val="18"/>
                <w:szCs w:val="18"/>
                <w:color w:val="auto"/>
                <w:w w:val="95"/>
              </w:rPr>
              <w:t>Asset management fund focused on</w:t>
            </w: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rPr>
              <w:t>Manager, CEO</w:t>
            </w: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cannabis and related health &amp;</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wellness industries</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
        </w:trPr>
        <w:tc>
          <w:tcPr>
            <w:tcW w:w="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42"/>
        </w:trPr>
        <w:tc>
          <w:tcPr>
            <w:tcW w:w="40" w:type="dxa"/>
            <w:vAlign w:val="bottom"/>
            <w:shd w:val="clear" w:color="auto" w:fill="D5EAEA"/>
          </w:tcPr>
          <w:p>
            <w:pPr>
              <w:spacing w:after="0"/>
              <w:rPr>
                <w:sz w:val="21"/>
                <w:szCs w:val="21"/>
                <w:color w:val="auto"/>
              </w:rPr>
            </w:pPr>
          </w:p>
        </w:tc>
        <w:tc>
          <w:tcPr>
            <w:tcW w:w="2440" w:type="dxa"/>
            <w:vAlign w:val="bottom"/>
            <w:shd w:val="clear" w:color="auto" w:fill="D5EAEA"/>
          </w:tcPr>
          <w:p>
            <w:pPr>
              <w:spacing w:after="0"/>
              <w:rPr>
                <w:sz w:val="20"/>
                <w:szCs w:val="20"/>
                <w:color w:val="auto"/>
              </w:rPr>
            </w:pPr>
            <w:r>
              <w:rPr>
                <w:rFonts w:ascii="Arial" w:cs="Arial" w:eastAsia="Arial" w:hAnsi="Arial"/>
                <w:sz w:val="18"/>
                <w:szCs w:val="18"/>
                <w:color w:val="auto"/>
              </w:rPr>
              <w:t>William Healy</w:t>
            </w:r>
          </w:p>
        </w:tc>
        <w:tc>
          <w:tcPr>
            <w:tcW w:w="80" w:type="dxa"/>
            <w:vAlign w:val="bottom"/>
            <w:shd w:val="clear" w:color="auto" w:fill="D5EAEA"/>
          </w:tcPr>
          <w:p>
            <w:pPr>
              <w:spacing w:after="0"/>
              <w:rPr>
                <w:sz w:val="21"/>
                <w:szCs w:val="21"/>
                <w:color w:val="auto"/>
              </w:rPr>
            </w:pPr>
          </w:p>
        </w:tc>
        <w:tc>
          <w:tcPr>
            <w:tcW w:w="3120" w:type="dxa"/>
            <w:vAlign w:val="bottom"/>
            <w:shd w:val="clear" w:color="auto" w:fill="D5EAEA"/>
          </w:tcPr>
          <w:p>
            <w:pPr>
              <w:spacing w:after="0"/>
              <w:rPr>
                <w:sz w:val="20"/>
                <w:szCs w:val="20"/>
                <w:color w:val="auto"/>
              </w:rPr>
            </w:pPr>
            <w:r>
              <w:rPr>
                <w:rFonts w:ascii="Arial" w:cs="Arial" w:eastAsia="Arial" w:hAnsi="Arial"/>
                <w:sz w:val="18"/>
                <w:szCs w:val="18"/>
                <w:color w:val="auto"/>
              </w:rPr>
              <w:t>Silver Spike Capital</w:t>
            </w: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5"/>
              </w:rPr>
              <w:t>Asset management fund focused on</w:t>
            </w:r>
          </w:p>
        </w:tc>
        <w:tc>
          <w:tcPr>
            <w:tcW w:w="2900" w:type="dxa"/>
            <w:vAlign w:val="bottom"/>
            <w:gridSpan w:val="3"/>
            <w:shd w:val="clear" w:color="auto" w:fill="D5EAEA"/>
          </w:tcPr>
          <w:p>
            <w:pPr>
              <w:ind w:left="220"/>
              <w:spacing w:after="0"/>
              <w:rPr>
                <w:sz w:val="20"/>
                <w:szCs w:val="20"/>
                <w:color w:val="auto"/>
              </w:rPr>
            </w:pPr>
            <w:r>
              <w:rPr>
                <w:rFonts w:ascii="Arial" w:cs="Arial" w:eastAsia="Arial" w:hAnsi="Arial"/>
                <w:sz w:val="18"/>
                <w:szCs w:val="18"/>
                <w:color w:val="auto"/>
              </w:rPr>
              <w:t>Manager</w:t>
            </w:r>
          </w:p>
        </w:tc>
      </w:tr>
      <w:tr>
        <w:trPr>
          <w:trHeight w:val="216"/>
        </w:trPr>
        <w:tc>
          <w:tcPr>
            <w:tcW w:w="40" w:type="dxa"/>
            <w:vAlign w:val="bottom"/>
            <w:shd w:val="clear" w:color="auto" w:fill="D5EAEA"/>
          </w:tcPr>
          <w:p>
            <w:pPr>
              <w:spacing w:after="0"/>
              <w:rPr>
                <w:sz w:val="18"/>
                <w:szCs w:val="18"/>
                <w:color w:val="auto"/>
              </w:rPr>
            </w:pPr>
          </w:p>
        </w:tc>
        <w:tc>
          <w:tcPr>
            <w:tcW w:w="24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120" w:type="dxa"/>
            <w:vAlign w:val="bottom"/>
            <w:shd w:val="clear" w:color="auto" w:fill="D5EAEA"/>
          </w:tcPr>
          <w:p>
            <w:pPr>
              <w:spacing w:after="0"/>
              <w:rPr>
                <w:sz w:val="18"/>
                <w:szCs w:val="18"/>
                <w:color w:val="auto"/>
              </w:rPr>
            </w:pP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cannabis and related health &amp;</w:t>
            </w:r>
          </w:p>
        </w:tc>
        <w:tc>
          <w:tcPr>
            <w:tcW w:w="220" w:type="dxa"/>
            <w:vAlign w:val="bottom"/>
            <w:shd w:val="clear" w:color="auto" w:fill="D5EAEA"/>
          </w:tcPr>
          <w:p>
            <w:pPr>
              <w:spacing w:after="0"/>
              <w:rPr>
                <w:sz w:val="18"/>
                <w:szCs w:val="18"/>
                <w:color w:val="auto"/>
              </w:rPr>
            </w:pPr>
          </w:p>
        </w:tc>
        <w:tc>
          <w:tcPr>
            <w:tcW w:w="26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51"/>
        </w:trPr>
        <w:tc>
          <w:tcPr>
            <w:tcW w:w="40" w:type="dxa"/>
            <w:vAlign w:val="bottom"/>
            <w:tcBorders>
              <w:bottom w:val="single" w:sz="8" w:color="D5EAEA"/>
            </w:tcBorders>
            <w:shd w:val="clear" w:color="auto" w:fill="D5EAEA"/>
          </w:tcPr>
          <w:p>
            <w:pPr>
              <w:spacing w:after="0"/>
              <w:rPr>
                <w:sz w:val="21"/>
                <w:szCs w:val="21"/>
                <w:color w:val="auto"/>
              </w:rPr>
            </w:pPr>
          </w:p>
        </w:tc>
        <w:tc>
          <w:tcPr>
            <w:tcW w:w="2440" w:type="dxa"/>
            <w:vAlign w:val="bottom"/>
            <w:tcBorders>
              <w:bottom w:val="single" w:sz="8" w:color="D5EAEA"/>
            </w:tcBorders>
            <w:shd w:val="clear" w:color="auto" w:fill="D5EAEA"/>
          </w:tcPr>
          <w:p>
            <w:pPr>
              <w:spacing w:after="0"/>
              <w:rPr>
                <w:sz w:val="21"/>
                <w:szCs w:val="21"/>
                <w:color w:val="auto"/>
              </w:rPr>
            </w:pPr>
          </w:p>
        </w:tc>
        <w:tc>
          <w:tcPr>
            <w:tcW w:w="80" w:type="dxa"/>
            <w:vAlign w:val="bottom"/>
            <w:tcBorders>
              <w:bottom w:val="single" w:sz="8" w:color="D5EAEA"/>
            </w:tcBorders>
            <w:shd w:val="clear" w:color="auto" w:fill="D5EAEA"/>
          </w:tcPr>
          <w:p>
            <w:pPr>
              <w:spacing w:after="0"/>
              <w:rPr>
                <w:sz w:val="21"/>
                <w:szCs w:val="21"/>
                <w:color w:val="auto"/>
              </w:rPr>
            </w:pPr>
          </w:p>
        </w:tc>
        <w:tc>
          <w:tcPr>
            <w:tcW w:w="3120" w:type="dxa"/>
            <w:vAlign w:val="bottom"/>
            <w:tcBorders>
              <w:bottom w:val="single" w:sz="8" w:color="D5EAEA"/>
            </w:tcBorders>
            <w:shd w:val="clear" w:color="auto" w:fill="D5EAEA"/>
          </w:tcPr>
          <w:p>
            <w:pPr>
              <w:spacing w:after="0"/>
              <w:rPr>
                <w:sz w:val="21"/>
                <w:szCs w:val="21"/>
                <w:color w:val="auto"/>
              </w:rPr>
            </w:pPr>
          </w:p>
        </w:tc>
        <w:tc>
          <w:tcPr>
            <w:tcW w:w="284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wellness industries</w:t>
            </w:r>
          </w:p>
        </w:tc>
        <w:tc>
          <w:tcPr>
            <w:tcW w:w="220" w:type="dxa"/>
            <w:vAlign w:val="bottom"/>
            <w:tcBorders>
              <w:bottom w:val="single" w:sz="8" w:color="D5EAEA"/>
            </w:tcBorders>
            <w:shd w:val="clear" w:color="auto" w:fill="D5EAEA"/>
          </w:tcPr>
          <w:p>
            <w:pPr>
              <w:spacing w:after="0"/>
              <w:rPr>
                <w:sz w:val="21"/>
                <w:szCs w:val="21"/>
                <w:color w:val="auto"/>
              </w:rPr>
            </w:pPr>
          </w:p>
        </w:tc>
        <w:tc>
          <w:tcPr>
            <w:tcW w:w="2640" w:type="dxa"/>
            <w:vAlign w:val="bottom"/>
            <w:tcBorders>
              <w:bottom w:val="single" w:sz="8" w:color="D5EAEA"/>
            </w:tcBorders>
            <w:shd w:val="clear" w:color="auto" w:fill="D5EAEA"/>
          </w:tcPr>
          <w:p>
            <w:pPr>
              <w:spacing w:after="0"/>
              <w:rPr>
                <w:sz w:val="21"/>
                <w:szCs w:val="21"/>
                <w:color w:val="auto"/>
              </w:rPr>
            </w:pPr>
          </w:p>
        </w:tc>
        <w:tc>
          <w:tcPr>
            <w:tcW w:w="40" w:type="dxa"/>
            <w:vAlign w:val="bottom"/>
            <w:tcBorders>
              <w:bottom w:val="single" w:sz="8" w:color="D5EAEA"/>
            </w:tcBorders>
            <w:shd w:val="clear" w:color="auto" w:fill="D5EAEA"/>
          </w:tcPr>
          <w:p>
            <w:pPr>
              <w:spacing w:after="0"/>
              <w:rPr>
                <w:sz w:val="21"/>
                <w:szCs w:val="21"/>
                <w:color w:val="auto"/>
              </w:rPr>
            </w:pPr>
          </w:p>
        </w:tc>
      </w:tr>
      <w:tr>
        <w:trPr>
          <w:trHeight w:val="242"/>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Greg Gentile</w:t>
            </w:r>
          </w:p>
        </w:tc>
        <w:tc>
          <w:tcPr>
            <w:tcW w:w="8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Silver Spike Capital</w:t>
            </w:r>
          </w:p>
        </w:tc>
        <w:tc>
          <w:tcPr>
            <w:tcW w:w="2840" w:type="dxa"/>
            <w:vAlign w:val="bottom"/>
            <w:gridSpan w:val="2"/>
          </w:tcPr>
          <w:p>
            <w:pPr>
              <w:ind w:left="80"/>
              <w:spacing w:after="0"/>
              <w:rPr>
                <w:sz w:val="20"/>
                <w:szCs w:val="20"/>
                <w:color w:val="auto"/>
              </w:rPr>
            </w:pPr>
            <w:r>
              <w:rPr>
                <w:rFonts w:ascii="Arial" w:cs="Arial" w:eastAsia="Arial" w:hAnsi="Arial"/>
                <w:sz w:val="18"/>
                <w:szCs w:val="18"/>
                <w:color w:val="auto"/>
                <w:w w:val="95"/>
              </w:rPr>
              <w:t>Asset management fund focused on</w:t>
            </w: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rPr>
              <w:t>Manager, CFO</w:t>
            </w: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cannabis and related health &amp;</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40" w:type="dxa"/>
            <w:vAlign w:val="bottom"/>
            <w:gridSpan w:val="2"/>
          </w:tcPr>
          <w:p>
            <w:pPr>
              <w:ind w:left="80"/>
              <w:spacing w:after="0"/>
              <w:rPr>
                <w:sz w:val="20"/>
                <w:szCs w:val="20"/>
                <w:color w:val="auto"/>
              </w:rPr>
            </w:pPr>
            <w:r>
              <w:rPr>
                <w:rFonts w:ascii="Arial" w:cs="Arial" w:eastAsia="Arial" w:hAnsi="Arial"/>
                <w:sz w:val="18"/>
                <w:szCs w:val="18"/>
                <w:color w:val="auto"/>
              </w:rPr>
              <w:t>wellness industries</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
        </w:trPr>
        <w:tc>
          <w:tcPr>
            <w:tcW w:w="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42"/>
        </w:trPr>
        <w:tc>
          <w:tcPr>
            <w:tcW w:w="40" w:type="dxa"/>
            <w:vAlign w:val="bottom"/>
            <w:shd w:val="clear" w:color="auto" w:fill="D5EAEA"/>
          </w:tcPr>
          <w:p>
            <w:pPr>
              <w:spacing w:after="0"/>
              <w:rPr>
                <w:sz w:val="21"/>
                <w:szCs w:val="21"/>
                <w:color w:val="auto"/>
              </w:rPr>
            </w:pPr>
          </w:p>
        </w:tc>
        <w:tc>
          <w:tcPr>
            <w:tcW w:w="2440" w:type="dxa"/>
            <w:vAlign w:val="bottom"/>
            <w:shd w:val="clear" w:color="auto" w:fill="D5EAEA"/>
          </w:tcPr>
          <w:p>
            <w:pPr>
              <w:spacing w:after="0"/>
              <w:rPr>
                <w:sz w:val="20"/>
                <w:szCs w:val="20"/>
                <w:color w:val="auto"/>
              </w:rPr>
            </w:pPr>
            <w:r>
              <w:rPr>
                <w:rFonts w:ascii="Arial" w:cs="Arial" w:eastAsia="Arial" w:hAnsi="Arial"/>
                <w:sz w:val="18"/>
                <w:szCs w:val="18"/>
                <w:color w:val="auto"/>
              </w:rPr>
              <w:t>Mohammed Grimeh</w:t>
            </w:r>
          </w:p>
        </w:tc>
        <w:tc>
          <w:tcPr>
            <w:tcW w:w="80" w:type="dxa"/>
            <w:vAlign w:val="bottom"/>
            <w:shd w:val="clear" w:color="auto" w:fill="D5EAEA"/>
          </w:tcPr>
          <w:p>
            <w:pPr>
              <w:spacing w:after="0"/>
              <w:rPr>
                <w:sz w:val="21"/>
                <w:szCs w:val="21"/>
                <w:color w:val="auto"/>
              </w:rPr>
            </w:pPr>
          </w:p>
        </w:tc>
        <w:tc>
          <w:tcPr>
            <w:tcW w:w="3120" w:type="dxa"/>
            <w:vAlign w:val="bottom"/>
            <w:shd w:val="clear" w:color="auto" w:fill="D5EAEA"/>
          </w:tcPr>
          <w:p>
            <w:pPr>
              <w:spacing w:after="0"/>
              <w:rPr>
                <w:sz w:val="20"/>
                <w:szCs w:val="20"/>
                <w:color w:val="auto"/>
              </w:rPr>
            </w:pPr>
            <w:r>
              <w:rPr>
                <w:rFonts w:ascii="Arial" w:cs="Arial" w:eastAsia="Arial" w:hAnsi="Arial"/>
                <w:sz w:val="18"/>
                <w:szCs w:val="18"/>
                <w:color w:val="auto"/>
              </w:rPr>
              <w:t>Silver Spike Capital</w:t>
            </w: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5"/>
              </w:rPr>
              <w:t>Asset management fund focused on</w:t>
            </w:r>
          </w:p>
        </w:tc>
        <w:tc>
          <w:tcPr>
            <w:tcW w:w="2900" w:type="dxa"/>
            <w:vAlign w:val="bottom"/>
            <w:gridSpan w:val="3"/>
            <w:shd w:val="clear" w:color="auto" w:fill="D5EAEA"/>
          </w:tcPr>
          <w:p>
            <w:pPr>
              <w:ind w:left="220"/>
              <w:spacing w:after="0"/>
              <w:rPr>
                <w:sz w:val="20"/>
                <w:szCs w:val="20"/>
                <w:color w:val="auto"/>
              </w:rPr>
            </w:pPr>
            <w:r>
              <w:rPr>
                <w:rFonts w:ascii="Arial" w:cs="Arial" w:eastAsia="Arial" w:hAnsi="Arial"/>
                <w:sz w:val="18"/>
                <w:szCs w:val="18"/>
                <w:color w:val="auto"/>
              </w:rPr>
              <w:t>Manager, COO</w:t>
            </w:r>
          </w:p>
        </w:tc>
      </w:tr>
      <w:tr>
        <w:trPr>
          <w:trHeight w:val="216"/>
        </w:trPr>
        <w:tc>
          <w:tcPr>
            <w:tcW w:w="40" w:type="dxa"/>
            <w:vAlign w:val="bottom"/>
            <w:shd w:val="clear" w:color="auto" w:fill="D5EAEA"/>
          </w:tcPr>
          <w:p>
            <w:pPr>
              <w:spacing w:after="0"/>
              <w:rPr>
                <w:sz w:val="18"/>
                <w:szCs w:val="18"/>
                <w:color w:val="auto"/>
              </w:rPr>
            </w:pPr>
          </w:p>
        </w:tc>
        <w:tc>
          <w:tcPr>
            <w:tcW w:w="24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120" w:type="dxa"/>
            <w:vAlign w:val="bottom"/>
            <w:shd w:val="clear" w:color="auto" w:fill="D5EAEA"/>
          </w:tcPr>
          <w:p>
            <w:pPr>
              <w:spacing w:after="0"/>
              <w:rPr>
                <w:sz w:val="18"/>
                <w:szCs w:val="18"/>
                <w:color w:val="auto"/>
              </w:rPr>
            </w:pPr>
          </w:p>
        </w:tc>
        <w:tc>
          <w:tcPr>
            <w:tcW w:w="284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cannabis and related health &amp;</w:t>
            </w:r>
          </w:p>
        </w:tc>
        <w:tc>
          <w:tcPr>
            <w:tcW w:w="220" w:type="dxa"/>
            <w:vAlign w:val="bottom"/>
            <w:shd w:val="clear" w:color="auto" w:fill="D5EAEA"/>
          </w:tcPr>
          <w:p>
            <w:pPr>
              <w:spacing w:after="0"/>
              <w:rPr>
                <w:sz w:val="18"/>
                <w:szCs w:val="18"/>
                <w:color w:val="auto"/>
              </w:rPr>
            </w:pPr>
          </w:p>
        </w:tc>
        <w:tc>
          <w:tcPr>
            <w:tcW w:w="26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51"/>
        </w:trPr>
        <w:tc>
          <w:tcPr>
            <w:tcW w:w="40" w:type="dxa"/>
            <w:vAlign w:val="bottom"/>
            <w:tcBorders>
              <w:bottom w:val="single" w:sz="8" w:color="D5EAEA"/>
            </w:tcBorders>
            <w:shd w:val="clear" w:color="auto" w:fill="D5EAEA"/>
          </w:tcPr>
          <w:p>
            <w:pPr>
              <w:spacing w:after="0"/>
              <w:rPr>
                <w:sz w:val="21"/>
                <w:szCs w:val="21"/>
                <w:color w:val="auto"/>
              </w:rPr>
            </w:pPr>
          </w:p>
        </w:tc>
        <w:tc>
          <w:tcPr>
            <w:tcW w:w="2440" w:type="dxa"/>
            <w:vAlign w:val="bottom"/>
            <w:tcBorders>
              <w:bottom w:val="single" w:sz="8" w:color="D5EAEA"/>
            </w:tcBorders>
            <w:shd w:val="clear" w:color="auto" w:fill="D5EAEA"/>
          </w:tcPr>
          <w:p>
            <w:pPr>
              <w:spacing w:after="0"/>
              <w:rPr>
                <w:sz w:val="21"/>
                <w:szCs w:val="21"/>
                <w:color w:val="auto"/>
              </w:rPr>
            </w:pPr>
          </w:p>
        </w:tc>
        <w:tc>
          <w:tcPr>
            <w:tcW w:w="80" w:type="dxa"/>
            <w:vAlign w:val="bottom"/>
            <w:tcBorders>
              <w:bottom w:val="single" w:sz="8" w:color="D5EAEA"/>
            </w:tcBorders>
            <w:shd w:val="clear" w:color="auto" w:fill="D5EAEA"/>
          </w:tcPr>
          <w:p>
            <w:pPr>
              <w:spacing w:after="0"/>
              <w:rPr>
                <w:sz w:val="21"/>
                <w:szCs w:val="21"/>
                <w:color w:val="auto"/>
              </w:rPr>
            </w:pPr>
          </w:p>
        </w:tc>
        <w:tc>
          <w:tcPr>
            <w:tcW w:w="3120" w:type="dxa"/>
            <w:vAlign w:val="bottom"/>
            <w:tcBorders>
              <w:bottom w:val="single" w:sz="8" w:color="D5EAEA"/>
            </w:tcBorders>
            <w:shd w:val="clear" w:color="auto" w:fill="D5EAEA"/>
          </w:tcPr>
          <w:p>
            <w:pPr>
              <w:spacing w:after="0"/>
              <w:rPr>
                <w:sz w:val="21"/>
                <w:szCs w:val="21"/>
                <w:color w:val="auto"/>
              </w:rPr>
            </w:pPr>
          </w:p>
        </w:tc>
        <w:tc>
          <w:tcPr>
            <w:tcW w:w="284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wellness industries</w:t>
            </w:r>
          </w:p>
        </w:tc>
        <w:tc>
          <w:tcPr>
            <w:tcW w:w="220" w:type="dxa"/>
            <w:vAlign w:val="bottom"/>
            <w:tcBorders>
              <w:bottom w:val="single" w:sz="8" w:color="D5EAEA"/>
            </w:tcBorders>
            <w:shd w:val="clear" w:color="auto" w:fill="D5EAEA"/>
          </w:tcPr>
          <w:p>
            <w:pPr>
              <w:spacing w:after="0"/>
              <w:rPr>
                <w:sz w:val="21"/>
                <w:szCs w:val="21"/>
                <w:color w:val="auto"/>
              </w:rPr>
            </w:pPr>
          </w:p>
        </w:tc>
        <w:tc>
          <w:tcPr>
            <w:tcW w:w="2640" w:type="dxa"/>
            <w:vAlign w:val="bottom"/>
            <w:tcBorders>
              <w:bottom w:val="single" w:sz="8" w:color="D5EAEA"/>
            </w:tcBorders>
            <w:shd w:val="clear" w:color="auto" w:fill="D5EAEA"/>
          </w:tcPr>
          <w:p>
            <w:pPr>
              <w:spacing w:after="0"/>
              <w:rPr>
                <w:sz w:val="21"/>
                <w:szCs w:val="21"/>
                <w:color w:val="auto"/>
              </w:rPr>
            </w:pPr>
          </w:p>
        </w:tc>
        <w:tc>
          <w:tcPr>
            <w:tcW w:w="40" w:type="dxa"/>
            <w:vAlign w:val="bottom"/>
            <w:tcBorders>
              <w:bottom w:val="single" w:sz="8" w:color="D5EAEA"/>
            </w:tcBorders>
            <w:shd w:val="clear" w:color="auto" w:fill="D5EAEA"/>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Orrin Devinsky</w:t>
            </w:r>
          </w:p>
        </w:tc>
        <w:tc>
          <w:tcPr>
            <w:tcW w:w="80" w:type="dxa"/>
            <w:vAlign w:val="bottom"/>
          </w:tcPr>
          <w:p>
            <w:pPr>
              <w:spacing w:after="0"/>
              <w:rPr>
                <w:sz w:val="22"/>
                <w:szCs w:val="22"/>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NYU Langone Comprehensive Epilepsy Medical center</w:t>
            </w:r>
          </w:p>
        </w:tc>
        <w:tc>
          <w:tcPr>
            <w:tcW w:w="220" w:type="dxa"/>
            <w:vAlign w:val="bottom"/>
          </w:tcPr>
          <w:p>
            <w:pPr>
              <w:spacing w:after="0"/>
              <w:rPr>
                <w:sz w:val="22"/>
                <w:szCs w:val="22"/>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Center</w:t>
            </w: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gridSpan w:val="2"/>
          </w:tcPr>
          <w:p>
            <w:pPr>
              <w:spacing w:after="0"/>
              <w:rPr>
                <w:sz w:val="4"/>
                <w:szCs w:val="4"/>
                <w:color w:val="auto"/>
              </w:rPr>
            </w:pPr>
          </w:p>
        </w:tc>
      </w:tr>
      <w:tr>
        <w:trPr>
          <w:trHeight w:val="256"/>
        </w:trPr>
        <w:tc>
          <w:tcPr>
            <w:tcW w:w="40" w:type="dxa"/>
            <w:vAlign w:val="bottom"/>
            <w:shd w:val="clear" w:color="auto" w:fill="D5EAEA"/>
          </w:tcPr>
          <w:p>
            <w:pPr>
              <w:spacing w:after="0"/>
              <w:rPr>
                <w:sz w:val="22"/>
                <w:szCs w:val="22"/>
                <w:color w:val="auto"/>
              </w:rPr>
            </w:pPr>
          </w:p>
        </w:tc>
        <w:tc>
          <w:tcPr>
            <w:tcW w:w="2440" w:type="dxa"/>
            <w:vAlign w:val="bottom"/>
            <w:shd w:val="clear" w:color="auto" w:fill="D5EAEA"/>
          </w:tcPr>
          <w:p>
            <w:pPr>
              <w:spacing w:after="0"/>
              <w:rPr>
                <w:sz w:val="22"/>
                <w:szCs w:val="22"/>
                <w:color w:val="auto"/>
              </w:rPr>
            </w:pPr>
          </w:p>
        </w:tc>
        <w:tc>
          <w:tcPr>
            <w:tcW w:w="80" w:type="dxa"/>
            <w:vAlign w:val="bottom"/>
            <w:shd w:val="clear" w:color="auto" w:fill="D5EAEA"/>
          </w:tcPr>
          <w:p>
            <w:pPr>
              <w:spacing w:after="0"/>
              <w:rPr>
                <w:sz w:val="22"/>
                <w:szCs w:val="22"/>
                <w:color w:val="auto"/>
              </w:rPr>
            </w:pPr>
          </w:p>
        </w:tc>
        <w:tc>
          <w:tcPr>
            <w:tcW w:w="31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NYU School of Medicine</w:t>
            </w:r>
          </w:p>
        </w:tc>
        <w:tc>
          <w:tcPr>
            <w:tcW w:w="284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Medical school</w:t>
            </w:r>
          </w:p>
        </w:tc>
        <w:tc>
          <w:tcPr>
            <w:tcW w:w="220" w:type="dxa"/>
            <w:vAlign w:val="bottom"/>
            <w:shd w:val="clear" w:color="auto" w:fill="D5EAEA"/>
          </w:tcPr>
          <w:p>
            <w:pPr>
              <w:spacing w:after="0"/>
              <w:rPr>
                <w:sz w:val="22"/>
                <w:szCs w:val="22"/>
                <w:color w:val="auto"/>
              </w:rPr>
            </w:pPr>
          </w:p>
        </w:tc>
        <w:tc>
          <w:tcPr>
            <w:tcW w:w="268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Professor of Neurology,</w:t>
            </w:r>
          </w:p>
        </w:tc>
      </w:tr>
      <w:tr>
        <w:trPr>
          <w:trHeight w:val="216"/>
        </w:trPr>
        <w:tc>
          <w:tcPr>
            <w:tcW w:w="40" w:type="dxa"/>
            <w:vAlign w:val="bottom"/>
            <w:shd w:val="clear" w:color="auto" w:fill="D5EAEA"/>
          </w:tcPr>
          <w:p>
            <w:pPr>
              <w:spacing w:after="0"/>
              <w:rPr>
                <w:sz w:val="18"/>
                <w:szCs w:val="18"/>
                <w:color w:val="auto"/>
              </w:rPr>
            </w:pPr>
          </w:p>
        </w:tc>
        <w:tc>
          <w:tcPr>
            <w:tcW w:w="24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1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76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268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Neuroscience, Psychiatry and</w:t>
            </w:r>
          </w:p>
        </w:tc>
      </w:tr>
      <w:tr>
        <w:trPr>
          <w:trHeight w:val="264"/>
        </w:trPr>
        <w:tc>
          <w:tcPr>
            <w:tcW w:w="40" w:type="dxa"/>
            <w:vAlign w:val="bottom"/>
            <w:tcBorders>
              <w:bottom w:val="single" w:sz="8" w:color="D5EAEA"/>
            </w:tcBorders>
            <w:shd w:val="clear" w:color="auto" w:fill="D5EAEA"/>
          </w:tcPr>
          <w:p>
            <w:pPr>
              <w:spacing w:after="0"/>
              <w:rPr>
                <w:sz w:val="22"/>
                <w:szCs w:val="22"/>
                <w:color w:val="auto"/>
              </w:rPr>
            </w:pPr>
          </w:p>
        </w:tc>
        <w:tc>
          <w:tcPr>
            <w:tcW w:w="2440" w:type="dxa"/>
            <w:vAlign w:val="bottom"/>
            <w:tcBorders>
              <w:bottom w:val="single" w:sz="8" w:color="D5EAEA"/>
            </w:tcBorders>
            <w:shd w:val="clear" w:color="auto" w:fill="D5EAEA"/>
          </w:tcPr>
          <w:p>
            <w:pPr>
              <w:spacing w:after="0"/>
              <w:rPr>
                <w:sz w:val="22"/>
                <w:szCs w:val="22"/>
                <w:color w:val="auto"/>
              </w:rPr>
            </w:pPr>
          </w:p>
        </w:tc>
        <w:tc>
          <w:tcPr>
            <w:tcW w:w="80" w:type="dxa"/>
            <w:vAlign w:val="bottom"/>
            <w:tcBorders>
              <w:bottom w:val="single" w:sz="8" w:color="D5EAEA"/>
            </w:tcBorders>
            <w:shd w:val="clear" w:color="auto" w:fill="D5EAEA"/>
          </w:tcPr>
          <w:p>
            <w:pPr>
              <w:spacing w:after="0"/>
              <w:rPr>
                <w:sz w:val="22"/>
                <w:szCs w:val="22"/>
                <w:color w:val="auto"/>
              </w:rPr>
            </w:pPr>
          </w:p>
        </w:tc>
        <w:tc>
          <w:tcPr>
            <w:tcW w:w="3120" w:type="dxa"/>
            <w:vAlign w:val="bottom"/>
            <w:tcBorders>
              <w:bottom w:val="single" w:sz="8" w:color="D5EAEA"/>
            </w:tcBorders>
            <w:shd w:val="clear" w:color="auto" w:fill="D5EAEA"/>
          </w:tcPr>
          <w:p>
            <w:pPr>
              <w:spacing w:after="0"/>
              <w:rPr>
                <w:sz w:val="22"/>
                <w:szCs w:val="22"/>
                <w:color w:val="auto"/>
              </w:rPr>
            </w:pPr>
          </w:p>
        </w:tc>
        <w:tc>
          <w:tcPr>
            <w:tcW w:w="80" w:type="dxa"/>
            <w:vAlign w:val="bottom"/>
            <w:tcBorders>
              <w:bottom w:val="single" w:sz="8" w:color="D5EAEA"/>
            </w:tcBorders>
            <w:shd w:val="clear" w:color="auto" w:fill="D5EAEA"/>
          </w:tcPr>
          <w:p>
            <w:pPr>
              <w:spacing w:after="0"/>
              <w:rPr>
                <w:sz w:val="22"/>
                <w:szCs w:val="22"/>
                <w:color w:val="auto"/>
              </w:rPr>
            </w:pPr>
          </w:p>
        </w:tc>
        <w:tc>
          <w:tcPr>
            <w:tcW w:w="2760" w:type="dxa"/>
            <w:vAlign w:val="bottom"/>
            <w:tcBorders>
              <w:bottom w:val="single" w:sz="8" w:color="D5EAEA"/>
            </w:tcBorders>
            <w:shd w:val="clear" w:color="auto" w:fill="D5EAEA"/>
          </w:tcPr>
          <w:p>
            <w:pPr>
              <w:spacing w:after="0"/>
              <w:rPr>
                <w:sz w:val="22"/>
                <w:szCs w:val="22"/>
                <w:color w:val="auto"/>
              </w:rPr>
            </w:pPr>
          </w:p>
        </w:tc>
        <w:tc>
          <w:tcPr>
            <w:tcW w:w="220" w:type="dxa"/>
            <w:vAlign w:val="bottom"/>
            <w:tcBorders>
              <w:bottom w:val="single" w:sz="8" w:color="D5EAEA"/>
            </w:tcBorders>
            <w:shd w:val="clear" w:color="auto" w:fill="D5EAEA"/>
          </w:tcPr>
          <w:p>
            <w:pPr>
              <w:spacing w:after="0"/>
              <w:rPr>
                <w:sz w:val="22"/>
                <w:szCs w:val="22"/>
                <w:color w:val="auto"/>
              </w:rPr>
            </w:pPr>
          </w:p>
        </w:tc>
        <w:tc>
          <w:tcPr>
            <w:tcW w:w="26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Neurosurgery</w:t>
            </w:r>
          </w:p>
        </w:tc>
      </w:tr>
      <w:tr>
        <w:trPr>
          <w:trHeight w:val="256"/>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Tilray</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Pharmaceutical and cannabis</w:t>
            </w:r>
          </w:p>
        </w:tc>
        <w:tc>
          <w:tcPr>
            <w:tcW w:w="220" w:type="dxa"/>
            <w:vAlign w:val="bottom"/>
          </w:tcPr>
          <w:p>
            <w:pPr>
              <w:spacing w:after="0"/>
              <w:rPr>
                <w:sz w:val="22"/>
                <w:szCs w:val="22"/>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Chair of the Medical Advisory</w:t>
            </w: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Board</w:t>
            </w: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gridSpan w:val="2"/>
          </w:tcPr>
          <w:p>
            <w:pPr>
              <w:spacing w:after="0"/>
              <w:rPr>
                <w:sz w:val="4"/>
                <w:szCs w:val="4"/>
                <w:color w:val="auto"/>
              </w:rPr>
            </w:pPr>
          </w:p>
        </w:tc>
      </w:tr>
      <w:tr>
        <w:trPr>
          <w:trHeight w:val="256"/>
        </w:trPr>
        <w:tc>
          <w:tcPr>
            <w:tcW w:w="40" w:type="dxa"/>
            <w:vAlign w:val="bottom"/>
            <w:shd w:val="clear" w:color="auto" w:fill="D5EAEA"/>
          </w:tcPr>
          <w:p>
            <w:pPr>
              <w:spacing w:after="0"/>
              <w:rPr>
                <w:sz w:val="22"/>
                <w:szCs w:val="22"/>
                <w:color w:val="auto"/>
              </w:rPr>
            </w:pPr>
          </w:p>
        </w:tc>
        <w:tc>
          <w:tcPr>
            <w:tcW w:w="2440" w:type="dxa"/>
            <w:vAlign w:val="bottom"/>
            <w:shd w:val="clear" w:color="auto" w:fill="D5EAEA"/>
          </w:tcPr>
          <w:p>
            <w:pPr>
              <w:spacing w:after="0"/>
              <w:rPr>
                <w:sz w:val="22"/>
                <w:szCs w:val="22"/>
                <w:color w:val="auto"/>
              </w:rPr>
            </w:pPr>
          </w:p>
        </w:tc>
        <w:tc>
          <w:tcPr>
            <w:tcW w:w="80" w:type="dxa"/>
            <w:vAlign w:val="bottom"/>
            <w:shd w:val="clear" w:color="auto" w:fill="D5EAEA"/>
          </w:tcPr>
          <w:p>
            <w:pPr>
              <w:spacing w:after="0"/>
              <w:rPr>
                <w:sz w:val="22"/>
                <w:szCs w:val="22"/>
                <w:color w:val="auto"/>
              </w:rPr>
            </w:pPr>
          </w:p>
        </w:tc>
        <w:tc>
          <w:tcPr>
            <w:tcW w:w="31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Papa &amp; Barkley</w:t>
            </w:r>
          </w:p>
        </w:tc>
        <w:tc>
          <w:tcPr>
            <w:tcW w:w="284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w w:val="99"/>
              </w:rPr>
              <w:t>Cannabis products, manufacturing,</w:t>
            </w:r>
          </w:p>
        </w:tc>
        <w:tc>
          <w:tcPr>
            <w:tcW w:w="220" w:type="dxa"/>
            <w:vAlign w:val="bottom"/>
            <w:shd w:val="clear" w:color="auto" w:fill="D5EAEA"/>
          </w:tcPr>
          <w:p>
            <w:pPr>
              <w:spacing w:after="0"/>
              <w:rPr>
                <w:sz w:val="22"/>
                <w:szCs w:val="22"/>
                <w:color w:val="auto"/>
              </w:rPr>
            </w:pPr>
          </w:p>
        </w:tc>
        <w:tc>
          <w:tcPr>
            <w:tcW w:w="268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w w:val="98"/>
              </w:rPr>
              <w:t>Member of the Scientific Advisory</w:t>
            </w:r>
          </w:p>
        </w:tc>
      </w:tr>
      <w:tr>
        <w:trPr>
          <w:trHeight w:val="216"/>
        </w:trPr>
        <w:tc>
          <w:tcPr>
            <w:tcW w:w="40" w:type="dxa"/>
            <w:vAlign w:val="bottom"/>
            <w:shd w:val="clear" w:color="auto" w:fill="D5EAEA"/>
          </w:tcPr>
          <w:p>
            <w:pPr>
              <w:spacing w:after="0"/>
              <w:rPr>
                <w:sz w:val="18"/>
                <w:szCs w:val="18"/>
                <w:color w:val="auto"/>
              </w:rPr>
            </w:pPr>
          </w:p>
        </w:tc>
        <w:tc>
          <w:tcPr>
            <w:tcW w:w="24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120" w:type="dxa"/>
            <w:vAlign w:val="bottom"/>
            <w:shd w:val="clear" w:color="auto" w:fill="D5EAEA"/>
          </w:tcPr>
          <w:p>
            <w:pPr>
              <w:spacing w:after="0"/>
              <w:rPr>
                <w:sz w:val="18"/>
                <w:szCs w:val="18"/>
                <w:color w:val="auto"/>
              </w:rPr>
            </w:pPr>
          </w:p>
        </w:tc>
        <w:tc>
          <w:tcPr>
            <w:tcW w:w="284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processing, and logistics; hemp-</w:t>
            </w:r>
          </w:p>
        </w:tc>
        <w:tc>
          <w:tcPr>
            <w:tcW w:w="220" w:type="dxa"/>
            <w:vAlign w:val="bottom"/>
            <w:shd w:val="clear" w:color="auto" w:fill="D5EAEA"/>
          </w:tcPr>
          <w:p>
            <w:pPr>
              <w:spacing w:after="0"/>
              <w:rPr>
                <w:sz w:val="18"/>
                <w:szCs w:val="18"/>
                <w:color w:val="auto"/>
              </w:rPr>
            </w:pPr>
          </w:p>
        </w:tc>
        <w:tc>
          <w:tcPr>
            <w:tcW w:w="268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Board</w:t>
            </w:r>
          </w:p>
        </w:tc>
      </w:tr>
      <w:tr>
        <w:trPr>
          <w:trHeight w:val="264"/>
        </w:trPr>
        <w:tc>
          <w:tcPr>
            <w:tcW w:w="40" w:type="dxa"/>
            <w:vAlign w:val="bottom"/>
            <w:tcBorders>
              <w:bottom w:val="single" w:sz="8" w:color="D5EAEA"/>
            </w:tcBorders>
            <w:shd w:val="clear" w:color="auto" w:fill="D5EAEA"/>
          </w:tcPr>
          <w:p>
            <w:pPr>
              <w:spacing w:after="0"/>
              <w:rPr>
                <w:sz w:val="22"/>
                <w:szCs w:val="22"/>
                <w:color w:val="auto"/>
              </w:rPr>
            </w:pPr>
          </w:p>
        </w:tc>
        <w:tc>
          <w:tcPr>
            <w:tcW w:w="2440" w:type="dxa"/>
            <w:vAlign w:val="bottom"/>
            <w:tcBorders>
              <w:bottom w:val="single" w:sz="8" w:color="D5EAEA"/>
            </w:tcBorders>
            <w:shd w:val="clear" w:color="auto" w:fill="D5EAEA"/>
          </w:tcPr>
          <w:p>
            <w:pPr>
              <w:spacing w:after="0"/>
              <w:rPr>
                <w:sz w:val="22"/>
                <w:szCs w:val="22"/>
                <w:color w:val="auto"/>
              </w:rPr>
            </w:pPr>
          </w:p>
        </w:tc>
        <w:tc>
          <w:tcPr>
            <w:tcW w:w="80" w:type="dxa"/>
            <w:vAlign w:val="bottom"/>
            <w:tcBorders>
              <w:bottom w:val="single" w:sz="8" w:color="D5EAEA"/>
            </w:tcBorders>
            <w:shd w:val="clear" w:color="auto" w:fill="D5EAEA"/>
          </w:tcPr>
          <w:p>
            <w:pPr>
              <w:spacing w:after="0"/>
              <w:rPr>
                <w:sz w:val="22"/>
                <w:szCs w:val="22"/>
                <w:color w:val="auto"/>
              </w:rPr>
            </w:pPr>
          </w:p>
        </w:tc>
        <w:tc>
          <w:tcPr>
            <w:tcW w:w="3120" w:type="dxa"/>
            <w:vAlign w:val="bottom"/>
            <w:tcBorders>
              <w:bottom w:val="single" w:sz="8" w:color="D5EAEA"/>
            </w:tcBorders>
            <w:shd w:val="clear" w:color="auto" w:fill="D5EAEA"/>
          </w:tcPr>
          <w:p>
            <w:pPr>
              <w:spacing w:after="0"/>
              <w:rPr>
                <w:sz w:val="22"/>
                <w:szCs w:val="22"/>
                <w:color w:val="auto"/>
              </w:rPr>
            </w:pPr>
          </w:p>
        </w:tc>
        <w:tc>
          <w:tcPr>
            <w:tcW w:w="284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derived CBD</w:t>
            </w:r>
          </w:p>
        </w:tc>
        <w:tc>
          <w:tcPr>
            <w:tcW w:w="220" w:type="dxa"/>
            <w:vAlign w:val="bottom"/>
            <w:tcBorders>
              <w:bottom w:val="single" w:sz="8" w:color="D5EAEA"/>
            </w:tcBorders>
            <w:shd w:val="clear" w:color="auto" w:fill="D5EAEA"/>
          </w:tcPr>
          <w:p>
            <w:pPr>
              <w:spacing w:after="0"/>
              <w:rPr>
                <w:sz w:val="22"/>
                <w:szCs w:val="22"/>
                <w:color w:val="auto"/>
              </w:rPr>
            </w:pPr>
          </w:p>
        </w:tc>
        <w:tc>
          <w:tcPr>
            <w:tcW w:w="2640" w:type="dxa"/>
            <w:vAlign w:val="bottom"/>
            <w:tcBorders>
              <w:bottom w:val="single" w:sz="8" w:color="D5EAEA"/>
            </w:tcBorders>
            <w:shd w:val="clear" w:color="auto" w:fill="D5EAEA"/>
          </w:tcPr>
          <w:p>
            <w:pPr>
              <w:spacing w:after="0"/>
              <w:rPr>
                <w:sz w:val="22"/>
                <w:szCs w:val="22"/>
                <w:color w:val="auto"/>
              </w:rPr>
            </w:pPr>
          </w:p>
        </w:tc>
        <w:tc>
          <w:tcPr>
            <w:tcW w:w="40" w:type="dxa"/>
            <w:vAlign w:val="bottom"/>
            <w:tcBorders>
              <w:bottom w:val="single" w:sz="8" w:color="D5EAEA"/>
            </w:tcBorders>
            <w:shd w:val="clear" w:color="auto" w:fill="D5EAEA"/>
          </w:tcPr>
          <w:p>
            <w:pPr>
              <w:spacing w:after="0"/>
              <w:rPr>
                <w:sz w:val="22"/>
                <w:szCs w:val="22"/>
                <w:color w:val="auto"/>
              </w:rPr>
            </w:pPr>
          </w:p>
        </w:tc>
      </w:tr>
      <w:tr>
        <w:trPr>
          <w:trHeight w:val="256"/>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Tevard</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Genetic therapy</w:t>
            </w:r>
          </w:p>
        </w:tc>
        <w:tc>
          <w:tcPr>
            <w:tcW w:w="220" w:type="dxa"/>
            <w:vAlign w:val="bottom"/>
          </w:tcPr>
          <w:p>
            <w:pPr>
              <w:spacing w:after="0"/>
              <w:rPr>
                <w:sz w:val="22"/>
                <w:szCs w:val="22"/>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Member of the Business and</w:t>
            </w: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Scientific Advisory Boards</w:t>
            </w: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gridSpan w:val="2"/>
          </w:tcPr>
          <w:p>
            <w:pPr>
              <w:spacing w:after="0"/>
              <w:rPr>
                <w:sz w:val="4"/>
                <w:szCs w:val="4"/>
                <w:color w:val="auto"/>
              </w:rPr>
            </w:pPr>
          </w:p>
        </w:tc>
      </w:tr>
      <w:tr>
        <w:trPr>
          <w:trHeight w:val="256"/>
        </w:trPr>
        <w:tc>
          <w:tcPr>
            <w:tcW w:w="40" w:type="dxa"/>
            <w:vAlign w:val="bottom"/>
            <w:shd w:val="clear" w:color="auto" w:fill="D5EAEA"/>
          </w:tcPr>
          <w:p>
            <w:pPr>
              <w:spacing w:after="0"/>
              <w:rPr>
                <w:sz w:val="22"/>
                <w:szCs w:val="22"/>
                <w:color w:val="auto"/>
              </w:rPr>
            </w:pPr>
          </w:p>
        </w:tc>
        <w:tc>
          <w:tcPr>
            <w:tcW w:w="2440" w:type="dxa"/>
            <w:vAlign w:val="bottom"/>
            <w:shd w:val="clear" w:color="auto" w:fill="D5EAEA"/>
          </w:tcPr>
          <w:p>
            <w:pPr>
              <w:spacing w:after="0"/>
              <w:rPr>
                <w:sz w:val="22"/>
                <w:szCs w:val="22"/>
                <w:color w:val="auto"/>
              </w:rPr>
            </w:pPr>
          </w:p>
        </w:tc>
        <w:tc>
          <w:tcPr>
            <w:tcW w:w="80" w:type="dxa"/>
            <w:vAlign w:val="bottom"/>
            <w:shd w:val="clear" w:color="auto" w:fill="D5EAEA"/>
          </w:tcPr>
          <w:p>
            <w:pPr>
              <w:spacing w:after="0"/>
              <w:rPr>
                <w:sz w:val="22"/>
                <w:szCs w:val="22"/>
                <w:color w:val="auto"/>
              </w:rPr>
            </w:pPr>
          </w:p>
        </w:tc>
        <w:tc>
          <w:tcPr>
            <w:tcW w:w="31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Engage Therapeutics</w:t>
            </w:r>
          </w:p>
        </w:tc>
        <w:tc>
          <w:tcPr>
            <w:tcW w:w="284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Biopharmaceutical</w:t>
            </w:r>
          </w:p>
        </w:tc>
        <w:tc>
          <w:tcPr>
            <w:tcW w:w="220" w:type="dxa"/>
            <w:vAlign w:val="bottom"/>
            <w:shd w:val="clear" w:color="auto" w:fill="D5EAEA"/>
          </w:tcPr>
          <w:p>
            <w:pPr>
              <w:spacing w:after="0"/>
              <w:rPr>
                <w:sz w:val="22"/>
                <w:szCs w:val="22"/>
                <w:color w:val="auto"/>
              </w:rPr>
            </w:pPr>
          </w:p>
        </w:tc>
        <w:tc>
          <w:tcPr>
            <w:tcW w:w="268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Member of the Business and</w:t>
            </w:r>
          </w:p>
        </w:tc>
      </w:tr>
      <w:tr>
        <w:trPr>
          <w:trHeight w:val="264"/>
        </w:trPr>
        <w:tc>
          <w:tcPr>
            <w:tcW w:w="40" w:type="dxa"/>
            <w:vAlign w:val="bottom"/>
            <w:tcBorders>
              <w:bottom w:val="single" w:sz="8" w:color="D5EAEA"/>
            </w:tcBorders>
            <w:shd w:val="clear" w:color="auto" w:fill="D5EAEA"/>
          </w:tcPr>
          <w:p>
            <w:pPr>
              <w:spacing w:after="0"/>
              <w:rPr>
                <w:sz w:val="22"/>
                <w:szCs w:val="22"/>
                <w:color w:val="auto"/>
              </w:rPr>
            </w:pPr>
          </w:p>
        </w:tc>
        <w:tc>
          <w:tcPr>
            <w:tcW w:w="2440" w:type="dxa"/>
            <w:vAlign w:val="bottom"/>
            <w:tcBorders>
              <w:bottom w:val="single" w:sz="8" w:color="D5EAEA"/>
            </w:tcBorders>
            <w:shd w:val="clear" w:color="auto" w:fill="D5EAEA"/>
          </w:tcPr>
          <w:p>
            <w:pPr>
              <w:spacing w:after="0"/>
              <w:rPr>
                <w:sz w:val="22"/>
                <w:szCs w:val="22"/>
                <w:color w:val="auto"/>
              </w:rPr>
            </w:pPr>
          </w:p>
        </w:tc>
        <w:tc>
          <w:tcPr>
            <w:tcW w:w="80" w:type="dxa"/>
            <w:vAlign w:val="bottom"/>
            <w:tcBorders>
              <w:bottom w:val="single" w:sz="8" w:color="D5EAEA"/>
            </w:tcBorders>
            <w:shd w:val="clear" w:color="auto" w:fill="D5EAEA"/>
          </w:tcPr>
          <w:p>
            <w:pPr>
              <w:spacing w:after="0"/>
              <w:rPr>
                <w:sz w:val="22"/>
                <w:szCs w:val="22"/>
                <w:color w:val="auto"/>
              </w:rPr>
            </w:pPr>
          </w:p>
        </w:tc>
        <w:tc>
          <w:tcPr>
            <w:tcW w:w="3120" w:type="dxa"/>
            <w:vAlign w:val="bottom"/>
            <w:tcBorders>
              <w:bottom w:val="single" w:sz="8" w:color="D5EAEA"/>
            </w:tcBorders>
            <w:shd w:val="clear" w:color="auto" w:fill="D5EAEA"/>
          </w:tcPr>
          <w:p>
            <w:pPr>
              <w:spacing w:after="0"/>
              <w:rPr>
                <w:sz w:val="22"/>
                <w:szCs w:val="22"/>
                <w:color w:val="auto"/>
              </w:rPr>
            </w:pPr>
          </w:p>
        </w:tc>
        <w:tc>
          <w:tcPr>
            <w:tcW w:w="80" w:type="dxa"/>
            <w:vAlign w:val="bottom"/>
            <w:tcBorders>
              <w:bottom w:val="single" w:sz="8" w:color="D5EAEA"/>
            </w:tcBorders>
            <w:shd w:val="clear" w:color="auto" w:fill="D5EAEA"/>
          </w:tcPr>
          <w:p>
            <w:pPr>
              <w:spacing w:after="0"/>
              <w:rPr>
                <w:sz w:val="22"/>
                <w:szCs w:val="22"/>
                <w:color w:val="auto"/>
              </w:rPr>
            </w:pPr>
          </w:p>
        </w:tc>
        <w:tc>
          <w:tcPr>
            <w:tcW w:w="2760" w:type="dxa"/>
            <w:vAlign w:val="bottom"/>
            <w:tcBorders>
              <w:bottom w:val="single" w:sz="8" w:color="D5EAEA"/>
            </w:tcBorders>
            <w:shd w:val="clear" w:color="auto" w:fill="D5EAEA"/>
          </w:tcPr>
          <w:p>
            <w:pPr>
              <w:spacing w:after="0"/>
              <w:rPr>
                <w:sz w:val="22"/>
                <w:szCs w:val="22"/>
                <w:color w:val="auto"/>
              </w:rPr>
            </w:pPr>
          </w:p>
        </w:tc>
        <w:tc>
          <w:tcPr>
            <w:tcW w:w="220" w:type="dxa"/>
            <w:vAlign w:val="bottom"/>
            <w:tcBorders>
              <w:bottom w:val="single" w:sz="8" w:color="D5EAEA"/>
            </w:tcBorders>
            <w:shd w:val="clear" w:color="auto" w:fill="D5EAEA"/>
          </w:tcPr>
          <w:p>
            <w:pPr>
              <w:spacing w:after="0"/>
              <w:rPr>
                <w:sz w:val="22"/>
                <w:szCs w:val="22"/>
                <w:color w:val="auto"/>
              </w:rPr>
            </w:pPr>
          </w:p>
        </w:tc>
        <w:tc>
          <w:tcPr>
            <w:tcW w:w="26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Scientific Advisory Boards</w:t>
            </w:r>
          </w:p>
        </w:tc>
      </w:tr>
      <w:tr>
        <w:trPr>
          <w:trHeight w:val="256"/>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Receptor Life Sciences</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Cannabinoid medicine drug</w:t>
            </w:r>
          </w:p>
        </w:tc>
        <w:tc>
          <w:tcPr>
            <w:tcW w:w="220" w:type="dxa"/>
            <w:vAlign w:val="bottom"/>
          </w:tcPr>
          <w:p>
            <w:pPr>
              <w:spacing w:after="0"/>
              <w:rPr>
                <w:sz w:val="22"/>
                <w:szCs w:val="22"/>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Chief Medical Officer</w:t>
            </w: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gridSpan w:val="2"/>
          </w:tcPr>
          <w:p>
            <w:pPr>
              <w:spacing w:after="0"/>
              <w:rPr>
                <w:sz w:val="4"/>
                <w:szCs w:val="4"/>
                <w:color w:val="auto"/>
              </w:rPr>
            </w:pPr>
          </w:p>
        </w:tc>
      </w:tr>
      <w:tr>
        <w:trPr>
          <w:trHeight w:val="256"/>
        </w:trPr>
        <w:tc>
          <w:tcPr>
            <w:tcW w:w="40" w:type="dxa"/>
            <w:vAlign w:val="bottom"/>
            <w:shd w:val="clear" w:color="auto" w:fill="D5EAEA"/>
          </w:tcPr>
          <w:p>
            <w:pPr>
              <w:spacing w:after="0"/>
              <w:rPr>
                <w:sz w:val="22"/>
                <w:szCs w:val="22"/>
                <w:color w:val="auto"/>
              </w:rPr>
            </w:pPr>
          </w:p>
        </w:tc>
        <w:tc>
          <w:tcPr>
            <w:tcW w:w="2440" w:type="dxa"/>
            <w:vAlign w:val="bottom"/>
            <w:shd w:val="clear" w:color="auto" w:fill="D5EAEA"/>
          </w:tcPr>
          <w:p>
            <w:pPr>
              <w:spacing w:after="0"/>
              <w:rPr>
                <w:sz w:val="22"/>
                <w:szCs w:val="22"/>
                <w:color w:val="auto"/>
              </w:rPr>
            </w:pPr>
          </w:p>
        </w:tc>
        <w:tc>
          <w:tcPr>
            <w:tcW w:w="80" w:type="dxa"/>
            <w:vAlign w:val="bottom"/>
            <w:shd w:val="clear" w:color="auto" w:fill="D5EAEA"/>
          </w:tcPr>
          <w:p>
            <w:pPr>
              <w:spacing w:after="0"/>
              <w:rPr>
                <w:sz w:val="22"/>
                <w:szCs w:val="22"/>
                <w:color w:val="auto"/>
              </w:rPr>
            </w:pPr>
          </w:p>
        </w:tc>
        <w:tc>
          <w:tcPr>
            <w:tcW w:w="31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Empatica</w:t>
            </w:r>
          </w:p>
        </w:tc>
        <w:tc>
          <w:tcPr>
            <w:tcW w:w="284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Seizure detection watch</w:t>
            </w:r>
          </w:p>
        </w:tc>
        <w:tc>
          <w:tcPr>
            <w:tcW w:w="220" w:type="dxa"/>
            <w:vAlign w:val="bottom"/>
            <w:shd w:val="clear" w:color="auto" w:fill="D5EAEA"/>
          </w:tcPr>
          <w:p>
            <w:pPr>
              <w:spacing w:after="0"/>
              <w:rPr>
                <w:sz w:val="22"/>
                <w:szCs w:val="22"/>
                <w:color w:val="auto"/>
              </w:rPr>
            </w:pPr>
          </w:p>
        </w:tc>
        <w:tc>
          <w:tcPr>
            <w:tcW w:w="268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w w:val="98"/>
              </w:rPr>
              <w:t>Member of the Scientific Advisory</w:t>
            </w:r>
          </w:p>
        </w:tc>
      </w:tr>
      <w:tr>
        <w:trPr>
          <w:trHeight w:val="264"/>
        </w:trPr>
        <w:tc>
          <w:tcPr>
            <w:tcW w:w="40" w:type="dxa"/>
            <w:vAlign w:val="bottom"/>
            <w:tcBorders>
              <w:bottom w:val="single" w:sz="8" w:color="D5EAEA"/>
            </w:tcBorders>
            <w:shd w:val="clear" w:color="auto" w:fill="D5EAEA"/>
          </w:tcPr>
          <w:p>
            <w:pPr>
              <w:spacing w:after="0"/>
              <w:rPr>
                <w:sz w:val="22"/>
                <w:szCs w:val="22"/>
                <w:color w:val="auto"/>
              </w:rPr>
            </w:pPr>
          </w:p>
        </w:tc>
        <w:tc>
          <w:tcPr>
            <w:tcW w:w="2440" w:type="dxa"/>
            <w:vAlign w:val="bottom"/>
            <w:tcBorders>
              <w:bottom w:val="single" w:sz="8" w:color="D5EAEA"/>
            </w:tcBorders>
            <w:shd w:val="clear" w:color="auto" w:fill="D5EAEA"/>
          </w:tcPr>
          <w:p>
            <w:pPr>
              <w:spacing w:after="0"/>
              <w:rPr>
                <w:sz w:val="22"/>
                <w:szCs w:val="22"/>
                <w:color w:val="auto"/>
              </w:rPr>
            </w:pPr>
          </w:p>
        </w:tc>
        <w:tc>
          <w:tcPr>
            <w:tcW w:w="80" w:type="dxa"/>
            <w:vAlign w:val="bottom"/>
            <w:tcBorders>
              <w:bottom w:val="single" w:sz="8" w:color="D5EAEA"/>
            </w:tcBorders>
            <w:shd w:val="clear" w:color="auto" w:fill="D5EAEA"/>
          </w:tcPr>
          <w:p>
            <w:pPr>
              <w:spacing w:after="0"/>
              <w:rPr>
                <w:sz w:val="22"/>
                <w:szCs w:val="22"/>
                <w:color w:val="auto"/>
              </w:rPr>
            </w:pPr>
          </w:p>
        </w:tc>
        <w:tc>
          <w:tcPr>
            <w:tcW w:w="3120" w:type="dxa"/>
            <w:vAlign w:val="bottom"/>
            <w:tcBorders>
              <w:bottom w:val="single" w:sz="8" w:color="D5EAEA"/>
            </w:tcBorders>
            <w:shd w:val="clear" w:color="auto" w:fill="D5EAEA"/>
          </w:tcPr>
          <w:p>
            <w:pPr>
              <w:spacing w:after="0"/>
              <w:rPr>
                <w:sz w:val="22"/>
                <w:szCs w:val="22"/>
                <w:color w:val="auto"/>
              </w:rPr>
            </w:pPr>
          </w:p>
        </w:tc>
        <w:tc>
          <w:tcPr>
            <w:tcW w:w="80" w:type="dxa"/>
            <w:vAlign w:val="bottom"/>
            <w:tcBorders>
              <w:bottom w:val="single" w:sz="8" w:color="D5EAEA"/>
            </w:tcBorders>
            <w:shd w:val="clear" w:color="auto" w:fill="D5EAEA"/>
          </w:tcPr>
          <w:p>
            <w:pPr>
              <w:spacing w:after="0"/>
              <w:rPr>
                <w:sz w:val="22"/>
                <w:szCs w:val="22"/>
                <w:color w:val="auto"/>
              </w:rPr>
            </w:pPr>
          </w:p>
        </w:tc>
        <w:tc>
          <w:tcPr>
            <w:tcW w:w="2760" w:type="dxa"/>
            <w:vAlign w:val="bottom"/>
            <w:tcBorders>
              <w:bottom w:val="single" w:sz="8" w:color="D5EAEA"/>
            </w:tcBorders>
            <w:shd w:val="clear" w:color="auto" w:fill="D5EAEA"/>
          </w:tcPr>
          <w:p>
            <w:pPr>
              <w:spacing w:after="0"/>
              <w:rPr>
                <w:sz w:val="22"/>
                <w:szCs w:val="22"/>
                <w:color w:val="auto"/>
              </w:rPr>
            </w:pPr>
          </w:p>
        </w:tc>
        <w:tc>
          <w:tcPr>
            <w:tcW w:w="220" w:type="dxa"/>
            <w:vAlign w:val="bottom"/>
            <w:tcBorders>
              <w:bottom w:val="single" w:sz="8" w:color="D5EAEA"/>
            </w:tcBorders>
            <w:shd w:val="clear" w:color="auto" w:fill="D5EAEA"/>
          </w:tcPr>
          <w:p>
            <w:pPr>
              <w:spacing w:after="0"/>
              <w:rPr>
                <w:sz w:val="22"/>
                <w:szCs w:val="22"/>
                <w:color w:val="auto"/>
              </w:rPr>
            </w:pPr>
          </w:p>
        </w:tc>
        <w:tc>
          <w:tcPr>
            <w:tcW w:w="26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Board</w:t>
            </w:r>
          </w:p>
        </w:tc>
      </w:tr>
      <w:tr>
        <w:trPr>
          <w:trHeight w:val="256"/>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RETTCO</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Genetic therapy</w:t>
            </w:r>
          </w:p>
        </w:tc>
        <w:tc>
          <w:tcPr>
            <w:tcW w:w="220" w:type="dxa"/>
            <w:vAlign w:val="bottom"/>
          </w:tcPr>
          <w:p>
            <w:pPr>
              <w:spacing w:after="0"/>
              <w:rPr>
                <w:sz w:val="22"/>
                <w:szCs w:val="22"/>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w w:val="98"/>
              </w:rPr>
              <w:t>Member of the Scientific Advisory</w:t>
            </w: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Board</w:t>
            </w: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gridSpan w:val="2"/>
          </w:tcPr>
          <w:p>
            <w:pPr>
              <w:spacing w:after="0"/>
              <w:rPr>
                <w:sz w:val="4"/>
                <w:szCs w:val="4"/>
                <w:color w:val="auto"/>
              </w:rPr>
            </w:pPr>
          </w:p>
        </w:tc>
      </w:tr>
      <w:tr>
        <w:trPr>
          <w:trHeight w:val="256"/>
        </w:trPr>
        <w:tc>
          <w:tcPr>
            <w:tcW w:w="40" w:type="dxa"/>
            <w:vAlign w:val="bottom"/>
            <w:shd w:val="clear" w:color="auto" w:fill="D5EAEA"/>
          </w:tcPr>
          <w:p>
            <w:pPr>
              <w:spacing w:after="0"/>
              <w:rPr>
                <w:sz w:val="22"/>
                <w:szCs w:val="22"/>
                <w:color w:val="auto"/>
              </w:rPr>
            </w:pPr>
          </w:p>
        </w:tc>
        <w:tc>
          <w:tcPr>
            <w:tcW w:w="2440" w:type="dxa"/>
            <w:vAlign w:val="bottom"/>
            <w:shd w:val="clear" w:color="auto" w:fill="D5EAEA"/>
          </w:tcPr>
          <w:p>
            <w:pPr>
              <w:spacing w:after="0"/>
              <w:rPr>
                <w:sz w:val="22"/>
                <w:szCs w:val="22"/>
                <w:color w:val="auto"/>
              </w:rPr>
            </w:pPr>
          </w:p>
        </w:tc>
        <w:tc>
          <w:tcPr>
            <w:tcW w:w="80" w:type="dxa"/>
            <w:vAlign w:val="bottom"/>
            <w:shd w:val="clear" w:color="auto" w:fill="D5EAEA"/>
          </w:tcPr>
          <w:p>
            <w:pPr>
              <w:spacing w:after="0"/>
              <w:rPr>
                <w:sz w:val="22"/>
                <w:szCs w:val="22"/>
                <w:color w:val="auto"/>
              </w:rPr>
            </w:pPr>
          </w:p>
        </w:tc>
        <w:tc>
          <w:tcPr>
            <w:tcW w:w="31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Qstate Biosciences</w:t>
            </w:r>
          </w:p>
        </w:tc>
        <w:tc>
          <w:tcPr>
            <w:tcW w:w="284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Genetic therapy</w:t>
            </w:r>
          </w:p>
        </w:tc>
        <w:tc>
          <w:tcPr>
            <w:tcW w:w="220" w:type="dxa"/>
            <w:vAlign w:val="bottom"/>
            <w:shd w:val="clear" w:color="auto" w:fill="D5EAEA"/>
          </w:tcPr>
          <w:p>
            <w:pPr>
              <w:spacing w:after="0"/>
              <w:rPr>
                <w:sz w:val="22"/>
                <w:szCs w:val="22"/>
                <w:color w:val="auto"/>
              </w:rPr>
            </w:pPr>
          </w:p>
        </w:tc>
        <w:tc>
          <w:tcPr>
            <w:tcW w:w="268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w w:val="98"/>
              </w:rPr>
              <w:t>Member of the Scientific Advisory</w:t>
            </w:r>
          </w:p>
        </w:tc>
      </w:tr>
      <w:tr>
        <w:trPr>
          <w:trHeight w:val="264"/>
        </w:trPr>
        <w:tc>
          <w:tcPr>
            <w:tcW w:w="40" w:type="dxa"/>
            <w:vAlign w:val="bottom"/>
            <w:tcBorders>
              <w:bottom w:val="single" w:sz="8" w:color="D5EAEA"/>
            </w:tcBorders>
            <w:shd w:val="clear" w:color="auto" w:fill="D5EAEA"/>
          </w:tcPr>
          <w:p>
            <w:pPr>
              <w:spacing w:after="0"/>
              <w:rPr>
                <w:sz w:val="22"/>
                <w:szCs w:val="22"/>
                <w:color w:val="auto"/>
              </w:rPr>
            </w:pPr>
          </w:p>
        </w:tc>
        <w:tc>
          <w:tcPr>
            <w:tcW w:w="2440" w:type="dxa"/>
            <w:vAlign w:val="bottom"/>
            <w:tcBorders>
              <w:bottom w:val="single" w:sz="8" w:color="D5EAEA"/>
            </w:tcBorders>
            <w:shd w:val="clear" w:color="auto" w:fill="D5EAEA"/>
          </w:tcPr>
          <w:p>
            <w:pPr>
              <w:spacing w:after="0"/>
              <w:rPr>
                <w:sz w:val="22"/>
                <w:szCs w:val="22"/>
                <w:color w:val="auto"/>
              </w:rPr>
            </w:pPr>
          </w:p>
        </w:tc>
        <w:tc>
          <w:tcPr>
            <w:tcW w:w="80" w:type="dxa"/>
            <w:vAlign w:val="bottom"/>
            <w:tcBorders>
              <w:bottom w:val="single" w:sz="8" w:color="D5EAEA"/>
            </w:tcBorders>
            <w:shd w:val="clear" w:color="auto" w:fill="D5EAEA"/>
          </w:tcPr>
          <w:p>
            <w:pPr>
              <w:spacing w:after="0"/>
              <w:rPr>
                <w:sz w:val="22"/>
                <w:szCs w:val="22"/>
                <w:color w:val="auto"/>
              </w:rPr>
            </w:pPr>
          </w:p>
        </w:tc>
        <w:tc>
          <w:tcPr>
            <w:tcW w:w="3120" w:type="dxa"/>
            <w:vAlign w:val="bottom"/>
            <w:tcBorders>
              <w:bottom w:val="single" w:sz="8" w:color="D5EAEA"/>
            </w:tcBorders>
            <w:shd w:val="clear" w:color="auto" w:fill="D5EAEA"/>
          </w:tcPr>
          <w:p>
            <w:pPr>
              <w:spacing w:after="0"/>
              <w:rPr>
                <w:sz w:val="22"/>
                <w:szCs w:val="22"/>
                <w:color w:val="auto"/>
              </w:rPr>
            </w:pPr>
          </w:p>
        </w:tc>
        <w:tc>
          <w:tcPr>
            <w:tcW w:w="80" w:type="dxa"/>
            <w:vAlign w:val="bottom"/>
            <w:tcBorders>
              <w:bottom w:val="single" w:sz="8" w:color="D5EAEA"/>
            </w:tcBorders>
            <w:shd w:val="clear" w:color="auto" w:fill="D5EAEA"/>
          </w:tcPr>
          <w:p>
            <w:pPr>
              <w:spacing w:after="0"/>
              <w:rPr>
                <w:sz w:val="22"/>
                <w:szCs w:val="22"/>
                <w:color w:val="auto"/>
              </w:rPr>
            </w:pPr>
          </w:p>
        </w:tc>
        <w:tc>
          <w:tcPr>
            <w:tcW w:w="2760" w:type="dxa"/>
            <w:vAlign w:val="bottom"/>
            <w:tcBorders>
              <w:bottom w:val="single" w:sz="8" w:color="D5EAEA"/>
            </w:tcBorders>
            <w:shd w:val="clear" w:color="auto" w:fill="D5EAEA"/>
          </w:tcPr>
          <w:p>
            <w:pPr>
              <w:spacing w:after="0"/>
              <w:rPr>
                <w:sz w:val="22"/>
                <w:szCs w:val="22"/>
                <w:color w:val="auto"/>
              </w:rPr>
            </w:pPr>
          </w:p>
        </w:tc>
        <w:tc>
          <w:tcPr>
            <w:tcW w:w="220" w:type="dxa"/>
            <w:vAlign w:val="bottom"/>
            <w:tcBorders>
              <w:bottom w:val="single" w:sz="8" w:color="D5EAEA"/>
            </w:tcBorders>
            <w:shd w:val="clear" w:color="auto" w:fill="D5EAEA"/>
          </w:tcPr>
          <w:p>
            <w:pPr>
              <w:spacing w:after="0"/>
              <w:rPr>
                <w:sz w:val="22"/>
                <w:szCs w:val="22"/>
                <w:color w:val="auto"/>
              </w:rPr>
            </w:pPr>
          </w:p>
        </w:tc>
        <w:tc>
          <w:tcPr>
            <w:tcW w:w="26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Board</w:t>
            </w:r>
          </w:p>
        </w:tc>
      </w:tr>
      <w:tr>
        <w:trPr>
          <w:trHeight w:val="256"/>
        </w:trPr>
        <w:tc>
          <w:tcPr>
            <w:tcW w:w="40" w:type="dxa"/>
            <w:vAlign w:val="bottom"/>
          </w:tcPr>
          <w:p>
            <w:pPr>
              <w:spacing w:after="0"/>
              <w:rPr>
                <w:sz w:val="22"/>
                <w:szCs w:val="22"/>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Richard Goldman</w:t>
            </w:r>
          </w:p>
        </w:tc>
        <w:tc>
          <w:tcPr>
            <w:tcW w:w="80" w:type="dxa"/>
            <w:vAlign w:val="bottom"/>
          </w:tcPr>
          <w:p>
            <w:pPr>
              <w:spacing w:after="0"/>
              <w:rPr>
                <w:sz w:val="22"/>
                <w:szCs w:val="22"/>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Becket Capital, LLC</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w w:val="94"/>
              </w:rPr>
              <w:t>Advisory services firm for investment</w:t>
            </w:r>
          </w:p>
        </w:tc>
        <w:tc>
          <w:tcPr>
            <w:tcW w:w="220" w:type="dxa"/>
            <w:vAlign w:val="bottom"/>
          </w:tcPr>
          <w:p>
            <w:pPr>
              <w:spacing w:after="0"/>
              <w:rPr>
                <w:sz w:val="22"/>
                <w:szCs w:val="22"/>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Managing Member</w:t>
            </w: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management companies</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gridSpan w:val="2"/>
          </w:tcPr>
          <w:p>
            <w:pPr>
              <w:spacing w:after="0"/>
              <w:rPr>
                <w:sz w:val="4"/>
                <w:szCs w:val="4"/>
                <w:color w:val="auto"/>
              </w:rPr>
            </w:pPr>
          </w:p>
        </w:tc>
      </w:tr>
      <w:tr>
        <w:trPr>
          <w:trHeight w:val="304"/>
        </w:trPr>
        <w:tc>
          <w:tcPr>
            <w:tcW w:w="40" w:type="dxa"/>
            <w:vAlign w:val="bottom"/>
            <w:tcBorders>
              <w:bottom w:val="single" w:sz="8" w:color="D5EAEA"/>
            </w:tcBorders>
            <w:shd w:val="clear" w:color="auto" w:fill="D5EAEA"/>
          </w:tcPr>
          <w:p>
            <w:pPr>
              <w:spacing w:after="0"/>
              <w:rPr>
                <w:sz w:val="24"/>
                <w:szCs w:val="24"/>
                <w:color w:val="auto"/>
              </w:rPr>
            </w:pPr>
          </w:p>
        </w:tc>
        <w:tc>
          <w:tcPr>
            <w:tcW w:w="2440" w:type="dxa"/>
            <w:vAlign w:val="bottom"/>
            <w:tcBorders>
              <w:bottom w:val="single" w:sz="8" w:color="D5EAEA"/>
            </w:tcBorders>
            <w:shd w:val="clear" w:color="auto" w:fill="D5EAEA"/>
          </w:tcPr>
          <w:p>
            <w:pPr>
              <w:spacing w:after="0"/>
              <w:rPr>
                <w:sz w:val="24"/>
                <w:szCs w:val="24"/>
                <w:color w:val="auto"/>
              </w:rPr>
            </w:pPr>
          </w:p>
        </w:tc>
        <w:tc>
          <w:tcPr>
            <w:tcW w:w="80" w:type="dxa"/>
            <w:vAlign w:val="bottom"/>
            <w:tcBorders>
              <w:bottom w:val="single" w:sz="8" w:color="D5EAEA"/>
            </w:tcBorders>
            <w:shd w:val="clear" w:color="auto" w:fill="D5EAEA"/>
          </w:tcPr>
          <w:p>
            <w:pPr>
              <w:spacing w:after="0"/>
              <w:rPr>
                <w:sz w:val="24"/>
                <w:szCs w:val="24"/>
                <w:color w:val="auto"/>
              </w:rPr>
            </w:pPr>
          </w:p>
        </w:tc>
        <w:tc>
          <w:tcPr>
            <w:tcW w:w="3120" w:type="dxa"/>
            <w:vAlign w:val="bottom"/>
            <w:tcBorders>
              <w:bottom w:val="single" w:sz="8" w:color="D5EAEA"/>
            </w:tcBorders>
            <w:shd w:val="clear" w:color="auto" w:fill="D5EAEA"/>
          </w:tcPr>
          <w:p>
            <w:pPr>
              <w:ind w:left="180"/>
              <w:spacing w:after="0"/>
              <w:rPr>
                <w:sz w:val="20"/>
                <w:szCs w:val="20"/>
                <w:color w:val="auto"/>
              </w:rPr>
            </w:pPr>
            <w:r>
              <w:rPr>
                <w:rFonts w:ascii="Arial" w:cs="Arial" w:eastAsia="Arial" w:hAnsi="Arial"/>
                <w:sz w:val="18"/>
                <w:szCs w:val="18"/>
                <w:color w:val="auto"/>
              </w:rPr>
              <w:t>O’Shares Investments ETF Trust</w:t>
            </w:r>
          </w:p>
        </w:tc>
        <w:tc>
          <w:tcPr>
            <w:tcW w:w="284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Exchange-traded investment fund</w:t>
            </w:r>
          </w:p>
        </w:tc>
        <w:tc>
          <w:tcPr>
            <w:tcW w:w="220" w:type="dxa"/>
            <w:vAlign w:val="bottom"/>
            <w:tcBorders>
              <w:bottom w:val="single" w:sz="8" w:color="D5EAEA"/>
            </w:tcBorders>
            <w:shd w:val="clear" w:color="auto" w:fill="D5EAEA"/>
          </w:tcPr>
          <w:p>
            <w:pPr>
              <w:spacing w:after="0"/>
              <w:rPr>
                <w:sz w:val="24"/>
                <w:szCs w:val="24"/>
                <w:color w:val="auto"/>
              </w:rPr>
            </w:pPr>
          </w:p>
        </w:tc>
        <w:tc>
          <w:tcPr>
            <w:tcW w:w="26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Independent Director</w:t>
            </w:r>
          </w:p>
        </w:tc>
      </w:tr>
      <w:tr>
        <w:trPr>
          <w:trHeight w:val="256"/>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Harvest Volatility Edge Trust</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Mutual fund investment trust</w:t>
            </w:r>
          </w:p>
        </w:tc>
        <w:tc>
          <w:tcPr>
            <w:tcW w:w="220" w:type="dxa"/>
            <w:vAlign w:val="bottom"/>
          </w:tcPr>
          <w:p>
            <w:pPr>
              <w:spacing w:after="0"/>
              <w:rPr>
                <w:sz w:val="22"/>
                <w:szCs w:val="22"/>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Independent Chairman of the</w:t>
            </w: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Board</w:t>
            </w: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gridSpan w:val="2"/>
          </w:tcPr>
          <w:p>
            <w:pPr>
              <w:spacing w:after="0"/>
              <w:rPr>
                <w:sz w:val="4"/>
                <w:szCs w:val="4"/>
                <w:color w:val="auto"/>
              </w:rPr>
            </w:pPr>
          </w:p>
        </w:tc>
      </w:tr>
      <w:tr>
        <w:trPr>
          <w:trHeight w:val="304"/>
        </w:trPr>
        <w:tc>
          <w:tcPr>
            <w:tcW w:w="40" w:type="dxa"/>
            <w:vAlign w:val="bottom"/>
            <w:tcBorders>
              <w:bottom w:val="single" w:sz="8" w:color="D5EAEA"/>
            </w:tcBorders>
            <w:shd w:val="clear" w:color="auto" w:fill="D5EAEA"/>
          </w:tcPr>
          <w:p>
            <w:pPr>
              <w:spacing w:after="0"/>
              <w:rPr>
                <w:sz w:val="24"/>
                <w:szCs w:val="24"/>
                <w:color w:val="auto"/>
              </w:rPr>
            </w:pPr>
          </w:p>
        </w:tc>
        <w:tc>
          <w:tcPr>
            <w:tcW w:w="2440" w:type="dxa"/>
            <w:vAlign w:val="bottom"/>
            <w:tcBorders>
              <w:bottom w:val="single" w:sz="8" w:color="D5EAEA"/>
            </w:tcBorders>
            <w:shd w:val="clear" w:color="auto" w:fill="D5EAEA"/>
          </w:tcPr>
          <w:p>
            <w:pPr>
              <w:spacing w:after="0"/>
              <w:rPr>
                <w:sz w:val="24"/>
                <w:szCs w:val="24"/>
                <w:color w:val="auto"/>
              </w:rPr>
            </w:pPr>
          </w:p>
        </w:tc>
        <w:tc>
          <w:tcPr>
            <w:tcW w:w="80" w:type="dxa"/>
            <w:vAlign w:val="bottom"/>
            <w:tcBorders>
              <w:bottom w:val="single" w:sz="8" w:color="D5EAEA"/>
            </w:tcBorders>
            <w:shd w:val="clear" w:color="auto" w:fill="D5EAEA"/>
          </w:tcPr>
          <w:p>
            <w:pPr>
              <w:spacing w:after="0"/>
              <w:rPr>
                <w:sz w:val="24"/>
                <w:szCs w:val="24"/>
                <w:color w:val="auto"/>
              </w:rPr>
            </w:pPr>
          </w:p>
        </w:tc>
        <w:tc>
          <w:tcPr>
            <w:tcW w:w="3120" w:type="dxa"/>
            <w:vAlign w:val="bottom"/>
            <w:tcBorders>
              <w:bottom w:val="single" w:sz="8" w:color="D5EAEA"/>
            </w:tcBorders>
            <w:shd w:val="clear" w:color="auto" w:fill="D5EAEA"/>
          </w:tcPr>
          <w:p>
            <w:pPr>
              <w:ind w:left="180"/>
              <w:spacing w:after="0"/>
              <w:rPr>
                <w:sz w:val="20"/>
                <w:szCs w:val="20"/>
                <w:color w:val="auto"/>
              </w:rPr>
            </w:pPr>
            <w:r>
              <w:rPr>
                <w:rFonts w:ascii="Arial" w:cs="Arial" w:eastAsia="Arial" w:hAnsi="Arial"/>
                <w:sz w:val="18"/>
                <w:szCs w:val="18"/>
                <w:color w:val="auto"/>
              </w:rPr>
              <w:t>Trinitas Capital Management</w:t>
            </w:r>
          </w:p>
        </w:tc>
        <w:tc>
          <w:tcPr>
            <w:tcW w:w="284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Investment management firm</w:t>
            </w:r>
          </w:p>
        </w:tc>
        <w:tc>
          <w:tcPr>
            <w:tcW w:w="220" w:type="dxa"/>
            <w:vAlign w:val="bottom"/>
            <w:tcBorders>
              <w:bottom w:val="single" w:sz="8" w:color="D5EAEA"/>
            </w:tcBorders>
            <w:shd w:val="clear" w:color="auto" w:fill="D5EAEA"/>
          </w:tcPr>
          <w:p>
            <w:pPr>
              <w:spacing w:after="0"/>
              <w:rPr>
                <w:sz w:val="24"/>
                <w:szCs w:val="24"/>
                <w:color w:val="auto"/>
              </w:rPr>
            </w:pPr>
          </w:p>
        </w:tc>
        <w:tc>
          <w:tcPr>
            <w:tcW w:w="26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Member of Board of Directors</w:t>
            </w:r>
          </w:p>
        </w:tc>
      </w:tr>
      <w:tr>
        <w:trPr>
          <w:trHeight w:val="256"/>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Axonic Alternative Income Interval</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Mutual fund</w:t>
            </w:r>
          </w:p>
        </w:tc>
        <w:tc>
          <w:tcPr>
            <w:tcW w:w="220" w:type="dxa"/>
            <w:vAlign w:val="bottom"/>
          </w:tcPr>
          <w:p>
            <w:pPr>
              <w:spacing w:after="0"/>
              <w:rPr>
                <w:sz w:val="22"/>
                <w:szCs w:val="22"/>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Lead Independent Director</w:t>
            </w:r>
          </w:p>
        </w:tc>
      </w:tr>
      <w:tr>
        <w:trPr>
          <w:trHeight w:val="230"/>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Fund</w:t>
            </w: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
        </w:trPr>
        <w:tc>
          <w:tcPr>
            <w:tcW w:w="24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gridSpan w:val="2"/>
          </w:tcPr>
          <w:p>
            <w:pPr>
              <w:spacing w:after="0"/>
              <w:rPr>
                <w:sz w:val="4"/>
                <w:szCs w:val="4"/>
                <w:color w:val="auto"/>
              </w:rPr>
            </w:pPr>
          </w:p>
        </w:tc>
      </w:tr>
      <w:tr>
        <w:trPr>
          <w:trHeight w:val="304"/>
        </w:trPr>
        <w:tc>
          <w:tcPr>
            <w:tcW w:w="24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Kenneth H. Landis</w:t>
            </w:r>
          </w:p>
        </w:tc>
        <w:tc>
          <w:tcPr>
            <w:tcW w:w="80" w:type="dxa"/>
            <w:vAlign w:val="bottom"/>
            <w:tcBorders>
              <w:bottom w:val="single" w:sz="8" w:color="D5EAEA"/>
            </w:tcBorders>
            <w:shd w:val="clear" w:color="auto" w:fill="D5EAEA"/>
          </w:tcPr>
          <w:p>
            <w:pPr>
              <w:spacing w:after="0"/>
              <w:rPr>
                <w:sz w:val="24"/>
                <w:szCs w:val="24"/>
                <w:color w:val="auto"/>
              </w:rPr>
            </w:pPr>
          </w:p>
        </w:tc>
        <w:tc>
          <w:tcPr>
            <w:tcW w:w="3120" w:type="dxa"/>
            <w:vAlign w:val="bottom"/>
            <w:tcBorders>
              <w:bottom w:val="single" w:sz="8" w:color="D5EAEA"/>
            </w:tcBorders>
            <w:shd w:val="clear" w:color="auto" w:fill="D5EAEA"/>
          </w:tcPr>
          <w:p>
            <w:pPr>
              <w:ind w:left="180"/>
              <w:spacing w:after="0"/>
              <w:rPr>
                <w:sz w:val="20"/>
                <w:szCs w:val="20"/>
                <w:color w:val="auto"/>
              </w:rPr>
            </w:pPr>
            <w:r>
              <w:rPr>
                <w:rFonts w:ascii="Arial" w:cs="Arial" w:eastAsia="Arial" w:hAnsi="Arial"/>
                <w:sz w:val="18"/>
                <w:szCs w:val="18"/>
                <w:color w:val="auto"/>
              </w:rPr>
              <w:t>Landis Capital, LLC</w:t>
            </w:r>
          </w:p>
        </w:tc>
        <w:tc>
          <w:tcPr>
            <w:tcW w:w="284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Venture capital</w:t>
            </w:r>
          </w:p>
        </w:tc>
        <w:tc>
          <w:tcPr>
            <w:tcW w:w="220" w:type="dxa"/>
            <w:vAlign w:val="bottom"/>
            <w:tcBorders>
              <w:bottom w:val="single" w:sz="8" w:color="D5EAEA"/>
            </w:tcBorders>
            <w:shd w:val="clear" w:color="auto" w:fill="D5EAEA"/>
          </w:tcPr>
          <w:p>
            <w:pPr>
              <w:spacing w:after="0"/>
              <w:rPr>
                <w:sz w:val="24"/>
                <w:szCs w:val="24"/>
                <w:color w:val="auto"/>
              </w:rPr>
            </w:pPr>
          </w:p>
        </w:tc>
        <w:tc>
          <w:tcPr>
            <w:tcW w:w="26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Suffield Academy</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Preparatory school</w:t>
            </w:r>
          </w:p>
        </w:tc>
        <w:tc>
          <w:tcPr>
            <w:tcW w:w="220" w:type="dxa"/>
            <w:vAlign w:val="bottom"/>
          </w:tcPr>
          <w:p>
            <w:pPr>
              <w:spacing w:after="0"/>
              <w:rPr>
                <w:sz w:val="23"/>
                <w:szCs w:val="23"/>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Trustee</w:t>
            </w: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gridSpan w:val="2"/>
          </w:tcPr>
          <w:p>
            <w:pPr>
              <w:spacing w:after="0"/>
              <w:rPr>
                <w:sz w:val="4"/>
                <w:szCs w:val="4"/>
                <w:color w:val="auto"/>
              </w:rPr>
            </w:pPr>
          </w:p>
        </w:tc>
      </w:tr>
      <w:tr>
        <w:trPr>
          <w:trHeight w:val="304"/>
        </w:trPr>
        <w:tc>
          <w:tcPr>
            <w:tcW w:w="40" w:type="dxa"/>
            <w:vAlign w:val="bottom"/>
            <w:tcBorders>
              <w:bottom w:val="single" w:sz="8" w:color="D5EAEA"/>
            </w:tcBorders>
            <w:shd w:val="clear" w:color="auto" w:fill="D5EAEA"/>
          </w:tcPr>
          <w:p>
            <w:pPr>
              <w:spacing w:after="0"/>
              <w:rPr>
                <w:sz w:val="24"/>
                <w:szCs w:val="24"/>
                <w:color w:val="auto"/>
              </w:rPr>
            </w:pPr>
          </w:p>
        </w:tc>
        <w:tc>
          <w:tcPr>
            <w:tcW w:w="2440" w:type="dxa"/>
            <w:vAlign w:val="bottom"/>
            <w:tcBorders>
              <w:bottom w:val="single" w:sz="8" w:color="D5EAEA"/>
            </w:tcBorders>
            <w:shd w:val="clear" w:color="auto" w:fill="D5EAEA"/>
          </w:tcPr>
          <w:p>
            <w:pPr>
              <w:spacing w:after="0"/>
              <w:rPr>
                <w:sz w:val="24"/>
                <w:szCs w:val="24"/>
                <w:color w:val="auto"/>
              </w:rPr>
            </w:pPr>
          </w:p>
        </w:tc>
        <w:tc>
          <w:tcPr>
            <w:tcW w:w="80" w:type="dxa"/>
            <w:vAlign w:val="bottom"/>
            <w:tcBorders>
              <w:bottom w:val="single" w:sz="8" w:color="D5EAEA"/>
            </w:tcBorders>
            <w:shd w:val="clear" w:color="auto" w:fill="D5EAEA"/>
          </w:tcPr>
          <w:p>
            <w:pPr>
              <w:spacing w:after="0"/>
              <w:rPr>
                <w:sz w:val="24"/>
                <w:szCs w:val="24"/>
                <w:color w:val="auto"/>
              </w:rPr>
            </w:pPr>
          </w:p>
        </w:tc>
        <w:tc>
          <w:tcPr>
            <w:tcW w:w="3120" w:type="dxa"/>
            <w:vAlign w:val="bottom"/>
            <w:tcBorders>
              <w:bottom w:val="single" w:sz="8" w:color="D5EAEA"/>
            </w:tcBorders>
            <w:shd w:val="clear" w:color="auto" w:fill="D5EAEA"/>
          </w:tcPr>
          <w:p>
            <w:pPr>
              <w:ind w:left="180"/>
              <w:spacing w:after="0"/>
              <w:rPr>
                <w:sz w:val="20"/>
                <w:szCs w:val="20"/>
                <w:color w:val="auto"/>
              </w:rPr>
            </w:pPr>
            <w:r>
              <w:rPr>
                <w:rFonts w:ascii="Arial" w:cs="Arial" w:eastAsia="Arial" w:hAnsi="Arial"/>
                <w:sz w:val="18"/>
                <w:szCs w:val="18"/>
                <w:color w:val="auto"/>
              </w:rPr>
              <w:t>TULA Life, INC</w:t>
            </w:r>
          </w:p>
        </w:tc>
        <w:tc>
          <w:tcPr>
            <w:tcW w:w="284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Cosmetics</w:t>
            </w:r>
          </w:p>
        </w:tc>
        <w:tc>
          <w:tcPr>
            <w:tcW w:w="220" w:type="dxa"/>
            <w:vAlign w:val="bottom"/>
            <w:tcBorders>
              <w:bottom w:val="single" w:sz="8" w:color="D5EAEA"/>
            </w:tcBorders>
            <w:shd w:val="clear" w:color="auto" w:fill="D5EAEA"/>
          </w:tcPr>
          <w:p>
            <w:pPr>
              <w:spacing w:after="0"/>
              <w:rPr>
                <w:sz w:val="24"/>
                <w:szCs w:val="24"/>
                <w:color w:val="auto"/>
              </w:rPr>
            </w:pPr>
          </w:p>
        </w:tc>
        <w:tc>
          <w:tcPr>
            <w:tcW w:w="26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Member of Board of Directors</w:t>
            </w:r>
          </w:p>
        </w:tc>
      </w:tr>
      <w:tr>
        <w:trPr>
          <w:trHeight w:val="270"/>
        </w:trPr>
        <w:tc>
          <w:tcPr>
            <w:tcW w:w="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AllWork, Inc.</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Human resources technology</w:t>
            </w:r>
          </w:p>
        </w:tc>
        <w:tc>
          <w:tcPr>
            <w:tcW w:w="220" w:type="dxa"/>
            <w:vAlign w:val="bottom"/>
          </w:tcPr>
          <w:p>
            <w:pPr>
              <w:spacing w:after="0"/>
              <w:rPr>
                <w:sz w:val="23"/>
                <w:szCs w:val="23"/>
                <w:color w:val="auto"/>
              </w:rPr>
            </w:pPr>
          </w:p>
        </w:tc>
        <w:tc>
          <w:tcPr>
            <w:tcW w:w="2680" w:type="dxa"/>
            <w:vAlign w:val="bottom"/>
            <w:gridSpan w:val="2"/>
          </w:tcPr>
          <w:p>
            <w:pPr>
              <w:ind w:left="40"/>
              <w:spacing w:after="0"/>
              <w:rPr>
                <w:sz w:val="20"/>
                <w:szCs w:val="20"/>
                <w:color w:val="auto"/>
              </w:rPr>
            </w:pPr>
            <w:r>
              <w:rPr>
                <w:rFonts w:ascii="Arial" w:cs="Arial" w:eastAsia="Arial" w:hAnsi="Arial"/>
                <w:sz w:val="18"/>
                <w:szCs w:val="18"/>
                <w:color w:val="auto"/>
              </w:rPr>
              <w:t>Member of Board of Directors</w:t>
            </w:r>
          </w:p>
        </w:tc>
      </w:tr>
    </w:tbl>
    <w:p>
      <w:pPr>
        <w:spacing w:after="0" w:line="200" w:lineRule="exact"/>
        <w:rPr>
          <w:sz w:val="20"/>
          <w:szCs w:val="20"/>
          <w:color w:val="auto"/>
        </w:rPr>
      </w:pPr>
    </w:p>
    <w:p>
      <w:pPr>
        <w:sectPr>
          <w:pgSz w:w="11900" w:h="16838" w:orient="portrait"/>
          <w:cols w:equalWidth="0" w:num="1">
            <w:col w:w="11420"/>
          </w:cols>
          <w:pgMar w:left="240" w:top="229" w:right="239" w:bottom="972" w:gutter="0" w:footer="0" w:header="0"/>
        </w:sectPr>
      </w:pP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972"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Accordingly, if any of the above officers or directors become aware of a business combination opportunity which is suitable for any of the above entities to which he or she has then-current fiduciary or contractual obligations, he or she may need to honor his or her fiduciary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initial shareholders have agreed, pursuant to the terms of a letter agreement entered into with us, to vote their founder shares (and their permitted transferees will agree) and any public shares held by them in favor of our initial business combination. Our directors and officers have also entered into the letter agreement, imposing similar obligations on them with respect to public shares acquired by them, if 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w:t>
      </w:r>
    </w:p>
    <w:p>
      <w:pPr>
        <w:spacing w:after="0" w:line="1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15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14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our officers, directors and director nominees as a group.</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the date of this prospectus.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post-offering ownership percentage column below assumes that the underwriter does not exercise its over-allotment option, that our sponsor forfeits 937,500 founder shares and that there are 31,250,000 ordinary shares issued and outstanding after this offering.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3"/>
          </w:tcPr>
          <w:p>
            <w:pPr>
              <w:ind w:left="180"/>
              <w:spacing w:after="0"/>
              <w:rPr>
                <w:sz w:val="20"/>
                <w:szCs w:val="20"/>
                <w:color w:val="auto"/>
              </w:rPr>
            </w:pPr>
            <w:r>
              <w:rPr>
                <w:rFonts w:ascii="Arial" w:cs="Arial" w:eastAsia="Arial" w:hAnsi="Arial"/>
                <w:sz w:val="18"/>
                <w:szCs w:val="18"/>
                <w:b w:val="1"/>
                <w:bCs w:val="1"/>
                <w:color w:val="auto"/>
                <w:w w:val="94"/>
              </w:rPr>
              <w:t>Approximate Percentage of Issued and</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33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Outstanding Ordinary Shares</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Class A Shares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3"/>
          </w:tcPr>
          <w:p>
            <w:pPr>
              <w:ind w:left="1460"/>
              <w:spacing w:after="0"/>
              <w:rPr>
                <w:sz w:val="20"/>
                <w:szCs w:val="20"/>
                <w:color w:val="auto"/>
              </w:rPr>
            </w:pPr>
            <w:r>
              <w:rPr>
                <w:rFonts w:ascii="Arial" w:cs="Arial" w:eastAsia="Arial" w:hAnsi="Arial"/>
                <w:sz w:val="18"/>
                <w:szCs w:val="18"/>
                <w:b w:val="1"/>
                <w:bCs w:val="1"/>
                <w:color w:val="auto"/>
              </w:rPr>
              <w:t>Name and Address of Beneficial Owner(1)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Owned(2)</w:t>
            </w: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Before Offering</w:t>
            </w: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gridSpan w:val="2"/>
            <w:shd w:val="clear" w:color="auto" w:fill="D5EAEA"/>
          </w:tcPr>
          <w:p>
            <w:pPr>
              <w:spacing w:after="0"/>
              <w:rPr>
                <w:sz w:val="20"/>
                <w:szCs w:val="20"/>
                <w:color w:val="auto"/>
              </w:rPr>
            </w:pPr>
            <w:r>
              <w:rPr>
                <w:rFonts w:ascii="Arial" w:cs="Arial" w:eastAsia="Arial" w:hAnsi="Arial"/>
                <w:sz w:val="18"/>
                <w:szCs w:val="18"/>
                <w:color w:val="auto"/>
              </w:rPr>
              <w:t>Silver Spike Sponsor, LLC</w:t>
            </w:r>
          </w:p>
        </w:tc>
        <w:tc>
          <w:tcPr>
            <w:tcW w:w="120" w:type="dxa"/>
            <w:vAlign w:val="bottom"/>
            <w:tcBorders>
              <w:top w:val="single" w:sz="8" w:color="D5EAEA"/>
            </w:tcBorders>
            <w:shd w:val="clear" w:color="auto" w:fill="D5EAEA"/>
          </w:tcPr>
          <w:p>
            <w:pPr>
              <w:spacing w:after="0"/>
              <w:rPr>
                <w:sz w:val="18"/>
                <w:szCs w:val="18"/>
                <w:color w:val="auto"/>
              </w:rPr>
            </w:pPr>
          </w:p>
        </w:tc>
        <w:tc>
          <w:tcPr>
            <w:tcW w:w="16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7,187,500(3)</w:t>
            </w:r>
          </w:p>
        </w:tc>
        <w:tc>
          <w:tcPr>
            <w:tcW w:w="120" w:type="dxa"/>
            <w:vAlign w:val="bottom"/>
            <w:tcBorders>
              <w:top w:val="single" w:sz="8" w:color="D5EAEA"/>
            </w:tcBorders>
            <w:shd w:val="clear" w:color="auto" w:fill="D5EAEA"/>
          </w:tcPr>
          <w:p>
            <w:pPr>
              <w:spacing w:after="0"/>
              <w:rPr>
                <w:sz w:val="18"/>
                <w:szCs w:val="18"/>
                <w:color w:val="auto"/>
              </w:rPr>
            </w:pPr>
          </w:p>
        </w:tc>
        <w:tc>
          <w:tcPr>
            <w:tcW w:w="16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D5EAEA"/>
            </w:tcBorders>
            <w:shd w:val="clear" w:color="auto" w:fill="D5EAEA"/>
          </w:tcPr>
          <w:p>
            <w:pPr>
              <w:spacing w:after="0"/>
              <w:rPr>
                <w:sz w:val="18"/>
                <w:szCs w:val="18"/>
                <w:color w:val="auto"/>
              </w:rPr>
            </w:pPr>
          </w:p>
        </w:tc>
        <w:tc>
          <w:tcPr>
            <w:tcW w:w="16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Scott Gordon</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William Healy</w:t>
            </w: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Gregory Gentile</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Mohammed Grimeh</w:t>
            </w: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Orrin Devinsky</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Richard Goldman</w:t>
            </w: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Kenneth Landis</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All directors, director nominees and officers as a group (seven individuals)</w:t>
            </w: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00" w:type="dxa"/>
            <w:vAlign w:val="bottom"/>
            <w:tcBorders>
              <w:bottom w:val="single" w:sz="8" w:color="auto"/>
            </w:tcBorders>
          </w:tcPr>
          <w:p>
            <w:pPr>
              <w:spacing w:after="0"/>
              <w:rPr>
                <w:sz w:val="4"/>
                <w:szCs w:val="4"/>
                <w:color w:val="auto"/>
              </w:rPr>
            </w:pPr>
          </w:p>
        </w:tc>
        <w:tc>
          <w:tcPr>
            <w:tcW w:w="3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one percent.</w:t>
      </w:r>
    </w:p>
    <w:p>
      <w:pPr>
        <w:spacing w:after="0" w:line="225" w:lineRule="exact"/>
        <w:rPr>
          <w:sz w:val="20"/>
          <w:szCs w:val="20"/>
          <w:color w:val="auto"/>
        </w:rPr>
      </w:pPr>
    </w:p>
    <w:p>
      <w:pPr>
        <w:ind w:left="340" w:right="26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1114 6th Ave, 41st Floor, New York, New York, 10036, United States of America.</w:t>
      </w:r>
    </w:p>
    <w:p>
      <w:pPr>
        <w:spacing w:after="0" w:line="170" w:lineRule="exact"/>
        <w:rPr>
          <w:rFonts w:ascii="Arial" w:cs="Arial" w:eastAsia="Arial" w:hAnsi="Arial"/>
          <w:sz w:val="18"/>
          <w:szCs w:val="18"/>
          <w:color w:val="auto"/>
        </w:rPr>
      </w:pPr>
    </w:p>
    <w:p>
      <w:pPr>
        <w:ind w:left="340" w:right="240" w:hanging="332"/>
        <w:spacing w:after="0" w:line="26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on the first business day following our initial business combination on a one-for-one basis, subject to adjustment as described below adjacent to the caption “Description of Securities—Founder Shares.”</w:t>
      </w:r>
    </w:p>
    <w:p>
      <w:pPr>
        <w:spacing w:after="0" w:line="181" w:lineRule="exact"/>
        <w:rPr>
          <w:rFonts w:ascii="Arial" w:cs="Arial" w:eastAsia="Arial" w:hAnsi="Arial"/>
          <w:sz w:val="18"/>
          <w:szCs w:val="18"/>
          <w:color w:val="auto"/>
        </w:rPr>
      </w:pPr>
    </w:p>
    <w:p>
      <w:pPr>
        <w:ind w:left="340" w:right="40" w:hanging="332"/>
        <w:spacing w:after="0" w:line="276"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executive officers are the four managers of our sponsor's board of managers. Any action by our sponsor with respect to our company or the founders shares, including voting and dispositive decisions, requires a majority vote of the managers of the board of 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Immediately after this offering, our initial shareholders will beneficially own 20.0% of the then issued and outstanding ordinary shares (assuming our initial shareholders do not purchase any other units in this offering). Prior to our initial business combination, only holders of our founder shares will have the right to vote on the election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directors, and holders of a majority of our founder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sponsor has committed, pursuant to a written agreement, to purchase an aggregate of 7,000,000 (or 7,750,000 if the underwriter’s over-allotment option is exercised in full) private placement warrants at a price of $1.00 per warrant ($7,000,000 in the aggregate or $7,750,000 in the aggregate if the underwriter’s over-allotment option is exercised in full) in a private placement that will occur simultaneously with the closing of this offering. Each private placement warrant entitles the holder to purchase one Class A ordinary share at a price of $11.50 per share, subject to adjustment as provided herein. The purchase price of the private placement warrants will be added to the proceeds from this offering to be held in the trust account. If we do not complete our initial business combination within 24 months from the closing of this offering,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173"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Our sponsor and our officers and directors are deemed to be our “promoters” as such term is defined under the federal securities laws. See “Certain Relationships and Related Party Transactions” for additional information regarding our relationships with our promoters.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22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letter agreement with us to be entered into by our initial shareholders. Those lock-up provisions provide that such securities are not transferable or salable (1) in the case of the founder shares, until the earlier of (A) one year after the completion of our initial business combination or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June 2019, our sponsor purchased 7,187,500 founder shares for an aggregate purchase price of $25,000, or $0.004 per share (assuming the over-allotment option is not exercised and the forfeiture by our sponsor of 937,500 founder shares). In connection with closing of this offering, our sponsor intends to grant sponsor LLC equity interests to our independent director nominees that collectively comprise approximately 1% of the outstanding equity interests in our sponsor. Our initial shareholders will collectively own 20% of our issued and outstanding shares after this offering (assuming our initial shareholders do not purchase any other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sponsor has committed, pursuant to a written agreement, to purchase an aggregate of 7,000,000 (or 7,750,000 if the underwriter’s over-allotment option is exercised in full) private placement warrants for a purchase price of $1.00 per warrant in a private placement that will occur simultaneously with the closing of this offering.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more fully discussed in “Management—Conflicts of Interest,” 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will enter into an Administrative Services Agreement pursuant to which we will pay our sponsor up to $20,000 per month for office space, administrative and support services. Upon completion of our initial business combination or our liquidation, we will cease paying any of these monthly fees. Accordingly, in the event the consummation of our initial business combination takes the maximum 24 months, our sponsor will be paid an aggregate of up to $480,000 ($20,000) per month for office space, administrative and support services and will be entitled to be reimbursed for any out-of-pocket expenses.</w:t>
      </w:r>
    </w:p>
    <w:p>
      <w:pPr>
        <w:spacing w:after="0" w:line="15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warrants issued upon conversion of working capital loans (if any), which is described under the heading “Principal Shareholders—Registration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Prior to the consummation of this offering, we will adopt our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to our sponsor, officers or directors, or our or any of their affiliates.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or an independent accounting firm that our initial business combination is fair to our company from a financial point of view.</w:t>
      </w:r>
    </w:p>
    <w:p>
      <w:pPr>
        <w:spacing w:after="0" w:line="16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p>
    <w:p>
      <w:pPr>
        <w:spacing w:after="0" w:line="187" w:lineRule="exact"/>
        <w:rPr>
          <w:sz w:val="20"/>
          <w:szCs w:val="20"/>
          <w:color w:val="auto"/>
        </w:rPr>
      </w:pPr>
    </w:p>
    <w:p>
      <w:pPr>
        <w:ind w:left="660" w:right="1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Repayment of an aggregate of up to $250,000 in loans that may be made to us by our sponsor to cover offering-related and organizational expenses (as of June 30, 2019, we had borrowed $68,625 from our sponsor);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to our sponsor of up to $20,000 per month for office space, administrative and support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225"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above payments may be funded using the net proceeds of this offering and the sale of the private placement warrants not held in the trust account or, upon completion of the initial business combination, from any amounts remaining from the proceeds of the trust account released to us in connection therewith.</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We are a Cayman Islands exempted company (company number 352066) and our affairs will be governed by our amended and restated memorandum and articles of association, the Companies Law and common law of the Cayman Islands. Pursuant to our amended and restated memorandum and articles of association which will be adopted upon the consummation of this offering, we will be authorized to issue ordinary shares, including 200,000,000 Class A ordinary shares, $0.0001 par value each, and 20,000,000 Class B ordinary shares, par value $0.0001 per share, as well as 1,000,000 undesignated preferred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unit has an offering price of $10.00 and consists of one Class A ordinary share and one-half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which will include this audited balance sheet.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the date of this prospectus, there were 7,187,500 Class B ordinary shares issued and outstanding, all of which were held of record by our sponsor, so that our sponsor will own 20% of our issued and outstanding shares after this offering (assuming our initial shareholder does not purchase any units in this offering). Our sponsor will forfeit up to 937,500 Class B ordinary shares depending on the extent to which the underwriter’s over-allotment is not exercised. Upon the closing of this offering, 31,250,000 ordinary shares will be issued and outstanding (assuming no exercise of the underwriter’s over-allotment option and forfeiture of 937,500 Class B ordinary shares by our sponsor) including:</w:t>
      </w:r>
    </w:p>
    <w:p>
      <w:pPr>
        <w:spacing w:after="0" w:line="188"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25,000,000 Class A ordinary shares underlying the units being offered in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6,250,000 Class B ordinary shares held by our initial shareholders.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Class A ordinary shareholders and Class B ordinary shareholders of record are entitled to one vote for each share held on all matters to be voted on by shareholders, except as required by law; provided that, prior to our initial business combination, only holders of our Class B ordinary shares will have the right to vote on the election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Unless specified in the Companies Law, our amended and restated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amended and restated memorandum and articles of association; such actions include amending our amended and restated memorandum and articles of association and approving a statutory merger or consolidation with another company. Directors are elected for a term of two years. There is no cumulative voting with respect to the election of directors, with the result that the holders of more than 50% of the founder shares voted for the election of directors can elect all of the directors prior to our initial business combination. Our shareholders are entitled to receive ratable dividends when, as and if declared by the board of directors out of funds legally available therefor.</w:t>
      </w:r>
    </w:p>
    <w:p>
      <w:pPr>
        <w:spacing w:after="0" w:line="16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Because our amended and restated memorandum and articles of association will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 Additionally, each public shareholder may elect to redeem its public shares without voting and, if they do vote, irrespective of whether they vote for or against the proposed business combination.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 or we decide to obtain shareholder approval for business or other reasons, we will, like many blank check companies, offer to redeem shares in conjunction with a proxy</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any of their affiliates in privately-negotiated transactions (as described in this prospectus), if any, could result in the approval of our initial business combination even if a majority of our public shareholders vote, or indicate their intention to vote, against such business combination. For purposes of seeking approval of an ordinary resolution, non-votes will have no effect on the approval of our initial business combination once a quorum is obtained. We intend to give not less than 10 days nor more than 60 days prior written notice of any such meeting, if required, at which a vote shall be taken to approve our initial business combination. These quorum and voting thresholds, and the voting agreements of our initial shareholders, may make it more likely that we will consummate our initial business combination.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ordinary shares sold in this offering,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the business combination. As a result, such shareholders will continue to hold that number of shares exceeding 15% and, in order to dispose such shares would be required to sell their shares in open market transactions, potentially at a loss.</w:t>
      </w:r>
    </w:p>
    <w:p>
      <w:pPr>
        <w:spacing w:after="0" w:line="16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If we seek shareholder approval in connection with our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Pursuant to our amended and restated memorandum and articles of association, if we are unable to complete our initial business combination within 24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24 months from the closing of this offering. However, if our initial shareholders acquire public shares after this offering, they will be entitled to liquidating distributions from the trust account with respect to such public shares if we fail to complete our initial business combination within the prescribed time period.</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shareholders at such time will be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shareholders with the opportunity to</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founder shares are designated as Class B ordinary shares and are identical to the Class A ordinary shares included in the units being sold in this offering, and holders of founder shares have the same shareholder rights as public shareholders,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as described in more detail below;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as described below and (5) the founder shares are entitled to registration rights. In addition, our directors and officers have also entered into the letter agreement with respect to public shares acquired by them, if any.</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Up to 937,500 founder shares will be forfeited for no consideration by our sponsor depending on the exercise of the over-allotment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Cayman Islands law, we must keep a register of members and there shall be entered therein:</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right="28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names and addresses of the members and a statement of the shares held by each member and of the amount paid or agreed to be considered as paid on the shares of each member;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Upon the closing of this public offering, the register of members shall be immediately updated to reflect the issue of shares by us. Once our register of members has been updated,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amended and restated memorandum and articles of association will authorize 1,000,000 preferred shares and will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 No preferred shares are being issued or registered in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Shareholders’ Redeemable Warrants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will not be obligated to deliver any Class A ordinary shares pursuant to the exercise of a warrant and will have no obligation to settle such warrant exercise unless a registration statement under the Securities Act covering the issuance of the Class A ordinary shares issuable upon exercise of the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warrants, unless the issuance of the shares upon such exercise is registered or</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5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and have an effective registration statement covering the issuance, under the Securities Act,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thereto, until the expiration of the warrants in accordance with the provisions of the warrant agreement. Notwithstanding the above, if our Class A ordinary shares are,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redeem the warrants for redemption:</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ind w:left="660" w:right="480" w:hanging="328"/>
        <w:spacing w:after="0" w:line="286"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warrant holders.</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well as the $11.50 warrant exercise price after the redemption notice is issued.</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exercise price of the warrants by (y) the fair market value. The “fair market value” shall mean the average last reported sale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the number of issued and outstanding ordinary shares is increased by a capitalization or share dividend payable in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ordinary shares at a price less than the fair market value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ordinary share paid in such rights offering divided by (y) the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(i) to modify the substance or timing of our obligation to redeem 100% of our public shares if we do not complete our initial business combination within 24 months from the closing of this offering or (ii) with respect to any other provision relating to shareholders’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number of issued and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issued and outstanding Class A ordinary shares.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purchasable upon the exercise of the warrants immediately prior to such adjustment, and (y) the denominator of which will be the number of Class A ordinary shares so purchasable immediately thereafter.</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if (x) we issue additional Class A ordinary shares or equity-linked securities for capital raising purposes in connection with the closing of our initial business combination at a Newly Issued Price of less than $9.20 per Class A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3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issued and outstanding public warrants to make any change that adversely affects the interests of the registered holders of public warrants.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 fractional warrants will be issued upon separation of the units and only whole warrants will trade.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so long as they are held by our sponsor or its permitted transferees. Our sponsor, as well as its permitted transferees, have the option to exercise the private placement warrants on a cashless basis and will have certain registration rights related to such private placement warrants.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in Corporate Law</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Mergers and Similar Arrangements. </w:t>
      </w:r>
      <w:r>
        <w:rPr>
          <w:rFonts w:ascii="Arial" w:cs="Arial" w:eastAsia="Arial" w:hAnsi="Arial"/>
          <w:sz w:val="18"/>
          <w:szCs w:val="18"/>
          <w:color w:val="auto"/>
        </w:rPr>
        <w:t>In certain circumstances, the Companies Law allows for mergers or consolidations between two Cayman Islands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or between a Cayman Islands exempted company and a company incorporated in another jurisdiction (provided that is facilitated by the laws of that other jurisdiction).</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(at least a majority of 66 2/3%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and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and (3) that the foreign company will, upon the merger or consolidation becoming effective, cease to be incorporated, registered or exist under the laws of the relevant foreign jurisdiction.</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Companies Law provides for a right of dissenting shareholders to be paid a payment of the fair value of his or her shares upon their dissenting to the merger or consolidation in certain circumstances if they follow a prescribed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procedure. In essence, where such rights apply,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or in the context of a parent and subsidiary merger.</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spacing w:after="0" w:line="167" w:lineRule="exact"/>
        <w:rPr>
          <w:sz w:val="20"/>
          <w:szCs w:val="20"/>
          <w:color w:val="auto"/>
        </w:rPr>
      </w:pPr>
    </w:p>
    <w:p>
      <w:pPr>
        <w:ind w:left="660" w:right="64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we have complied with the statutory provisions as to majority vote;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arrangement is such as a business-person would reasonably approve; and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Squeeze-out Provisions</w:t>
      </w:r>
      <w:r>
        <w:rPr>
          <w:rFonts w:ascii="Arial" w:cs="Arial" w:eastAsia="Arial" w:hAnsi="Arial"/>
          <w:sz w:val="18"/>
          <w:szCs w:val="18"/>
          <w:color w:val="auto"/>
        </w:rPr>
        <w:t>. When a takeover offer is made and accepted by holders of 90% of the shares to whom the offer relates within four months, the offeror</w:t>
      </w:r>
      <w:r>
        <w:rPr>
          <w:rFonts w:ascii="Arial" w:cs="Arial" w:eastAsia="Arial" w:hAnsi="Arial"/>
          <w:sz w:val="18"/>
          <w:szCs w:val="18"/>
          <w:i w:val="1"/>
          <w:iCs w:val="1"/>
          <w:color w:val="auto"/>
        </w:rPr>
        <w:t xml:space="preserve"> </w:t>
      </w:r>
      <w:r>
        <w:rPr>
          <w:rFonts w:ascii="Arial" w:cs="Arial" w:eastAsia="Arial" w:hAnsi="Arial"/>
          <w:sz w:val="18"/>
          <w:szCs w:val="18"/>
          <w:color w:val="auto"/>
        </w:rPr>
        <w:t>may, within a two-month period, require the holders of the remaining</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12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Shareholders’ Suits</w:t>
      </w:r>
      <w:r>
        <w:rPr>
          <w:rFonts w:ascii="Arial" w:cs="Arial" w:eastAsia="Arial" w:hAnsi="Arial"/>
          <w:sz w:val="17"/>
          <w:szCs w:val="17"/>
          <w:color w:val="auto"/>
        </w:rPr>
        <w:t>. Our Cayman Islands counsel is not aware of any reported class action having been brought in a Cayman Islands court. Derivative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brought in the Cayman Islands courts, and the Cayman Islands courts have confirmed the availability of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spacing w:after="0" w:line="173"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that have actually been obtained;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shareholder may have a direct right of action against us where the individual rights of that shareholder have been infringed or are about to be infringed.</w:t>
      </w:r>
    </w:p>
    <w:p>
      <w:pPr>
        <w:spacing w:after="0" w:line="24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Enforcement of Civil Liabilitie</w:t>
      </w:r>
      <w:r>
        <w:rPr>
          <w:rFonts w:ascii="Arial" w:cs="Arial" w:eastAsia="Arial" w:hAnsi="Arial"/>
          <w:sz w:val="17"/>
          <w:szCs w:val="17"/>
          <w:color w:val="auto"/>
        </w:rPr>
        <w:t>s. The Cayman Islands has a different body of securities laws as compared to the United States and provides less protection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Additionally, Cayman Islands companies may not have standing to sue before the federal courts of the United States.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(meaning our public shareholders have no liability, as</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73" w:lineRule="exact"/>
        <w:rPr>
          <w:sz w:val="20"/>
          <w:szCs w:val="20"/>
          <w:color w:val="auto"/>
        </w:rPr>
      </w:pPr>
    </w:p>
    <w:p>
      <w:pPr>
        <w:ind w:left="660" w:right="30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amended and restated memorandum and articles of association will contain certain requirements and restrictions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initial shareholders, who collectively will beneficially own 20% of our ordinary shares upon the closing of this offering (assuming they do not purchase any units in this offering), may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187" w:lineRule="exact"/>
        <w:rPr>
          <w:sz w:val="20"/>
          <w:szCs w:val="20"/>
          <w:color w:val="auto"/>
        </w:rPr>
      </w:pPr>
    </w:p>
    <w:p>
      <w:pPr>
        <w:ind w:left="660" w:right="180" w:hanging="328"/>
        <w:spacing w:after="0" w:line="271"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78" w:lineRule="exact"/>
        <w:rPr>
          <w:rFonts w:ascii="Arial" w:cs="Arial" w:eastAsia="Arial" w:hAnsi="Arial"/>
          <w:sz w:val="17"/>
          <w:szCs w:val="17"/>
          <w:color w:val="auto"/>
        </w:rPr>
      </w:pPr>
    </w:p>
    <w:p>
      <w:pPr>
        <w:ind w:left="660" w:right="100" w:hanging="328"/>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18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we enter into a business combination with a target business that is affiliated with our sponsor, our directors or our officers (which we currently do not intend to do), we, or a committee of independent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disinterested directors, will obtain an opinion from an independent investment banking firm, or from an independent accounting firm, that such a business combination is fair to our company from a financial point of view;</w:t>
      </w:r>
    </w:p>
    <w:p>
      <w:pPr>
        <w:spacing w:after="0" w:line="170" w:lineRule="exact"/>
        <w:rPr>
          <w:sz w:val="20"/>
          <w:szCs w:val="20"/>
          <w:color w:val="auto"/>
        </w:rPr>
      </w:pPr>
    </w:p>
    <w:p>
      <w:pPr>
        <w:ind w:left="660" w:right="80" w:hanging="328"/>
        <w:spacing w:after="0" w:line="279"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171" w:lineRule="exact"/>
        <w:rPr>
          <w:rFonts w:ascii="Arial" w:cs="Arial" w:eastAsia="Arial" w:hAnsi="Arial"/>
          <w:sz w:val="17"/>
          <w:szCs w:val="17"/>
          <w:color w:val="auto"/>
        </w:rPr>
      </w:pPr>
    </w:p>
    <w:p>
      <w:pPr>
        <w:ind w:left="660" w:right="60" w:hanging="328"/>
        <w:spacing w:after="0" w:line="286"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event our units are listed on Nasdaq, our initial business combination must be with one or more operating businesses or assets with a fair market value equal to at least 80% of the assets held in the trust account (excluding the deferred underwriting commissions and taxes payable on the income earned on the trust account) at the time of the agreement to enter into the initial business combination;</w:t>
      </w:r>
    </w:p>
    <w:p>
      <w:pPr>
        <w:spacing w:after="0" w:line="165" w:lineRule="exact"/>
        <w:rPr>
          <w:rFonts w:ascii="Arial" w:cs="Arial" w:eastAsia="Arial" w:hAnsi="Arial"/>
          <w:sz w:val="17"/>
          <w:szCs w:val="17"/>
          <w:color w:val="auto"/>
        </w:rPr>
      </w:pPr>
    </w:p>
    <w:p>
      <w:pPr>
        <w:ind w:left="660" w:right="140" w:hanging="328"/>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(x) in the event we enter into a business combination with a target business in the cannabis industry, we must determine that such target business is compliant with all applicable laws and regulations within the jurisdictions in which they are located or operate, and (y) we will not invest in, or consummate a business combination with, a target business that we determine has been operating, or whose business plan is to operate, in violation of U.S. federal laws, including the U.S. Controlled Substances Act;</w:t>
      </w:r>
    </w:p>
    <w:p>
      <w:pPr>
        <w:spacing w:after="0" w:line="186" w:lineRule="exact"/>
        <w:rPr>
          <w:rFonts w:ascii="Arial" w:cs="Arial" w:eastAsia="Arial" w:hAnsi="Arial"/>
          <w:sz w:val="18"/>
          <w:szCs w:val="18"/>
          <w:color w:val="auto"/>
        </w:rPr>
      </w:pPr>
    </w:p>
    <w:p>
      <w:pPr>
        <w:ind w:left="660" w:right="80" w:hanging="328"/>
        <w:spacing w:after="0" w:line="273"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our shareholders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and</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our amended and restated memorandum and articles of association will provide that under no circumstances will we redeem our public shares in an amount that would cause our net tangible assets, after payment of the deferred underwriting commissions, to be less than $5,000,001 upon completion of our initial business combination.</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Companies Law permits a company incorporated in the Cayman Islands to amend its memorandum and articles of association with the approval of the holders of at least two-thirds of such company’s issued and outstanding ordinary shares. A company’s articles of association may specify that the approval of a higher majority is required.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Laundering—Cayman Islands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the identity of their beneficial owners/controllers and source of funds. Where permitted, and subject to certain conditions, we may also delegate the maintenance of our anti-money laundering procedures (including the acquisition of due diligence information) to a suitable person.</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reserve the right to request such information as is necessary to verify the identity of a subscriber. In some cases, the directors may be satisfied that no further information is required since an exemption applies under the Anti-</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Money Laundering Regulations (2018 Revision) of the Cayman Islands, as amended and revised from time to time (the “Regulations”). Depending on the circumstances of each application, a detailed verification of identity might not be required where:</w:t>
      </w:r>
    </w:p>
    <w:p>
      <w:pPr>
        <w:spacing w:after="0" w:line="170"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subscriber makes the payment for their investment from an account held in the subscriber’s name at a recognized financial institution;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subscriber is regulated by a recognized regulatory authority and is based or incorporated in, or formed under the law of, a recognized jurisdiction; or</w:t>
      </w:r>
    </w:p>
    <w:p>
      <w:pPr>
        <w:spacing w:after="0" w:line="248" w:lineRule="exact"/>
        <w:rPr>
          <w:rFonts w:ascii="Arial" w:cs="Arial" w:eastAsia="Arial" w:hAnsi="Arial"/>
          <w:sz w:val="16"/>
          <w:szCs w:val="16"/>
          <w:color w:val="auto"/>
        </w:rPr>
      </w:pPr>
    </w:p>
    <w:p>
      <w:pPr>
        <w:ind w:left="340" w:right="360" w:hanging="332"/>
        <w:spacing w:after="0" w:line="342"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2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8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47" w:lineRule="exact"/>
        <w:rPr>
          <w:sz w:val="20"/>
          <w:szCs w:val="20"/>
          <w:color w:val="auto"/>
        </w:rPr>
      </w:pPr>
    </w:p>
    <w:p>
      <w:pPr>
        <w:jc w:val="both"/>
        <w:ind w:right="820"/>
        <w:spacing w:after="0" w:line="286" w:lineRule="auto"/>
        <w:rPr>
          <w:sz w:val="20"/>
          <w:szCs w:val="20"/>
          <w:color w:val="auto"/>
        </w:rPr>
      </w:pPr>
      <w:r>
        <w:rPr>
          <w:rFonts w:ascii="Arial" w:cs="Arial" w:eastAsia="Arial" w:hAnsi="Arial"/>
          <w:sz w:val="17"/>
          <w:szCs w:val="17"/>
          <w:color w:val="auto"/>
        </w:rPr>
        <w:t>We also reserve the right to refuse to make any payment to a shareholder if our directors or officers suspect or are advised that the payment to such shareholder may be non-compliant with applicable anti-money laundering or other laws or regulations, or if such refusal is considered necessary or appropriate to ensure our compliance with any such laws or regulations in any applicable jurisdiction.</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Immediately after this offering we will have 31,250,000 (or 35,937,500 if the underwriter’s over-allotment option is exercised in full) ordinary shares issued and outstanding. Of these shares, the 25,000,000 Class A ordinary shares (or 28,750,000 shares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6,250,000 (or 7,187,500 if the underwriter’s over-allotment option is exercised in full) founder shares and all 7,000,000 (or 7,750,000 if the underwriter’s over-allotment option is exercised in full) private placement warrants are restricted securities under Rule 144, in that they were issued in private transactions not involving a public offering, and are subject to transfer restrictions as set forth elsewhere in this prospectus.</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Pursuant to Rule 144, a person who has beneficially owned restricted shares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1" w:lineRule="exact"/>
        <w:rPr>
          <w:sz w:val="20"/>
          <w:szCs w:val="20"/>
          <w:color w:val="auto"/>
        </w:rPr>
      </w:pPr>
    </w:p>
    <w:p>
      <w:pPr>
        <w:ind w:left="660" w:right="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 of the total number of ordinary shares then issued and outstanding, which will equal 312,500 shares immediately after this offering (or 359,375 if the underwriter exercises its over-allotment option in full); or</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our initial shareholders will be able to sell their founder shares and our sponsor will be able to sell its private placement warrants, pursuant to Rule 144 without registration, one year after we have completed our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intend to apply to list our units, Class A ordinary shares and warrants on Nasdaq under the symbols “SSPKU,” “SSPK” and “SSPKW,” respectively. We expect that our units will be listed on Nasdaq promptly on or after the effective date of the registration statement. Following the date the Class A ordinary shares and warrants are eligible to trade separately, we anticipate that the Class A ordinary shares and warrants will be listed separately and as a unit on Nasdaq. We cannot guarantee that our securities will be approved for listing on Nasdaq.</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INCOME TAX CONSIDERATIONS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summary of certain Cayman Islands and U.S. federal income tax considerations relevant to an investment in our units, Class A ordinary shares and warrants is based upon laws and relevant interpretations thereof in effect as of the date of this prospectus, all of which are subject to change. This summary does not deal with all possible tax consequences relating to an investment in our ordinary shares and warrants, such as the tax consequences under state, local and other tax laws.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Prospective investors should consult their professional advisors on the possible tax consequences of buying, holding or selling any securities under the laws of their country of citizenship, residence or domicile.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is a discussion on certain Cayman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Existing Cayman Islands Laws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 stamp duty is payable in respect of the issue of our securities or on an instrument of transfer in respect of our securities.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Tax Concessions Law</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(2018 Revision)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Undertaking as to Tax Concessions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provision of section 6 of The Tax Concessions Law (2018 Revision), the Financial Secretary undertakes with Silver Spike Acquisition Corp. (“the Company”).</w:t>
      </w:r>
    </w:p>
    <w:p>
      <w:pPr>
        <w:spacing w:after="0" w:line="170" w:lineRule="exact"/>
        <w:rPr>
          <w:sz w:val="20"/>
          <w:szCs w:val="20"/>
          <w:color w:val="auto"/>
        </w:rPr>
      </w:pPr>
    </w:p>
    <w:p>
      <w:pPr>
        <w:ind w:left="340" w:right="14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no law which is hereafter enacted in the Cayman Islands imposing any tax to be levied on profits, income, gains or appreciations shall apply to the Company or its operations; and</w:t>
      </w:r>
    </w:p>
    <w:p>
      <w:pPr>
        <w:spacing w:after="0" w:line="170" w:lineRule="exact"/>
        <w:rPr>
          <w:rFonts w:ascii="Arial" w:cs="Arial" w:eastAsia="Arial" w:hAnsi="Arial"/>
          <w:sz w:val="18"/>
          <w:szCs w:val="18"/>
          <w:color w:val="auto"/>
        </w:rPr>
      </w:pPr>
    </w:p>
    <w:p>
      <w:pPr>
        <w:ind w:left="340" w:right="140" w:hanging="332"/>
        <w:spacing w:after="0" w:line="501"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 2.1 on or in respect of the shares, debentures or other obligations of the Company;</w:t>
      </w:r>
    </w:p>
    <w:p>
      <w:pPr>
        <w:ind w:left="3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2.2 by way of the withholding in whole or part, of any relevant payment as defined in Section 6(3) of the Tax Concessions Law (2018 Revision).</w:t>
      </w:r>
    </w:p>
    <w:p>
      <w:pPr>
        <w:spacing w:after="0" w:line="236"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concessions shall be for a period of 30 years from the date hereof.</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discussion summarizes certain United States federal income tax considerations generally applicable to the acquisition, ownership and disposition of our units (each consisting of one Class A ordinary share and one-half of one warrant) that are purchased in this offering by U.S. Holders (as defined below) and Non-U.S. Holders (as defined below). Because the components of a unit are generally separable at the option of the holder, the holder of a unit generally should be treated, for United States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United States federal income taxation that may be relevant to the acquisition, ownership and disposition of a unit by a prospective investor in light of its particular circumstances, including:</w:t>
      </w:r>
    </w:p>
    <w:p>
      <w:pPr>
        <w:spacing w:after="0" w:line="165"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sponsor;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persons that actually or constructively own five percent or more of our voting shares or ten percent or more of the total value of our shares;</w:t>
      </w:r>
    </w:p>
    <w:p>
      <w:pPr>
        <w:spacing w:after="0" w:line="236" w:lineRule="exact"/>
        <w:rPr>
          <w:rFonts w:ascii="Arial" w:cs="Arial" w:eastAsia="Arial" w:hAnsi="Arial"/>
          <w:sz w:val="17"/>
          <w:szCs w:val="17"/>
          <w:color w:val="auto"/>
        </w:rPr>
      </w:pPr>
    </w:p>
    <w:p>
      <w:pPr>
        <w:ind w:left="660" w:right="62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United States federal income tax consequences different from those discussed below. Furthermore, this discussion does not address any aspect of United States federal non-income tax laws, such as gift, estate or Medicare contribution tax laws, or state, local or non-U.S. tax laws.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not sought, and will not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change the accuracy of the statements in this discussion.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used herein, the term “U.S. Holder” means a beneficial owner of units, Class A ordinary shares or warrants who or that is for United States federal income tax purposes: (i) an individual citizen or resident of the United States, (ii) a corporation (or other entity treated as a corporation for United States federal income tax purposes) that is created or organized (or treated as created or organized) in or under the laws of the United States, any state thereof or the District of Columbia, (iii) an estate the income of which is subject to United States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for United States federal income tax purposes) is the beneficial owner of our securities, the United States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spacing w:after="0" w:line="16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NON-U.S.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United States federal income tax purposes, and therefore, that treatment is not entirely clear. The acquisition of a unit should be treated for United States federal income tax purposes as the acquisition of one share of our Class A ordinary shares and one-half of one warrant, a whole one of which is exercisable to acquire one share of our Class A ordinary shares. We intend to treat the acquisition of a unit in this manner and, by purchasing a unit, you must adopt such treatment for tax purposes. For United States federal income tax purposes, each holder of a unit must allocate the purchase price paid by such holder for such unit between the one Class A ordinary share and the one-half of one warrant based on the relative fair market value of each at the time of issuance. The price allocated to each Class A ordinary share and one-half of one warrant should be the shareholder’s tax basis in such share or warrant. Any disposition of a unit should be treated for United States federal income tax purposes as a disposition of the Class A ordinary share and one-half of one warrant comprising the unit, and the amount realized on the disposition should be allocated between the Class A ordinary share and warrant based on their respective relative fair market values. The separation of the Class A ordinary share and the one-half of one warrant constituting a unit should not be a taxable event for United States federal income tax purposes.</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is respected for United States federal income tax purposes.</w:t>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the passive foreign investment company (“PFIC”) rules discussed below, a U.S. Holder generally will be required to include in gross income as dividends the amount of any cash distribution paid on our Class A ordinary shares to the extent the distribution is paid out of our current or accumulated earnings and profits (as determined under United States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discussed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With respect to non-corporate U.S. Holders, under tax laws currently in effect, dividends generally will be taxed at the lower applicable long-term capital gains rate (see “Gain or Loss on Sale, Taxable Exchange or Other Taxable Disposition of Class A Ordinary Shares and Warrants” below) only if our Class A ordinary shares are readily tradable on an established securities market in the United States and certain other requirements are met, including that we are not classified as a PFIC during the taxable year in which the dividend is paid or the preceding taxable year. U.S. Holders should consult their tax advisors regarding the availability of such lower rate for any dividends paid with respect to our Class A ordinary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225"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fair market values of the Class A ordinary shares and the warrants included in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share of Class A ordinary shares or one-half of one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or Lapse of a Warrant” below for a discussion regarding a U.S. Holder’s basis in a Class A ordinary share acquired pursuant to the exercise of a warrant. The deduction of capital losses is subject to certain limitations.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the treatment of the transaction for United States federal income tax purposes will depend on whether the redemption qualifies as a sale of the Class A ordinary shares under Section 302 of the Code. If the redemption or purchase by us qualifies as a sale of Class A ordinary shares, the U.S. Holder will be treated as described under “Gain or Loss on Sale, Taxable Exchange or Other Taxable Disposition of Class A Ordinary Shares and Warrants” above. If the redemption or purchase by us does not qualify as a sale of Class A ordinary shares, the U.S. Holder will be treated as receiving a corporate distribution with the tax consequences described above under “Taxation of Distributions.” Whether a redemption or purchase by us qualifies for sale treatment will depend largely on the total number of our shares treated as held by the U.S. Holder (including any Class A ordinary shares constructively owned by the U.S. Holder</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a result of owning warrants) relative to all of our shares outstanding both before and after such redemption or purchase. The redemption or purchase by us of Class A ordinary shares generally will be treated as a sale of the Class A ordinary shares (rather than as a corporate distribution) if such redemption or purchase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71"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w:t>
      </w:r>
    </w:p>
    <w:p>
      <w:pPr>
        <w:ind w:right="80"/>
        <w:spacing w:after="0" w:line="285" w:lineRule="auto"/>
        <w:rPr>
          <w:sz w:val="20"/>
          <w:szCs w:val="20"/>
          <w:color w:val="auto"/>
        </w:rPr>
      </w:pPr>
      <w:r>
        <w:rPr>
          <w:rFonts w:ascii="Arial" w:cs="Arial" w:eastAsia="Arial" w:hAnsi="Arial"/>
          <w:sz w:val="16"/>
          <w:szCs w:val="16"/>
          <w:color w:val="auto"/>
        </w:rPr>
        <w:t>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its own tax advisors as to the tax consequences of a redemption.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If there are no remaining shares, a U.S. Holder is urged to consult its tax advisor as to the allocation of any remaining tax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or Lapse of a Warrant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tax consequences of a cashless exercise of a warrant are not clear under current law. A cashless exercise may not be taxable, either because the exercise is not a realization event or because the exercise is treated as a recapitalization for United States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It is also possible that a cashless exercise may be treated as a taxable exchange in which gain or loss would be recognized. In such event, a U.S. Holder may be deemed to have surrendered warrants with an aggregate fair market value equal to the exercise price for the total number of warrants to be exercised.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Holder’s initial investment in the warrants exercised (i.e., the portion of the U.S. Holder’s purchase price for the units that is allocated to the warrant, as described above under “— Allocation of Purchase Price and Characterization of a Unit”) and the exercise price of such warrants. It is unclear whether a U.S. Holder’s holding period for the Class A ordinary shares would commence on the date of exercise of the warrant or the day following the date of exercise of the warrant.</w:t>
      </w:r>
    </w:p>
    <w:p>
      <w:pPr>
        <w:spacing w:after="0" w:line="1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Due to the absence of authority on the United States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the warrant U.S. Holders’ proportionate interest in our assets or earnings and profits (e.g., through an increase in the number of Class A ordinary shares that would be obtained upon exercise) as a result of a distribution of cash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the increase in the interest. For certain information reporting purposes, we are required to determine the date and amount of any such constructive distributions. Proposed Treasury regulations, which we may rely on prior to the issuance of final regulations, specify how the date and amount of constructive distributions are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we are a blank check company, with no current active business, we believe that it is likely that we will meet the PFIC asset or income test for our current taxable year ending December 31, 2019.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Although subject to uncertainty, we may qualify for the startup exception for 2019, and, accordingly, we would not be treated as a PFIC for 2019. The applicability of the startup exception to us will not be known until after the close of our current taxable year ending December 31, 2019 and, perhaps, until after the close of the first two taxable years following our startup year (within the meaning of the startup exception). Although subject to uncertainty, it is possible that we could be treated as a PFIC for a taxable year prior to our startup year (within the meaning of the startup exception). Further,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 PFIC for our current taxable year ending December 31, 2019. Our actual PFIC status for our current taxable year or any subsequent taxable year will not be determinable until after the end of such taxable year. Accordingly, there can be no assurance with respect to our status as a PFIC for our current taxable year ending December 31, 2019 or any future taxable year.</w:t>
      </w:r>
    </w:p>
    <w:p>
      <w:pPr>
        <w:spacing w:after="0" w:line="18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Although our PFIC status is determined annually, an initial determination that our company is a PFIC will generally apply for subsequent years to a U.S. Holder who held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qualified electing fund (“QEF”) election or a mark-to-market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Under these rules:</w:t>
      </w:r>
    </w:p>
    <w:p>
      <w:pPr>
        <w:spacing w:after="0" w:line="225" w:lineRule="exact"/>
        <w:rPr>
          <w:sz w:val="20"/>
          <w:szCs w:val="20"/>
          <w:color w:val="auto"/>
        </w:rPr>
      </w:pPr>
    </w:p>
    <w:p>
      <w:pPr>
        <w:ind w:left="660" w:right="52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170" w:lineRule="exact"/>
        <w:rPr>
          <w:rFonts w:ascii="Arial" w:cs="Arial" w:eastAsia="Arial" w:hAnsi="Arial"/>
          <w:sz w:val="18"/>
          <w:szCs w:val="18"/>
          <w:color w:val="auto"/>
        </w:rPr>
      </w:pPr>
    </w:p>
    <w:p>
      <w:pPr>
        <w:jc w:val="both"/>
        <w:ind w:left="660" w:right="320" w:hanging="328"/>
        <w:spacing w:after="0" w:line="34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general, if we are determined to be a PFIC, a U.S. Holder will avoid the PFIC tax consequences described above in respect to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the foregoing,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If we determine we are a PFIC for any taxable year (of which there can be no assurance),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ordinary shares under their particular circumstances.</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lower-tier PFIC to provide such required information. U.S. Holders are urged to consult their tax advisors regarding the tax issues raised by lower-tier PFICs.</w:t>
      </w:r>
    </w:p>
    <w:p>
      <w:pPr>
        <w:spacing w:after="0" w:line="2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or warrants should consult their own tax advisors concerning the application of the PFIC rules to our securities under their particular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Reporting</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Persons who are required to report specified foreign financial assets and fail to do so may be subject to substantial penalties. Potential investors are urged to consult their tax advisers regarding the foreign financial asset and other reporting obligations and their application to an investment in our Class A ordinary shares and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that is for U.S. federal income tax purposes:</w:t>
      </w:r>
    </w:p>
    <w:p>
      <w:pPr>
        <w:spacing w:after="0" w:line="17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Dividends (including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Non-U.S. Holder maintains in the United States).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Dividends (including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The United States federal income tax treatment of a Non-U.S. Holder’s exercise of a warrant, or the lapse of a warrant held by a Non-U.S. Holder, generally will correspond to the United States federal income tax treatment of the exercise or lapse of a warrant by a U.S. Holder, as described under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5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this prospectus, we have agreed to sell to the underwriter named below the following respective numbers of units: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20" w:type="dxa"/>
            <w:vAlign w:val="bottom"/>
            <w:gridSpan w:val="2"/>
          </w:tcPr>
          <w:p>
            <w:pPr>
              <w:ind w:left="4360"/>
              <w:spacing w:after="0"/>
              <w:rPr>
                <w:sz w:val="20"/>
                <w:szCs w:val="20"/>
                <w:color w:val="auto"/>
              </w:rPr>
            </w:pPr>
            <w:r>
              <w:rPr>
                <w:rFonts w:ascii="Arial" w:cs="Arial" w:eastAsia="Arial" w:hAnsi="Arial"/>
                <w:sz w:val="18"/>
                <w:szCs w:val="18"/>
                <w:b w:val="1"/>
                <w:bCs w:val="1"/>
                <w:color w:val="auto"/>
              </w:rPr>
              <w:t>Underwriter</w:t>
            </w: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 Units</w:t>
            </w:r>
          </w:p>
        </w:tc>
      </w:tr>
      <w:tr>
        <w:trPr>
          <w:trHeight w:val="210"/>
        </w:trPr>
        <w:tc>
          <w:tcPr>
            <w:tcW w:w="20" w:type="dxa"/>
            <w:vAlign w:val="bottom"/>
          </w:tcPr>
          <w:p>
            <w:pPr>
              <w:spacing w:after="0"/>
              <w:rPr>
                <w:sz w:val="18"/>
                <w:szCs w:val="18"/>
                <w:color w:val="auto"/>
              </w:rPr>
            </w:pPr>
          </w:p>
        </w:tc>
        <w:tc>
          <w:tcPr>
            <w:tcW w:w="97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Credit Suisse Securities (USA) LLC</w:t>
            </w:r>
          </w:p>
        </w:tc>
        <w:tc>
          <w:tcPr>
            <w:tcW w:w="120" w:type="dxa"/>
            <w:vAlign w:val="bottom"/>
            <w:tcBorders>
              <w:top w:val="single" w:sz="8" w:color="D5EAEA"/>
            </w:tcBorders>
            <w:shd w:val="clear" w:color="auto" w:fill="D5EAEA"/>
          </w:tcPr>
          <w:p>
            <w:pPr>
              <w:spacing w:after="0"/>
              <w:rPr>
                <w:sz w:val="18"/>
                <w:szCs w:val="18"/>
                <w:color w:val="auto"/>
              </w:rPr>
            </w:pPr>
          </w:p>
        </w:tc>
        <w:tc>
          <w:tcPr>
            <w:tcW w:w="1580" w:type="dxa"/>
            <w:vAlign w:val="bottom"/>
            <w:tcBorders>
              <w:top w:val="single" w:sz="8" w:color="auto"/>
            </w:tcBorders>
            <w:shd w:val="clear" w:color="auto" w:fill="D5EAEA"/>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70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8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25,000,000</w:t>
            </w: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underwriting agreement provides that the underwriter is obligated to purchase all the units in this offering if any are purchased, other than those units covered by the over-allotment option described below.</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granted to the underwriter a 45-day option to purchase on a pro rata basis up to 3,750,000 additional units at the initial public offering price, less the underwriting discounts and commissions. The option may be exercised only to cover any over-allotments of units.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underwriter proposes to offer the units initially at the public offering price on the cover page of this prospectus and to selling group members at that price less a selling concession of $ per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Per Unit(1)</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Total(2)</w:t>
            </w:r>
          </w:p>
        </w:tc>
        <w:tc>
          <w:tcPr>
            <w:tcW w:w="1280" w:type="dxa"/>
            <w:vAlign w:val="bottom"/>
            <w:tcBorders>
              <w:bottom w:val="single" w:sz="8" w:color="auto"/>
            </w:tcBorders>
          </w:tcPr>
          <w:p>
            <w:pPr>
              <w:spacing w:after="0"/>
              <w:rPr>
                <w:sz w:val="20"/>
                <w:szCs w:val="20"/>
                <w:color w:val="auto"/>
              </w:rPr>
            </w:pPr>
          </w:p>
        </w:tc>
      </w:tr>
      <w:tr>
        <w:trPr>
          <w:trHeight w:val="191"/>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Without Over-</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ind w:right="270"/>
              <w:spacing w:after="0" w:line="191" w:lineRule="exact"/>
              <w:rPr>
                <w:sz w:val="20"/>
                <w:szCs w:val="20"/>
                <w:color w:val="auto"/>
              </w:rPr>
            </w:pPr>
            <w:r>
              <w:rPr>
                <w:rFonts w:ascii="Arial" w:cs="Arial" w:eastAsia="Arial" w:hAnsi="Arial"/>
                <w:sz w:val="18"/>
                <w:szCs w:val="18"/>
                <w:b w:val="1"/>
                <w:bCs w:val="1"/>
                <w:color w:val="auto"/>
                <w:w w:val="96"/>
              </w:rPr>
              <w:t>With Over-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4"/>
              </w:rPr>
              <w:t>Without Over-</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4"/>
              </w:rPr>
              <w:t>With Over-</w:t>
            </w:r>
          </w:p>
        </w:tc>
      </w:tr>
      <w:tr>
        <w:trPr>
          <w:trHeight w:val="234"/>
        </w:trPr>
        <w:tc>
          <w:tcPr>
            <w:tcW w:w="4700" w:type="dxa"/>
            <w:vAlign w:val="bottom"/>
            <w:tcBorders>
              <w:bottom w:val="single" w:sz="8" w:color="D5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allotment</w:t>
            </w:r>
          </w:p>
        </w:tc>
        <w:tc>
          <w:tcPr>
            <w:tcW w:w="140" w:type="dxa"/>
            <w:vAlign w:val="bottom"/>
            <w:tcBorders>
              <w:bottom w:val="single" w:sz="8" w:color="D5EAEA"/>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Allotment</w:t>
            </w:r>
          </w:p>
        </w:tc>
        <w:tc>
          <w:tcPr>
            <w:tcW w:w="120" w:type="dxa"/>
            <w:vAlign w:val="bottom"/>
            <w:tcBorders>
              <w:bottom w:val="single" w:sz="8" w:color="D5EAEA"/>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allotment</w:t>
            </w:r>
          </w:p>
        </w:tc>
        <w:tc>
          <w:tcPr>
            <w:tcW w:w="100" w:type="dxa"/>
            <w:vAlign w:val="bottom"/>
            <w:tcBorders>
              <w:bottom w:val="single" w:sz="8" w:color="D5EAEA"/>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Allotment</w:t>
            </w:r>
          </w:p>
        </w:tc>
      </w:tr>
      <w:tr>
        <w:trPr>
          <w:trHeight w:val="210"/>
        </w:trPr>
        <w:tc>
          <w:tcPr>
            <w:tcW w:w="4700" w:type="dxa"/>
            <w:vAlign w:val="bottom"/>
            <w:shd w:val="clear" w:color="auto" w:fill="D5EAEA"/>
          </w:tcPr>
          <w:p>
            <w:pPr>
              <w:spacing w:after="0"/>
              <w:rPr>
                <w:sz w:val="20"/>
                <w:szCs w:val="20"/>
                <w:color w:val="auto"/>
              </w:rPr>
            </w:pPr>
            <w:r>
              <w:rPr>
                <w:rFonts w:ascii="Arial" w:cs="Arial" w:eastAsia="Arial" w:hAnsi="Arial"/>
                <w:sz w:val="18"/>
                <w:szCs w:val="18"/>
                <w:color w:val="auto"/>
              </w:rPr>
              <w:t>Underwriting Discounts and Commissions paid by us</w:t>
            </w:r>
          </w:p>
        </w:tc>
        <w:tc>
          <w:tcPr>
            <w:tcW w:w="18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D5EAEA"/>
          </w:tcPr>
          <w:p>
            <w:pPr>
              <w:spacing w:after="0"/>
              <w:rPr>
                <w:sz w:val="18"/>
                <w:szCs w:val="18"/>
                <w:color w:val="auto"/>
              </w:rPr>
            </w:pPr>
          </w:p>
        </w:tc>
        <w:tc>
          <w:tcPr>
            <w:tcW w:w="340" w:type="dxa"/>
            <w:vAlign w:val="bottom"/>
            <w:shd w:val="clear" w:color="auto" w:fill="D5EAEA"/>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D5EAEA"/>
          </w:tcPr>
          <w:p>
            <w:pPr>
              <w:spacing w:after="0"/>
              <w:rPr>
                <w:sz w:val="18"/>
                <w:szCs w:val="18"/>
                <w:color w:val="auto"/>
              </w:rPr>
            </w:pPr>
          </w:p>
        </w:tc>
        <w:tc>
          <w:tcPr>
            <w:tcW w:w="160" w:type="dxa"/>
            <w:vAlign w:val="bottom"/>
            <w:shd w:val="clear" w:color="auto" w:fill="D5EAEA"/>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13,750,000</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15,812,500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0"/>
          <w:szCs w:val="20"/>
          <w:color w:val="auto"/>
        </w:rPr>
      </w:pPr>
    </w:p>
    <w:p>
      <w:pPr>
        <w:ind w:left="340" w:right="240" w:hanging="332"/>
        <w:spacing w:after="0" w:line="259"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$0.35 per unit, or $8,750,000 (or $10,062,500 if the over-allotment option is exercised in full) in the aggregate, payable to the underwriter for deferred underwriting commissions to be placed in a trust account located in the United States as described herein. The deferred commissions will be released to the underwriter only on completion of an initial business combination, in an amount equal to $0.35 multiplied by the number of Class A ordinary shares sold as part of the units in this offering, as described in this prospectus.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estimate that our non-reimbursed out-of-pocket expenses for this offering will be approximately $1,000,000. We have agreed to pay for the FINRA-related fees and expenses of the underwriter’s legal counsel, not to exceed $25,000.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has informed us that the underwriter does not intend to make sales to discretionary accounts.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our sponsor and our officers and directors have agreed that we will not offer, sell, contract to sell, pledge or otherwise dispose of, directly or indirectly, without the prior written consent of Credit Suisse Securities (USA) LLC for a period of 180 days after the date of this prospectus, any units, warrants, ordinary shares or any other securities convertible into, or exercisable, or exchangeable for, ordinary shares;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private placement warrants and the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Credit Suisse Securities (USA) LLC in its sole discretion may release any of the securities subject to these lock-up agreements at any time without notice.</w:t>
      </w:r>
    </w:p>
    <w:p>
      <w:pPr>
        <w:spacing w:after="0" w:line="18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Our initial shareholders have agreed not to transfer, assign or sell any of their founder shares and any Class A ordinary shares issued upon conversion thereof until the earlier to occur of (A) one year after the completion of our initial business combination or (B) subsequent to our initial business combination, (x) if the last reported sale price of Class A ordinary shares equals or exceeds $12.00 per share (as adjusted for share splits, share</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(except with respect to permitted transferees as described herein under “Principal Shareholders—Transfers of Founder Shares and Private Placement Warrants”). Any permitted transferees would be subject to the same restrictions and other agreements of our initial shareholders with respect to any founder shares.</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Shareholders—Transfers of Founder Shares and Private Placement Warrants”).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have agreed to indemnify the underwriter against certain liabilities under the Securities Act, or contribute to payments that the underwriter may be required to make in that respect.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our units to be listed on Nasdaq, under the symbol “SSPKU” and, once the Class A ordinary shares and warrants begin separate trading, to have our Class A ordinary shares and warrants listed on Nasdaq under the symbols “SSPK” and “SSPKW,” respectively.</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underwriter.</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we do not complete our initial business combination within the period provided in our amended and restated memorandum and articles of association, the underwriter has agreed that: (1) it will forfeit any rights or claims to its deferred underwriting discounts and commissions, including any accrued interest thereon, then in the trust account; and (2) the deferred underwriter’s discounts and commissions will be distributed on a pro rata basis, together with any accrued interest thereon (which interest shall be net of taxes payable) to the public shareholders.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connection with this offering, the underwriter may engage in stabilizing transactions, over-allotment transactions, syndicate covering transactions and penalty bids in accordance with Regulation M under the Exchange Act.</w:t>
      </w:r>
    </w:p>
    <w:p>
      <w:pPr>
        <w:spacing w:after="0" w:line="170"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63" w:lineRule="exact"/>
        <w:rPr>
          <w:rFonts w:ascii="Arial" w:cs="Arial" w:eastAsia="Arial" w:hAnsi="Arial"/>
          <w:sz w:val="17"/>
          <w:szCs w:val="17"/>
          <w:color w:val="auto"/>
        </w:rPr>
      </w:pPr>
    </w:p>
    <w:p>
      <w:pPr>
        <w:ind w:left="660" w:hanging="328"/>
        <w:spacing w:after="0" w:line="276"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Over-allotment involves sales by the underwriter of units in excess of the number of units the underwriter is obligated to purchase, which creates a syndicate short position. The short position may be either a covered short position or a naked short position. In a covered short position, the number of units over-allotted by the underwriters is not greater than the number of units that they may purchase in the over-allotment option. In a naked short position, the number of units involved is greater than the number of units in the over-allotment option. The underwriter may close out any covered short position by either exercising its over-allotment option and/or purchasing units in the open market.</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left="660" w:hanging="328"/>
        <w:spacing w:after="0" w:line="293"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units in the open market after the distribution has been completed in order to cover syndicate short positions. In determining the source of units to close out the short position, the underwriter will consider, among other things, the price of units available for purchase in the open market as compared to the price at which they may purchase units through the over-allotment option. If the underwriter sells more units than could be covered by the over-allotment option, a naked short position, the position can only be closed out by buying units in the open market. A naked short position is more likely to be created if the underwriter is concerned that there could be downward pressure on the price of the units in the open market after pricing that could adversely affect investors who purchase in this offering.</w:t>
      </w:r>
    </w:p>
    <w:p>
      <w:pPr>
        <w:spacing w:after="0" w:line="164"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units originally sold by the syndicate member are purchased in a stabilizing or syndicate covering transaction to cover syndicate short positions.</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units or preventing or retarding a decline in the market price of the units. As a result, the price of our units may be higher than the price that might otherwise exist in the open market. These transactions may be effected on Nasdaq or otherwise and, if commenced, may be discontinued at any time.</w:t>
      </w:r>
    </w:p>
    <w:p>
      <w:pPr>
        <w:spacing w:after="0" w:line="1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not under any contractual obligation to engage the underwriter to provide any services for us after this offering and have no present intent to do so. However, the underwriter may introduce us to potential target businesses or assist us in raising additional capital in the future. If the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that is 90 days from the date of this prospectus, unless FINRA determines that such payment would not be deemed underwriter’s compensation in connection with this offering, and we may pay the underwriter of this offering or any entity with which they are affiliated, a finder’s fee or other compensation for services rendered to us in connection with the completion of a business combination.</w:t>
      </w:r>
    </w:p>
    <w:p>
      <w:pPr>
        <w:spacing w:after="0" w:line="17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underwriter and its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 or selling group members, if any, participating in this offering and the underwriter participating in this offering may distribute prospectuses electronically. The underwriter may allocate a number of units for sale to its online brokerage account holders. Internet distributions will be allocated by the underwriter that will make internet distributions on the same basis as other allocations.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units are offered for sale in the United States and other jurisdictions where it is lawful to make such offers.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underwriter has represented and agreed that it has not offered, sold or delivered and will not offer, sell or deliver any of the units directly or indirectly, or distribute this prospectus or any other offering material relating to the units, in or from any jurisdiction except under circumstances that will result in compliance with the applicable laws and regulations thereof and that will not impose any obligations on us except as set forth in the underwriting agreement.</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66"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for any such offer; or</w:t>
      </w:r>
    </w:p>
    <w:p>
      <w:pPr>
        <w:spacing w:after="0" w:line="170"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severally represents, warrants and agrees as follows:</w:t>
      </w:r>
    </w:p>
    <w:p>
      <w:pPr>
        <w:spacing w:after="0" w:line="225" w:lineRule="exact"/>
        <w:rPr>
          <w:sz w:val="20"/>
          <w:szCs w:val="20"/>
          <w:color w:val="auto"/>
        </w:rPr>
      </w:pPr>
    </w:p>
    <w:p>
      <w:pPr>
        <w:ind w:left="660" w:right="280" w:hanging="328"/>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p>
      <w:pPr>
        <w:spacing w:after="0" w:line="18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units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Japan</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underwriter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Hong Kong</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underwriter and each of its affiliates have not (1) offered or sold, and will not offer or sell, in Hong Kong, by means of any document, our units other than (A) to “professional investors” as defined in the Securities and Futures Ordinance (Cap.571) of Hong Kong and any rules made under that Ordinance or</w:t>
      </w:r>
    </w:p>
    <w:p>
      <w:pPr>
        <w:ind w:firstLine="8"/>
        <w:spacing w:after="0" w:line="252" w:lineRule="auto"/>
        <w:tabs>
          <w:tab w:leader="none" w:pos="2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Singapore</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This prospectus or any other offering material relating to our units has not been and will not be registered as a prospectus with the Monetary Authority of Singapore, and the units will be offered in Singapore pursuant to exemptions under Section 274 and Section 275 of the Securities and Futures Act, Chapter 289 of Singapore (the “Securities and Futures Act”). Accordingly our units may not be offered or sold, or be the subject of an invitation for subscription or purchase, nor may this prospectus or any other offering material relating to our units be circulated or distributed, whether directly or indirectly, to the public or any member of the public in Singapore other than (a) to an institutional investor or other person specified in Section 274 of the Securities and Futures Act,</w:t>
      </w:r>
    </w:p>
    <w:p>
      <w:pPr>
        <w:spacing w:after="0" w:line="2" w:lineRule="exact"/>
        <w:rPr>
          <w:sz w:val="20"/>
          <w:szCs w:val="20"/>
          <w:color w:val="auto"/>
        </w:rPr>
      </w:pPr>
    </w:p>
    <w:p>
      <w:pPr>
        <w:ind w:right="200" w:firstLine="8"/>
        <w:spacing w:after="0" w:line="261"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 sophisticated investor, and in accordance with the conditions specified in Section 275 of the Securities and Futures Act or (c) otherwise pursuant to, and in accordance with the conditions of, any other applicable provision of the Securities and Futures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Germany</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the underwriter has represented that it has not engaged and has agreed that it will not engage in a public offering (offentliches Angebot) within the meaning of the Act with respect to any of our units otherwise then in accordance with the Act and all other applicable legal and regulatory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France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units are being issued and sold outside the Republic of France and that, in connection with their initial distribution, it has not offered or sold and will not offer or sell, directly or indirectly, any units to the public in the 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 may not participate in the offering of our units, and this prospectus or any other offering material relating to our units may not be considered an offer or the prospect of an offer to sell or exchange our units.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By purchasing units in Canada and accepting delivery of a purchase confirmation, a purchaser is representing to us and the dealer from whom the purchase confirmation is received that:</w:t>
      </w:r>
    </w:p>
    <w:p>
      <w:pPr>
        <w:spacing w:after="0" w:line="170" w:lineRule="exact"/>
        <w:rPr>
          <w:sz w:val="20"/>
          <w:szCs w:val="20"/>
          <w:color w:val="auto"/>
        </w:rPr>
      </w:pPr>
    </w:p>
    <w:p>
      <w:pPr>
        <w:ind w:left="660" w:right="26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units without the benefit of a prospectus qualified under those securities laws as it is an “accredited investor” as defined under National Instrument 45-106—Prospectus Exemptions;</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Canadian purchasers are hereby notified that Credit Suisse Securities (USA) LLC is relying on the exemption set out in section 3A.3 or 3A.4, if applicable, of National Instrument 33-105—Underwriting Conflicts from having to provide certain conflict of interest disclosure in this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22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Davis Polk &amp; Wardwell LLP, New York, New York, is acting as counsel in connection with the registration of our securities under the Securities Act, and as such,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Skadden, Arps, Slate, Meagher &amp; Flom LLP, Los Angeles, California, is acting as counsel to the underwriter.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financial statements of Silver Spike Acquisition Corp. as of June 11, 2019 and for the period from June 7, 2019 (inception) through June 11, 2019 appearing in this prospectus have been audited by Marcum LLP, independent registered public accounting firm, as set forth in their report thereon (which contains an explanatory paragraph relating to substantial doubt about the ability of Silver Spike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780" w:type="dxa"/>
            <w:vAlign w:val="bottom"/>
            <w:gridSpan w:val="8"/>
          </w:tcPr>
          <w:p>
            <w:pPr>
              <w:jc w:val="center"/>
              <w:ind w:right="2560"/>
              <w:spacing w:after="0"/>
              <w:rPr>
                <w:sz w:val="20"/>
                <w:szCs w:val="20"/>
                <w:color w:val="auto"/>
              </w:rPr>
            </w:pPr>
            <w:r>
              <w:rPr>
                <w:rFonts w:ascii="Arial" w:cs="Arial" w:eastAsia="Arial" w:hAnsi="Arial"/>
                <w:sz w:val="18"/>
                <w:szCs w:val="18"/>
                <w:b w:val="1"/>
                <w:bCs w:val="1"/>
                <w:color w:val="auto"/>
              </w:rPr>
              <w:t>SILVER SPIKE ACQUISITION CORP.</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7780" w:type="dxa"/>
            <w:vAlign w:val="bottom"/>
            <w:gridSpan w:val="8"/>
          </w:tcPr>
          <w:p>
            <w:pPr>
              <w:jc w:val="center"/>
              <w:ind w:right="2540"/>
              <w:spacing w:after="0"/>
              <w:rPr>
                <w:sz w:val="20"/>
                <w:szCs w:val="20"/>
                <w:color w:val="auto"/>
              </w:rPr>
            </w:pPr>
            <w:r>
              <w:rPr>
                <w:rFonts w:ascii="Arial" w:cs="Arial" w:eastAsia="Arial" w:hAnsi="Arial"/>
                <w:sz w:val="18"/>
                <w:szCs w:val="18"/>
                <w:b w:val="1"/>
                <w:bCs w:val="1"/>
                <w:color w:val="auto"/>
              </w:rPr>
              <w:t>INDEX TO FINANCIAL STATEMENTS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39"/>
        </w:trPr>
        <w:tc>
          <w:tcPr>
            <w:tcW w:w="10840" w:type="dxa"/>
            <w:vAlign w:val="bottom"/>
            <w:gridSpan w:val="9"/>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REPORT OF INDEPENDENT REGISTERED PUBLIC ACCOUNTING FIRM</w:t>
              </w:r>
            </w:hyperlink>
          </w:p>
        </w:tc>
        <w:tc>
          <w:tcPr>
            <w:tcW w:w="18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w:t>
            </w:r>
          </w:p>
        </w:tc>
      </w:tr>
      <w:tr>
        <w:trPr>
          <w:trHeight w:val="291"/>
        </w:trPr>
        <w:tc>
          <w:tcPr>
            <w:tcW w:w="58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FINANCIAL STATEMENTS:</w:t>
            </w:r>
          </w:p>
        </w:tc>
        <w:tc>
          <w:tcPr>
            <w:tcW w:w="504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710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68">
              <w:r>
                <w:rPr>
                  <w:rFonts w:ascii="Arial" w:cs="Arial" w:eastAsia="Arial" w:hAnsi="Arial"/>
                  <w:sz w:val="18"/>
                  <w:szCs w:val="18"/>
                  <w:color w:val="0000EE"/>
                  <w:w w:val="95"/>
                </w:rPr>
                <w:t>BALANCE SHEETS AS OF JUNE 30 , 2019 (UNADUITED) AND JUNE 11, 2019 (AUDITED)</w:t>
              </w:r>
            </w:hyperlink>
          </w:p>
        </w:tc>
        <w:tc>
          <w:tcPr>
            <w:tcW w:w="3740" w:type="dxa"/>
            <w:vAlign w:val="bottom"/>
            <w:gridSpan w:val="5"/>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0"/>
        </w:trPr>
        <w:tc>
          <w:tcPr>
            <w:tcW w:w="106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69">
              <w:r>
                <w:rPr>
                  <w:rFonts w:ascii="Arial" w:cs="Arial" w:eastAsia="Arial" w:hAnsi="Arial"/>
                  <w:sz w:val="18"/>
                  <w:szCs w:val="18"/>
                  <w:color w:val="0000EE"/>
                  <w:w w:val="94"/>
                </w:rPr>
                <w:t>STATEMENTS OF OPERATIONS FOR THE PERIOD FROM FROM JUNE 7, 2019 (INCEPTION) THROUGH JUNE 30, 2019 (UNAUDITED)</w:t>
              </w:r>
            </w:hyperlink>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196"/>
        </w:trPr>
        <w:tc>
          <w:tcPr>
            <w:tcW w:w="10840" w:type="dxa"/>
            <w:vAlign w:val="bottom"/>
            <w:gridSpan w:val="9"/>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AND FOR THE PERIOD FROM JUNE 7, 2019 (INCEPTION) THROUGH JUNE 11, 2019 (AUDITED)</w:t>
              </w:r>
            </w:hyperlink>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30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840" w:type="dxa"/>
            <w:vAlign w:val="bottom"/>
            <w:gridSpan w:val="9"/>
          </w:tcPr>
          <w:p>
            <w:pPr>
              <w:spacing w:after="0"/>
              <w:rPr>
                <w:rFonts w:ascii="Arial" w:cs="Arial" w:eastAsia="Arial" w:hAnsi="Arial"/>
                <w:sz w:val="18"/>
                <w:szCs w:val="18"/>
                <w:color w:val="0000EE"/>
                <w:w w:val="96"/>
              </w:rPr>
            </w:pPr>
            <w:hyperlink w:anchor="page170">
              <w:r>
                <w:rPr>
                  <w:rFonts w:ascii="Arial" w:cs="Arial" w:eastAsia="Arial" w:hAnsi="Arial"/>
                  <w:sz w:val="18"/>
                  <w:szCs w:val="18"/>
                  <w:color w:val="0000EE"/>
                  <w:w w:val="96"/>
                </w:rPr>
                <w:t>STATEMENTS OF CHANGES IN SHAREHOLDER'S EQUITY FOR THE PERIOD FROM JUNE 7, 2019 (INCEPTION) THROUGH JUNE 30,</w:t>
              </w:r>
            </w:hyperlink>
          </w:p>
        </w:tc>
        <w:tc>
          <w:tcPr>
            <w:tcW w:w="1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196"/>
        </w:trPr>
        <w:tc>
          <w:tcPr>
            <w:tcW w:w="93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170">
              <w:r>
                <w:rPr>
                  <w:rFonts w:ascii="Arial" w:cs="Arial" w:eastAsia="Arial" w:hAnsi="Arial"/>
                  <w:sz w:val="18"/>
                  <w:szCs w:val="18"/>
                  <w:color w:val="0000EE"/>
                  <w:w w:val="95"/>
                </w:rPr>
                <w:t>2019 (UNAUDITED) AND FOR THE PERIOD FROM JUNE 7, 2019 (INCEPTION) THROUGH JUNE 11, 2019 (AUDITED)</w:t>
              </w:r>
            </w:hyperlink>
          </w:p>
        </w:tc>
        <w:tc>
          <w:tcPr>
            <w:tcW w:w="136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0840" w:type="dxa"/>
            <w:vAlign w:val="bottom"/>
            <w:gridSpan w:val="9"/>
          </w:tcPr>
          <w:p>
            <w:pPr>
              <w:spacing w:after="0"/>
              <w:rPr>
                <w:rFonts w:ascii="Arial" w:cs="Arial" w:eastAsia="Arial" w:hAnsi="Arial"/>
                <w:sz w:val="18"/>
                <w:szCs w:val="18"/>
                <w:color w:val="0000EE"/>
                <w:w w:val="98"/>
              </w:rPr>
            </w:pPr>
            <w:hyperlink w:anchor="page171">
              <w:r>
                <w:rPr>
                  <w:rFonts w:ascii="Arial" w:cs="Arial" w:eastAsia="Arial" w:hAnsi="Arial"/>
                  <w:sz w:val="18"/>
                  <w:szCs w:val="18"/>
                  <w:color w:val="0000EE"/>
                  <w:w w:val="98"/>
                </w:rPr>
                <w:t>STATEMENT OF CASH FLOWS FOR THE PERIOD FROM JUNE 7, 2019 (INCEPTION) THROUGH JUNE 30, 2019 (UNAUDITED) FOR</w:t>
              </w:r>
            </w:hyperlink>
          </w:p>
        </w:tc>
        <w:tc>
          <w:tcPr>
            <w:tcW w:w="1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196"/>
        </w:trPr>
        <w:tc>
          <w:tcPr>
            <w:tcW w:w="6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171">
              <w:r>
                <w:rPr>
                  <w:rFonts w:ascii="Arial" w:cs="Arial" w:eastAsia="Arial" w:hAnsi="Arial"/>
                  <w:sz w:val="18"/>
                  <w:szCs w:val="18"/>
                  <w:color w:val="0000EE"/>
                  <w:w w:val="94"/>
                </w:rPr>
                <w:t>THE PERIOD FROM JUNE 7, 2019 (INCEPTION) THROUGH JUNE 11, 2019 (AUDITED)</w:t>
              </w:r>
            </w:hyperlink>
          </w:p>
        </w:tc>
        <w:tc>
          <w:tcPr>
            <w:tcW w:w="3580" w:type="dxa"/>
            <w:vAlign w:val="bottom"/>
            <w:tcBorders>
              <w:top w:val="single" w:sz="8" w:color="0000EE"/>
            </w:tcBorders>
            <w:gridSpan w:val="4"/>
          </w:tcPr>
          <w:p>
            <w:pPr>
              <w:spacing w:after="0"/>
              <w:rPr>
                <w:sz w:val="17"/>
                <w:szCs w:val="17"/>
                <w:color w:val="auto"/>
              </w:rPr>
            </w:pPr>
          </w:p>
        </w:tc>
        <w:tc>
          <w:tcPr>
            <w:tcW w:w="4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0840" w:type="dxa"/>
            <w:vAlign w:val="bottom"/>
            <w:gridSpan w:val="9"/>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NOTES TO FINANCIAL STATEMENTS</w:t>
              </w:r>
            </w:hyperlink>
          </w:p>
        </w:tc>
        <w:tc>
          <w:tcPr>
            <w:tcW w:w="1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306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have audited the accompanying balance sheet of Silver Spike Acquisition Corp. (the “Company”) as of June 11, 2019 and the related statements of operations, changes in shareholder's equity and cash flows for the period from June 7, 2019 (inception) through June 11, 2019 and the related notes (collectively referred to as the “financial statements”). In our opinion, the financial statements present fairly, in all material respects, the financial position of the Company as of June 11, 2019 and the results of its operations and its cash flows for the period from June 7, 2019 (inception) through June 11, 2019,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business plan is dependent on the completion of a financing and the Company's cash and working capital as of June 11, 2019 are not sufficient to complete its planned activities. These conditions raise substantial doubt about the Company's ability to continue as a going concern. Management's plans in regard to these matters are also described in Note 1 and 3 to the financial statements. The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 2019</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2019</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11, 2019</w:t>
            </w:r>
          </w:p>
        </w:tc>
        <w:tc>
          <w:tcPr>
            <w:tcW w:w="0" w:type="dxa"/>
            <w:vAlign w:val="bottom"/>
          </w:tcPr>
          <w:p>
            <w:pPr>
              <w:spacing w:after="0"/>
              <w:rPr>
                <w:sz w:val="1"/>
                <w:szCs w:val="1"/>
                <w:color w:val="auto"/>
              </w:rPr>
            </w:pPr>
          </w:p>
        </w:tc>
      </w:tr>
      <w:tr>
        <w:trPr>
          <w:trHeight w:val="224"/>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i w:val="1"/>
                <w:iCs w:val="1"/>
                <w:color w:val="auto"/>
                <w:w w:val="93"/>
              </w:rPr>
              <w:t>(Unaudited)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i w:val="1"/>
                <w:iCs w:val="1"/>
                <w:color w:val="auto"/>
                <w:w w:val="98"/>
              </w:rPr>
              <w:t>(Audited)</w:t>
            </w:r>
          </w:p>
        </w:tc>
        <w:tc>
          <w:tcPr>
            <w:tcW w:w="0" w:type="dxa"/>
            <w:vAlign w:val="bottom"/>
          </w:tcPr>
          <w:p>
            <w:pPr>
              <w:spacing w:after="0"/>
              <w:rPr>
                <w:sz w:val="1"/>
                <w:szCs w:val="1"/>
                <w:color w:val="auto"/>
              </w:rPr>
            </w:pPr>
          </w:p>
        </w:tc>
      </w:tr>
      <w:tr>
        <w:trPr>
          <w:trHeight w:val="202"/>
        </w:trPr>
        <w:tc>
          <w:tcPr>
            <w:tcW w:w="8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shd w:val="clear" w:color="auto" w:fill="D5EAEA"/>
          </w:tcPr>
          <w:p>
            <w:pPr>
              <w:spacing w:after="0"/>
              <w:rPr>
                <w:sz w:val="20"/>
                <w:szCs w:val="20"/>
                <w:color w:val="auto"/>
              </w:rPr>
            </w:pPr>
            <w:r>
              <w:rPr>
                <w:rFonts w:ascii="Arial" w:cs="Arial" w:eastAsia="Arial" w:hAnsi="Arial"/>
                <w:sz w:val="18"/>
                <w:szCs w:val="18"/>
                <w:color w:val="auto"/>
              </w:rPr>
              <w:t>Deferred offering costs</w:t>
            </w:r>
          </w:p>
        </w:tc>
        <w:tc>
          <w:tcPr>
            <w:tcW w:w="3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315,281</w:t>
            </w:r>
          </w:p>
        </w:tc>
        <w:tc>
          <w:tcPr>
            <w:tcW w:w="2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D5EAEA"/>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315,281</w:t>
            </w:r>
          </w:p>
        </w:tc>
        <w:tc>
          <w:tcPr>
            <w:tcW w:w="100" w:type="dxa"/>
            <w:vAlign w:val="bottom"/>
            <w:tcBorders>
              <w:bottom w:val="single" w:sz="8" w:color="D5EAEA"/>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40" w:type="dxa"/>
            <w:vAlign w:val="bottom"/>
            <w:shd w:val="clear" w:color="auto" w:fill="D5EAEA"/>
          </w:tcPr>
          <w:p>
            <w:pPr>
              <w:spacing w:after="0"/>
              <w:rPr>
                <w:sz w:val="17"/>
                <w:szCs w:val="17"/>
                <w:color w:val="auto"/>
              </w:rPr>
            </w:pPr>
          </w:p>
        </w:tc>
        <w:tc>
          <w:tcPr>
            <w:tcW w:w="1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6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D5EAEA"/>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60"/>
              <w:spacing w:after="0"/>
              <w:rPr>
                <w:sz w:val="20"/>
                <w:szCs w:val="20"/>
                <w:color w:val="auto"/>
              </w:rPr>
            </w:pPr>
            <w:r>
              <w:rPr>
                <w:rFonts w:ascii="Arial" w:cs="Arial" w:eastAsia="Arial" w:hAnsi="Arial"/>
                <w:sz w:val="18"/>
                <w:szCs w:val="18"/>
                <w:color w:val="auto"/>
              </w:rPr>
              <w:t>Accrued offering costs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226,656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Promissory note – related party</w:t>
            </w:r>
          </w:p>
        </w:tc>
        <w:tc>
          <w:tcPr>
            <w:tcW w:w="180" w:type="dxa"/>
            <w:vAlign w:val="bottom"/>
            <w:shd w:val="clear" w:color="auto" w:fill="D5EAEA"/>
          </w:tcPr>
          <w:p>
            <w:pPr>
              <w:spacing w:after="0"/>
              <w:rPr>
                <w:sz w:val="19"/>
                <w:szCs w:val="19"/>
                <w:color w:val="auto"/>
              </w:rPr>
            </w:pPr>
          </w:p>
        </w:tc>
        <w:tc>
          <w:tcPr>
            <w:tcW w:w="120" w:type="dxa"/>
            <w:vAlign w:val="bottom"/>
            <w:tcBorders>
              <w:bottom w:val="single" w:sz="8" w:color="auto"/>
            </w:tcBorders>
            <w:shd w:val="clear" w:color="auto" w:fill="D5EAEA"/>
          </w:tcPr>
          <w:p>
            <w:pPr>
              <w:spacing w:after="0"/>
              <w:rPr>
                <w:sz w:val="19"/>
                <w:szCs w:val="19"/>
                <w:color w:val="auto"/>
              </w:rPr>
            </w:pP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68,625</w:t>
            </w:r>
          </w:p>
        </w:tc>
        <w:tc>
          <w:tcPr>
            <w:tcW w:w="10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9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295,281</w:t>
            </w:r>
          </w:p>
        </w:tc>
        <w:tc>
          <w:tcPr>
            <w:tcW w:w="100" w:type="dxa"/>
            <w:vAlign w:val="bottom"/>
            <w:tcBorders>
              <w:bottom w:val="single" w:sz="8" w:color="D5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D5EAEA"/>
          </w:tcPr>
          <w:p>
            <w:pPr>
              <w:ind w:left="14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Class A ordinary shares, $0.0001 par value; 200,000,000 shares authorized; none issued and outstanding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D5EAEA"/>
          </w:tcPr>
          <w:p>
            <w:pPr>
              <w:ind w:left="140"/>
              <w:spacing w:after="0"/>
              <w:rPr>
                <w:sz w:val="20"/>
                <w:szCs w:val="20"/>
                <w:color w:val="auto"/>
              </w:rPr>
            </w:pPr>
            <w:r>
              <w:rPr>
                <w:rFonts w:ascii="Arial" w:cs="Arial" w:eastAsia="Arial" w:hAnsi="Arial"/>
                <w:sz w:val="18"/>
                <w:szCs w:val="18"/>
                <w:color w:val="auto"/>
                <w:w w:val="90"/>
              </w:rPr>
              <w:t>Class B ordinary shares, $0.0001 par value; 20,000,000 shares authorized; 7,187,500 shares issued and outstanding(1)</w:t>
            </w:r>
          </w:p>
        </w:tc>
        <w:tc>
          <w:tcPr>
            <w:tcW w:w="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shd w:val="clear" w:color="auto" w:fill="D5EAEA"/>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D5EAEA"/>
          </w:tcPr>
          <w:p>
            <w:pPr>
              <w:spacing w:after="0"/>
              <w:rPr>
                <w:sz w:val="19"/>
                <w:szCs w:val="19"/>
                <w:color w:val="auto"/>
              </w:rPr>
            </w:pPr>
          </w:p>
        </w:tc>
        <w:tc>
          <w:tcPr>
            <w:tcW w:w="120" w:type="dxa"/>
            <w:vAlign w:val="bottom"/>
            <w:tcBorders>
              <w:bottom w:val="single" w:sz="8" w:color="auto"/>
            </w:tcBorders>
            <w:shd w:val="clear" w:color="auto" w:fill="D5EAEA"/>
          </w:tcPr>
          <w:p>
            <w:pPr>
              <w:spacing w:after="0"/>
              <w:rPr>
                <w:sz w:val="19"/>
                <w:szCs w:val="19"/>
                <w:color w:val="auto"/>
              </w:rPr>
            </w:pPr>
          </w:p>
        </w:tc>
        <w:tc>
          <w:tcPr>
            <w:tcW w:w="10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9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D5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315,281</w:t>
            </w:r>
          </w:p>
        </w:tc>
        <w:tc>
          <w:tcPr>
            <w:tcW w:w="100" w:type="dxa"/>
            <w:vAlign w:val="bottom"/>
            <w:tcBorders>
              <w:bottom w:val="single" w:sz="8" w:color="D5EAEA"/>
            </w:tcBorders>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0"/>
          <w:szCs w:val="20"/>
          <w:color w:val="auto"/>
        </w:rPr>
      </w:pPr>
    </w:p>
    <w:p>
      <w:pPr>
        <w:ind w:left="340" w:right="240" w:hanging="332"/>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an aggregate of up to 937,500 shares subject to forfeiture if the over-allotment option is not exercised in full or in part by the underwriter (see Note 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1"/>
              </w:rPr>
              <w:t>For the Period from June 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w w:val="97"/>
              </w:rPr>
              <w:t>2019 (Inception) through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June 11,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w w:val="95"/>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w w:val="98"/>
              </w:rPr>
              <w:t>(Audited)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Formation costs</w:t>
            </w:r>
          </w:p>
        </w:tc>
        <w:tc>
          <w:tcPr>
            <w:tcW w:w="25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D5EAEA"/>
          </w:tcPr>
          <w:p>
            <w:pPr>
              <w:spacing w:after="0"/>
              <w:rPr>
                <w:sz w:val="19"/>
                <w:szCs w:val="19"/>
                <w:color w:val="auto"/>
              </w:rPr>
            </w:pPr>
          </w:p>
        </w:tc>
        <w:tc>
          <w:tcPr>
            <w:tcW w:w="160" w:type="dxa"/>
            <w:vAlign w:val="bottom"/>
            <w:gridSpan w:val="2"/>
            <w:shd w:val="clear" w:color="auto" w:fill="D5EAEA"/>
          </w:tcPr>
          <w:p>
            <w:pPr>
              <w:jc w:val="right"/>
              <w:ind w:right="1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Borders>
              <w:bottom w:val="single" w:sz="8" w:color="D5EAEA"/>
            </w:tcBorders>
          </w:tcPr>
          <w:p>
            <w:pPr>
              <w:ind w:left="140"/>
              <w:spacing w:after="0"/>
              <w:rPr>
                <w:sz w:val="20"/>
                <w:szCs w:val="20"/>
                <w:color w:val="auto"/>
              </w:rPr>
            </w:pPr>
            <w:r>
              <w:rPr>
                <w:rFonts w:ascii="Arial" w:cs="Arial" w:eastAsia="Arial" w:hAnsi="Arial"/>
                <w:sz w:val="18"/>
                <w:szCs w:val="18"/>
                <w:b w:val="1"/>
                <w:bCs w:val="1"/>
                <w:color w:val="auto"/>
              </w:rPr>
              <w:t>Net loss</w:t>
            </w:r>
          </w:p>
        </w:tc>
        <w:tc>
          <w:tcPr>
            <w:tcW w:w="2400" w:type="dxa"/>
            <w:vAlign w:val="bottom"/>
            <w:tcBorders>
              <w:bottom w:val="single" w:sz="8" w:color="D5EAEA"/>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D5EAEA"/>
            </w:tcBorders>
          </w:tcPr>
          <w:p>
            <w:pPr>
              <w:spacing w:after="0"/>
              <w:rPr>
                <w:sz w:val="22"/>
                <w:szCs w:val="22"/>
                <w:color w:val="auto"/>
              </w:rPr>
            </w:pPr>
          </w:p>
        </w:tc>
        <w:tc>
          <w:tcPr>
            <w:tcW w:w="20" w:type="dxa"/>
            <w:vAlign w:val="bottom"/>
            <w:tcBorders>
              <w:bottom w:val="single" w:sz="8" w:color="D5EAEA"/>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D5EAEA"/>
          </w:tcPr>
          <w:p>
            <w:pPr>
              <w:spacing w:after="0"/>
              <w:rPr>
                <w:sz w:val="17"/>
                <w:szCs w:val="17"/>
                <w:color w:val="auto"/>
              </w:rPr>
            </w:pPr>
          </w:p>
        </w:tc>
        <w:tc>
          <w:tcPr>
            <w:tcW w:w="24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Weighted average shares outstanding, basic and diluted (1)</w:t>
            </w:r>
          </w:p>
        </w:tc>
        <w:tc>
          <w:tcPr>
            <w:tcW w:w="2400" w:type="dxa"/>
            <w:vAlign w:val="bottom"/>
            <w:tcBorders>
              <w:bottom w:val="single" w:sz="8" w:color="D5EAEA"/>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6,250,000</w:t>
            </w:r>
          </w:p>
        </w:tc>
        <w:tc>
          <w:tcPr>
            <w:tcW w:w="100" w:type="dxa"/>
            <w:vAlign w:val="bottom"/>
            <w:tcBorders>
              <w:bottom w:val="single" w:sz="8" w:color="D5EAEA"/>
            </w:tcBorders>
          </w:tcPr>
          <w:p>
            <w:pPr>
              <w:spacing w:after="0"/>
              <w:rPr>
                <w:sz w:val="24"/>
                <w:szCs w:val="24"/>
                <w:color w:val="auto"/>
              </w:rPr>
            </w:pPr>
          </w:p>
        </w:tc>
        <w:tc>
          <w:tcPr>
            <w:tcW w:w="20" w:type="dxa"/>
            <w:vAlign w:val="bottom"/>
            <w:tcBorders>
              <w:bottom w:val="single" w:sz="8" w:color="D5EAEA"/>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D5EAEA"/>
          </w:tcPr>
          <w:p>
            <w:pPr>
              <w:spacing w:after="0"/>
              <w:rPr>
                <w:sz w:val="17"/>
                <w:szCs w:val="17"/>
                <w:color w:val="auto"/>
              </w:rPr>
            </w:pPr>
          </w:p>
        </w:tc>
        <w:tc>
          <w:tcPr>
            <w:tcW w:w="24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0"/>
          <w:szCs w:val="20"/>
          <w:color w:val="auto"/>
        </w:rPr>
      </w:pPr>
    </w:p>
    <w:p>
      <w:pPr>
        <w:ind w:left="340" w:right="180" w:hanging="332"/>
        <w:spacing w:after="0" w:line="27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Excludes an aggregate of up to 937,500 shares subject to forfeiture if the over-allotment option is not exercised in full or in part by the underwriter (see Note 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280" w:type="dxa"/>
            <w:vAlign w:val="bottom"/>
          </w:tcPr>
          <w:p>
            <w:pPr>
              <w:spacing w:after="0"/>
              <w:rPr>
                <w:sz w:val="20"/>
                <w:szCs w:val="20"/>
                <w:color w:val="auto"/>
              </w:rPr>
            </w:pPr>
          </w:p>
        </w:tc>
        <w:tc>
          <w:tcPr>
            <w:tcW w:w="2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Ordinary 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Paid in</w:t>
            </w:r>
          </w:p>
        </w:tc>
        <w:tc>
          <w:tcPr>
            <w:tcW w:w="12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Shareholder's</w:t>
            </w:r>
          </w:p>
        </w:tc>
      </w:tr>
      <w:tr>
        <w:trPr>
          <w:trHeight w:val="223"/>
        </w:trPr>
        <w:tc>
          <w:tcPr>
            <w:tcW w:w="5280" w:type="dxa"/>
            <w:vAlign w:val="bottom"/>
            <w:tcBorders>
              <w:bottom w:val="single" w:sz="8" w:color="D5EAEA"/>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bottom w:val="single" w:sz="8" w:color="D5EAEA"/>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D5EAEA"/>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Borders>
              <w:bottom w:val="single" w:sz="8" w:color="D5EAEA"/>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100" w:type="dxa"/>
            <w:vAlign w:val="bottom"/>
            <w:tcBorders>
              <w:bottom w:val="single" w:sz="8" w:color="D5EAEA"/>
            </w:tcBorders>
          </w:tcPr>
          <w:p>
            <w:pPr>
              <w:spacing w:after="0"/>
              <w:rPr>
                <w:sz w:val="19"/>
                <w:szCs w:val="19"/>
                <w:color w:val="auto"/>
              </w:rPr>
            </w:pPr>
          </w:p>
        </w:tc>
        <w:tc>
          <w:tcPr>
            <w:tcW w:w="20" w:type="dxa"/>
            <w:vAlign w:val="bottom"/>
            <w:tcBorders>
              <w:bottom w:val="single" w:sz="8" w:color="D5EAEA"/>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Balance – June 7, 2019</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80" w:type="dxa"/>
            <w:vAlign w:val="bottom"/>
            <w:shd w:val="clear" w:color="auto" w:fill="D5EAEA"/>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80" w:type="dxa"/>
            <w:vAlign w:val="bottom"/>
            <w:shd w:val="clear" w:color="auto" w:fill="D5EAEA"/>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80" w:type="dxa"/>
            <w:vAlign w:val="bottom"/>
            <w:shd w:val="clear" w:color="auto" w:fill="D5EAEA"/>
          </w:tcPr>
          <w:p>
            <w:pPr>
              <w:jc w:val="right"/>
              <w:ind w:right="6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Issuance of Class B ordinary shares to Sponsor(1)</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7,187,500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24,281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30"/>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20" w:type="dxa"/>
            <w:vAlign w:val="bottom"/>
            <w:tcBorders>
              <w:bottom w:val="single" w:sz="8" w:color="auto"/>
            </w:tcBorders>
            <w:shd w:val="clear" w:color="auto" w:fill="D5EAEA"/>
          </w:tcPr>
          <w:p>
            <w:pPr>
              <w:spacing w:after="0"/>
              <w:rPr>
                <w:sz w:val="19"/>
                <w:szCs w:val="19"/>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80" w:type="dxa"/>
            <w:vAlign w:val="bottom"/>
            <w:tcBorders>
              <w:bottom w:val="single" w:sz="8" w:color="auto"/>
            </w:tcBorders>
            <w:shd w:val="clear" w:color="auto" w:fill="D5EAEA"/>
          </w:tcPr>
          <w:p>
            <w:pPr>
              <w:spacing w:after="0"/>
              <w:rPr>
                <w:sz w:val="19"/>
                <w:szCs w:val="19"/>
                <w:color w:val="auto"/>
              </w:rPr>
            </w:pPr>
          </w:p>
        </w:tc>
        <w:tc>
          <w:tcPr>
            <w:tcW w:w="9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D5EAEA"/>
          </w:tcPr>
          <w:p>
            <w:pPr>
              <w:spacing w:after="0"/>
              <w:rPr>
                <w:sz w:val="19"/>
                <w:szCs w:val="19"/>
                <w:color w:val="auto"/>
              </w:rPr>
            </w:pPr>
          </w:p>
        </w:tc>
        <w:tc>
          <w:tcPr>
            <w:tcW w:w="20" w:type="dxa"/>
            <w:vAlign w:val="bottom"/>
            <w:shd w:val="clear" w:color="auto" w:fill="D5EAEA"/>
          </w:tcPr>
          <w:p>
            <w:pPr>
              <w:spacing w:after="0"/>
              <w:rPr>
                <w:sz w:val="19"/>
                <w:szCs w:val="19"/>
                <w:color w:val="auto"/>
              </w:rPr>
            </w:pPr>
          </w:p>
        </w:tc>
        <w:tc>
          <w:tcPr>
            <w:tcW w:w="180" w:type="dxa"/>
            <w:vAlign w:val="bottom"/>
            <w:tcBorders>
              <w:bottom w:val="single" w:sz="8" w:color="auto"/>
            </w:tcBorders>
            <w:shd w:val="clear" w:color="auto" w:fill="D5EAEA"/>
          </w:tcPr>
          <w:p>
            <w:pPr>
              <w:spacing w:after="0"/>
              <w:rPr>
                <w:sz w:val="19"/>
                <w:szCs w:val="19"/>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r>
      <w:tr>
        <w:trPr>
          <w:trHeight w:val="210"/>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 June 11, 2019 (audited)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7,187,500</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24,281</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30"/>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80" w:type="dxa"/>
            <w:vAlign w:val="bottom"/>
            <w:shd w:val="clear" w:color="auto" w:fill="D5EAEA"/>
          </w:tcPr>
          <w:p>
            <w:pPr>
              <w:spacing w:after="0"/>
              <w:rPr>
                <w:sz w:val="19"/>
                <w:szCs w:val="19"/>
                <w:color w:val="auto"/>
              </w:rPr>
            </w:pPr>
          </w:p>
        </w:tc>
        <w:tc>
          <w:tcPr>
            <w:tcW w:w="9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80" w:type="dxa"/>
            <w:vAlign w:val="bottom"/>
            <w:shd w:val="clear" w:color="auto" w:fill="D5EAEA"/>
          </w:tcPr>
          <w:p>
            <w:pPr>
              <w:spacing w:after="0"/>
              <w:rPr>
                <w:sz w:val="19"/>
                <w:szCs w:val="19"/>
                <w:color w:val="auto"/>
              </w:rPr>
            </w:pPr>
          </w:p>
        </w:tc>
        <w:tc>
          <w:tcPr>
            <w:tcW w:w="10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D5EAEA"/>
          </w:tcPr>
          <w:p>
            <w:pPr>
              <w:spacing w:after="0"/>
              <w:rPr>
                <w:sz w:val="19"/>
                <w:szCs w:val="19"/>
                <w:color w:val="auto"/>
              </w:rPr>
            </w:pPr>
          </w:p>
        </w:tc>
        <w:tc>
          <w:tcPr>
            <w:tcW w:w="180" w:type="dxa"/>
            <w:vAlign w:val="bottom"/>
            <w:shd w:val="clear" w:color="auto" w:fill="D5EAEA"/>
          </w:tcPr>
          <w:p>
            <w:pPr>
              <w:spacing w:after="0"/>
              <w:rPr>
                <w:sz w:val="19"/>
                <w:szCs w:val="19"/>
                <w:color w:val="auto"/>
              </w:rPr>
            </w:pP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 June 30, 2019 (unaudited)</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7,187,500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24,281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r>
      <w:tr>
        <w:trPr>
          <w:trHeight w:val="20"/>
        </w:trPr>
        <w:tc>
          <w:tcPr>
            <w:tcW w:w="5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0"/>
          <w:szCs w:val="20"/>
          <w:color w:val="auto"/>
        </w:rPr>
      </w:pPr>
    </w:p>
    <w:p>
      <w:pPr>
        <w:ind w:left="340" w:right="240" w:hanging="332"/>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an aggregate of up to 937,500 shares subject to forfeiture if the over-allotment option is not exercised in full or in part by the underwriter (see Note 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00" w:lineRule="exact"/>
        <w:rPr>
          <w:sz w:val="20"/>
          <w:szCs w:val="20"/>
          <w:color w:val="auto"/>
        </w:rPr>
      </w:pPr>
    </w:p>
    <w:p>
      <w:pPr>
        <w:spacing w:after="0" w:line="223" w:lineRule="exact"/>
        <w:rPr>
          <w:sz w:val="20"/>
          <w:szCs w:val="20"/>
          <w:color w:val="auto"/>
        </w:rPr>
      </w:pPr>
    </w:p>
    <w:p>
      <w:pPr>
        <w:jc w:val="center"/>
        <w:ind w:left="9040"/>
        <w:spacing w:after="0"/>
        <w:rPr>
          <w:sz w:val="20"/>
          <w:szCs w:val="20"/>
          <w:color w:val="auto"/>
        </w:rPr>
      </w:pPr>
      <w:r>
        <w:rPr>
          <w:rFonts w:ascii="Arial" w:cs="Arial" w:eastAsia="Arial" w:hAnsi="Arial"/>
          <w:sz w:val="16"/>
          <w:szCs w:val="16"/>
          <w:b w:val="1"/>
          <w:bCs w:val="1"/>
          <w:color w:val="auto"/>
        </w:rPr>
        <w:t>For the Period from June 7,</w:t>
      </w:r>
    </w:p>
    <w:p>
      <w:pPr>
        <w:spacing w:after="0" w:line="50"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2019 (Inception) through</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Proceeds from promissory note – related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2019</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11, 2019</w:t>
            </w:r>
          </w:p>
        </w:tc>
      </w:tr>
      <w:tr>
        <w:trPr>
          <w:trHeight w:val="224"/>
        </w:trPr>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i w:val="1"/>
                <w:iCs w:val="1"/>
                <w:color w:val="auto"/>
                <w:w w:val="93"/>
              </w:rPr>
              <w:t>(Unaudited)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w w:val="98"/>
              </w:rPr>
              <w:t>(Audited0</w:t>
            </w:r>
          </w:p>
        </w:tc>
      </w:tr>
      <w:tr>
        <w:trPr>
          <w:trHeight w:val="43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0"/>
        </w:trPr>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w:t>
            </w:r>
          </w:p>
        </w:tc>
      </w:tr>
      <w:tr>
        <w:trPr>
          <w:trHeight w:val="425"/>
        </w:trPr>
        <w:tc>
          <w:tcPr>
            <w:tcW w:w="1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68,625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12,500</w:t>
            </w:r>
          </w:p>
        </w:tc>
      </w:tr>
      <w:tr>
        <w:trPr>
          <w:trHeight w:val="230"/>
        </w:trPr>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w:t>
            </w:r>
          </w:p>
        </w:tc>
      </w:tr>
    </w:tbl>
    <w:p>
      <w:pPr>
        <w:spacing w:after="0" w:line="1" w:lineRule="exact"/>
        <w:rPr>
          <w:sz w:val="20"/>
          <w:szCs w:val="20"/>
          <w:color w:val="auto"/>
        </w:rPr>
      </w:pPr>
    </w:p>
    <w:p>
      <w:pPr>
        <w:sectPr>
          <w:pgSz w:w="11900" w:h="16838" w:orient="portrait"/>
          <w:cols w:equalWidth="0" w:num="2">
            <w:col w:w="8320" w:space="720"/>
            <w:col w:w="238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420" w:type="dxa"/>
            <w:vAlign w:val="bottom"/>
            <w:tcBorders>
              <w:bottom w:val="single" w:sz="8" w:color="D5EAEA"/>
            </w:tcBorders>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620" w:type="dxa"/>
            <w:vAlign w:val="bottom"/>
            <w:tcBorders>
              <w:bottom w:val="single" w:sz="8" w:color="D5EAEA"/>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0"/>
        </w:trPr>
        <w:tc>
          <w:tcPr>
            <w:tcW w:w="84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Change in Cash</w:t>
            </w:r>
          </w:p>
        </w:tc>
        <w:tc>
          <w:tcPr>
            <w:tcW w:w="6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8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8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Cash at the beginning of the period</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Cash at the end of the period</w:t>
            </w:r>
          </w:p>
        </w:tc>
        <w:tc>
          <w:tcPr>
            <w:tcW w:w="620" w:type="dxa"/>
            <w:vAlign w:val="bottom"/>
            <w:tcBorders>
              <w:top w:val="single" w:sz="8" w:color="D5EAEA"/>
              <w:bottom w:val="single" w:sz="8" w:color="D5EAEA"/>
            </w:tcBorders>
            <w:shd w:val="clear" w:color="auto" w:fill="D5EAEA"/>
          </w:tcPr>
          <w:p>
            <w:pPr>
              <w:spacing w:after="0"/>
              <w:rPr>
                <w:sz w:val="19"/>
                <w:szCs w:val="19"/>
                <w:color w:val="auto"/>
              </w:rPr>
            </w:pPr>
          </w:p>
        </w:tc>
        <w:tc>
          <w:tcPr>
            <w:tcW w:w="280" w:type="dxa"/>
            <w:vAlign w:val="bottom"/>
            <w:tcBorders>
              <w:top w:val="single" w:sz="8" w:color="auto"/>
              <w:bottom w:val="single" w:sz="8" w:color="auto"/>
            </w:tcBorders>
            <w:shd w:val="clear" w:color="auto" w:fill="D5EAEA"/>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0" w:type="dxa"/>
            <w:vAlign w:val="bottom"/>
            <w:tcBorders>
              <w:top w:val="single" w:sz="8" w:color="D5EAEA"/>
              <w:bottom w:val="single" w:sz="8" w:color="D5EAEA"/>
            </w:tcBorders>
            <w:shd w:val="clear" w:color="auto" w:fill="D5EAEA"/>
          </w:tcPr>
          <w:p>
            <w:pPr>
              <w:spacing w:after="0"/>
              <w:rPr>
                <w:sz w:val="19"/>
                <w:szCs w:val="19"/>
                <w:color w:val="auto"/>
              </w:rPr>
            </w:pPr>
          </w:p>
        </w:tc>
        <w:tc>
          <w:tcPr>
            <w:tcW w:w="280" w:type="dxa"/>
            <w:vAlign w:val="bottom"/>
            <w:tcBorders>
              <w:top w:val="single" w:sz="8" w:color="auto"/>
              <w:bottom w:val="single" w:sz="8" w:color="auto"/>
            </w:tcBorders>
            <w:shd w:val="clear" w:color="auto" w:fill="D5EAEA"/>
          </w:tcPr>
          <w:p>
            <w:pPr>
              <w:jc w:val="right"/>
              <w:ind w:right="1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20" w:type="dxa"/>
            <w:vAlign w:val="bottom"/>
            <w:shd w:val="clear" w:color="auto" w:fill="D5EAEA"/>
          </w:tcPr>
          <w:p>
            <w:pPr>
              <w:spacing w:after="0"/>
              <w:rPr>
                <w:sz w:val="20"/>
                <w:szCs w:val="20"/>
                <w:color w:val="auto"/>
              </w:rPr>
            </w:pPr>
            <w:r>
              <w:rPr>
                <w:rFonts w:ascii="Arial" w:cs="Arial" w:eastAsia="Arial" w:hAnsi="Arial"/>
                <w:sz w:val="18"/>
                <w:szCs w:val="18"/>
                <w:color w:val="auto"/>
              </w:rPr>
              <w:t>Offering costs included in accrued offering costs</w:t>
            </w:r>
          </w:p>
        </w:tc>
        <w:tc>
          <w:tcPr>
            <w:tcW w:w="90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226,656</w:t>
            </w:r>
          </w:p>
        </w:tc>
        <w:tc>
          <w:tcPr>
            <w:tcW w:w="100" w:type="dxa"/>
            <w:vAlign w:val="bottom"/>
            <w:shd w:val="clear" w:color="auto" w:fill="D5EAEA"/>
          </w:tcPr>
          <w:p>
            <w:pPr>
              <w:spacing w:after="0"/>
              <w:rPr>
                <w:sz w:val="21"/>
                <w:szCs w:val="21"/>
                <w:color w:val="auto"/>
              </w:rPr>
            </w:pPr>
          </w:p>
        </w:tc>
        <w:tc>
          <w:tcPr>
            <w:tcW w:w="300" w:type="dxa"/>
            <w:vAlign w:val="bottom"/>
            <w:gridSpan w:val="2"/>
            <w:shd w:val="clear" w:color="auto" w:fill="D5EAEA"/>
          </w:tcPr>
          <w:p>
            <w:pPr>
              <w:jc w:val="right"/>
              <w:ind w:right="17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20" w:type="dxa"/>
            <w:vAlign w:val="bottom"/>
            <w:tcBorders>
              <w:top w:val="single" w:sz="8" w:color="D5EAEA"/>
              <w:bottom w:val="single" w:sz="8" w:color="D5EAEA"/>
            </w:tcBorders>
            <w:vMerge w:val="restart"/>
          </w:tcPr>
          <w:p>
            <w:pPr>
              <w:spacing w:after="0"/>
              <w:rPr>
                <w:sz w:val="20"/>
                <w:szCs w:val="20"/>
                <w:color w:val="auto"/>
              </w:rPr>
            </w:pPr>
            <w:r>
              <w:rPr>
                <w:rFonts w:ascii="Arial" w:cs="Arial" w:eastAsia="Arial" w:hAnsi="Arial"/>
                <w:sz w:val="18"/>
                <w:szCs w:val="18"/>
                <w:color w:val="auto"/>
                <w:w w:val="97"/>
              </w:rPr>
              <w:t>Deferred offering costs paid directly by Sponsor from proceeds from issuance of ordinary shares to Sponsor</w:t>
            </w:r>
          </w:p>
        </w:tc>
        <w:tc>
          <w:tcPr>
            <w:tcW w:w="620" w:type="dxa"/>
            <w:vAlign w:val="bottom"/>
            <w:tcBorders>
              <w:top w:val="single" w:sz="8" w:color="D5EAEA"/>
              <w:bottom w:val="single" w:sz="8" w:color="D5EAEA"/>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20" w:type="dxa"/>
            <w:vAlign w:val="bottom"/>
            <w:tcBorders>
              <w:top w:val="single" w:sz="8" w:color="D5EAEA"/>
              <w:bottom w:val="single" w:sz="8" w:color="D5EAEA"/>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25,000</w:t>
            </w:r>
          </w:p>
        </w:tc>
        <w:tc>
          <w:tcPr>
            <w:tcW w:w="1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plan of business operations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Silver Spike Acquisition Corp. (the “Company”) is a newly organized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18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June 30, 2019, the Company had not commenced any operations. All activity for the period from June 7, 2019 (inception) through June 30, 2019 relates to the Company's formation and the proposed initial public offering (“Proposed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Offering of 25,000,000 units (the “Units” and, with respect to the Class A ordinary shares included in the Units being offered, the “Public Shares”) at $10.00 per unit (or 28,750,000 Units if the underwriter’s over-allotment option is exercised in full), which is discussed in Note 3 and the sale of 7,000,000 warrants (or 7,750,000 warrants if the underwriter’s over-allotment option is exercised on full) (the “Private Placement Warrants”) at a price of $1.00 per Private Placement Warrant in a private placement to the Company’s sponsor, Silver Spike Sponsor, LLC (the “Sponsor”), that will close simultaneously with the Proposed Offering.</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(as defined below)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Offering, management has agreed that $10.00 per Unit sold in the Proposed Offering, including proceeds of the sale of the Private Placement Warrants, will be held in a trust account (“Trust Account”) and invested in U.S. government securities, within the meaning set forth in Section 2(a)(16) of the Investment Company Act, with a maturity of 180 days or less, or in any open-ended investment company that holds itself out as a money market fund meeting the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released to the Company to pay its tax obligations. The per-share amount to be distributed to shareholders who redeem their shares will not be reduced by the deferred underwriting commissions the Company will pay to the underwriter (as discussed in Note 7). There will be no redemption rights upon the completion of a Business Combination with respect to the Company’s warrants. The Class A ordinary shares will be recorded at redemption value and classified as temporary equity upon the completion of the Proposed Offering, in accordance with Accounting Standards Codification (“ASC”) Topic 480 “Distinguishing Liabilities from Equity.” 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and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Proposed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24 months from the closing of the Public Offering or (ii) with respect to any other provision relating to shareholders’ rights or pre-initial business combination activity, unless the Company provides the public stockholders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Proposed Offering if the Company fails to complete its Business Combination.</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will have until 24 months from the closing of the Proposed Offering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 has agreed to waive its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the Public Shares. In the event of such distribution, it is possible that the per share value of the assets remaining available for distribution will be less than the Proposed Offering price per Unit ($10.00).</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 of the Proposed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At June 30, 2019, the Company had no cash and a working capital deficiency of $295,281.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Offering as discussed in Note 3. There is no assurance that the Company’s plans to raise capital or to consummate a Business Combination will be successful or successful within the Combination Period. The Sponsor has agreed to loan the Company up to an aggregate amount of $250,000 to be used, in part, for transaction costs incurred in connection with the Proposed Offering (the “Promissory Note”). As of June 30, 2019, $68,625 was outstanding under the Promissory Note (see Note 5).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accompanying financial statements are presented in U.S. Dollars and conformity with accounting principles generally accepted in the United States of America (“GAAP”) and pursuant to the rules and regulations of the SEC.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the accompanying unaudited financial statements include all adjustments, consisting of a normal recurring nature, which are necessary for a fair presentation of the financial position, operating results and cash flows for the period presented. The interim results for the period from June 7, 2019 (inception) through June 30, 2019 are not necessarily indicative of the results to be expected for the year ending December 31, 2019 or for any future interim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2019 and June 11,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Deferred offering costs consist of underwriting, legal, accounting and other expenses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incurred, will be charged to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010C03"/>
        </w:rPr>
        <w:t xml:space="preserve">The Company </w:t>
      </w:r>
      <w:r>
        <w:rPr>
          <w:rFonts w:ascii="Arial" w:cs="Arial" w:eastAsia="Arial" w:hAnsi="Arial"/>
          <w:sz w:val="18"/>
          <w:szCs w:val="18"/>
          <w:color w:val="000000"/>
        </w:rPr>
        <w:t>accounts for income taxes under ASC 740, “Income Taxes” (“ASC 740”). ASC 740 requires the recognition of deferred tax assets and</w:t>
      </w:r>
      <w:r>
        <w:rPr>
          <w:rFonts w:ascii="Arial" w:cs="Arial" w:eastAsia="Arial" w:hAnsi="Arial"/>
          <w:sz w:val="18"/>
          <w:szCs w:val="18"/>
          <w:color w:val="010C03"/>
        </w:rPr>
        <w:t xml:space="preserve"> </w:t>
      </w:r>
      <w:r>
        <w:rPr>
          <w:rFonts w:ascii="Arial" w:cs="Arial" w:eastAsia="Arial" w:hAnsi="Arial"/>
          <w:sz w:val="18"/>
          <w:szCs w:val="18"/>
          <w:color w:val="000000"/>
        </w:rPr>
        <w:t>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June 30, 2019 and June 11,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loss per share is computed by dividing net loss by the weighted average number of ordinary shares outstanding during the period, excluding ordinary shares subject to forfeiture. Weighted average shares were reduced for the effect of an aggregate of 937,500 ordinary shares that are subject to forfeiture if the over-allotment option is not exercised by the underwriter (see Note 6). At June 30, 2019 and June 11, 2019, the Company did not have any dilutive securities and other contracts that could, potentially, be exercised or converted into ordinary shares and then share in the earnings of the Company. As a result, diluted loss per share is the same as basic loss per share for the periods presented.</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Proposed Offering, the Company will offer for sale up to 25,000,000 Units (or 28,750,000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has committed to purchase an aggregate of 7,000,000 Private Placement Warrants (or 7,750,000 Private Placement Warrants if the underwriter’s over-allotment is exercised in full) at a price of $1.00 per Private Placement Warrant from the Company in a private placement that will occur simultaneously with the closing of the Proposed Offering. The proceeds from the sale of the Private Placement Warrants will be added to the net proceeds from the Proposed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Founder Shares include an aggregate of up to 937,500 shares subject to forfeiture by the Sponsor to the extent that the underwriter’s over-allotment is not exercised in full or in part, so that the number of Founder Shares will collectively represent 20% of the Company’s issued and outstanding shares upon the completion of the Proposed Offering.</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10, 2019, the Company issued an unsecured promissory note to the Sponsor, pursuant to which the Company may borrow up to an aggregate principal amount of $250,000, of which $68,625 and $12,500 was outstanding under the Promissory Note as of June 30, 2019 and June 11, 2019, respectively. The note is non-interest bearing and payable on the earlier of (i) January 31, 2020 and (ii) the completion of the Proposed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 Agreement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enter into an agreement pursuant to which it will pay the Sponsor up to $20,000 per month for office space, administrative and support services. Upon completion of a Business Combination or its liquidation, the Company will cease paying these monthly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the Proposed Offering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grant the underwriter a 45-day option to purchase up to 3,750,000 additional Units to cover over-allotments at the Proposed Offering price, less the underwriting discounts and commissions.</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underwriter will be entitled to a cash underwriting discount of $0.20 per Unit, or $5,000,000 in the aggregate (or $5,750,000 in the aggregate if the underwriter’s over-allotment option is exercised in full), payable upon the closing of the Proposed Offering. In addition, the underwriter will be entitled to a deferred fee of $0.35 per Unit, or $8,750,000 in the aggregate (or $10,062,500 in the aggregate if the underwriter’s over-allotment option is exercised</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full). The deferred fee will become payable to the underwriter from the amounts held in the Trust Account solely in the event that the Company completes a Business Combination, subject to the terms of the underwriting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Preferred Shares </w:t>
      </w:r>
      <w:r>
        <w:rPr>
          <w:rFonts w:ascii="Arial" w:cs="Arial" w:eastAsia="Arial" w:hAnsi="Arial"/>
          <w:sz w:val="17"/>
          <w:szCs w:val="17"/>
          <w:color w:val="auto"/>
        </w:rPr>
        <w:t>— The Company is authorized to issue 1,000,000 preference shares with a par value of $0.0001. The Company's board of directors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June 30, 2019 and June 11, 2019, there were no preference shares issued or outstanding.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200,000,000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are entitled to one vote for each share. At June 30, 2019 and June 11, 2019, there were no Class A ordinary shares issued or outstanding.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 per share. Holders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B ordinary shares are entitled to one vote for each share. At June 30, 2019 and June 11, 2019, there were 7,187,500 Class B ordinary shares issued and outstanding, of which an aggregate of up to 937,500 shares are subject to forfeiture to the extent that the underwriter’s over-allotment option is not exercised in full or in part so that the Sponsor will own 20% of the Company’s issued and outstanding ordinary shares after the Proposed Offering (assuming the Sponsor does not purchase any Public Shares in the Proposed Offering).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Proposed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Proposed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Warrants — </w:t>
      </w:r>
      <w:r>
        <w:rPr>
          <w:rFonts w:ascii="Arial" w:cs="Arial" w:eastAsia="Arial" w:hAnsi="Arial"/>
          <w:sz w:val="18"/>
          <w:szCs w:val="18"/>
          <w:color w:val="auto"/>
        </w:rPr>
        <w:t>Public Warrants may only be exercised for a whole number of shares. No fractional shares will be issued upon exercise of the Public Warrants.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Public Warrants will become exercisable on the later of (a) 30 days after the completion of a Business Combination and (b) 12 months from the closing of the Proposed Offering. The Public Warrants will expire five years from the completion of a Business Combination or earlier upon redemption or liquidation.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redeem the Public Warrants for redemption:</w:t>
      </w:r>
    </w:p>
    <w:p>
      <w:pPr>
        <w:spacing w:after="0" w:line="225" w:lineRule="exact"/>
        <w:rPr>
          <w:sz w:val="20"/>
          <w:szCs w:val="20"/>
          <w:color w:val="auto"/>
        </w:rPr>
      </w:pPr>
    </w:p>
    <w:p>
      <w:pPr>
        <w:ind w:left="540" w:hanging="262"/>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540" w:hanging="262"/>
        <w:spacing w:after="0" w:line="264"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79"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010C03"/>
        </w:rPr>
        <w:t xml:space="preserve">In addition, if (x) </w:t>
      </w:r>
      <w:r>
        <w:rPr>
          <w:rFonts w:ascii="Arial" w:cs="Arial" w:eastAsia="Arial" w:hAnsi="Arial"/>
          <w:sz w:val="16"/>
          <w:szCs w:val="16"/>
          <w:color w:val="000000"/>
        </w:rPr>
        <w:t>the Company issues additional Class A ordinary shares or equity-linked securities for capital raising purposes in connection with the</w:t>
      </w:r>
      <w:r>
        <w:rPr>
          <w:rFonts w:ascii="Arial" w:cs="Arial" w:eastAsia="Arial" w:hAnsi="Arial"/>
          <w:sz w:val="16"/>
          <w:szCs w:val="16"/>
          <w:color w:val="010C03"/>
        </w:rPr>
        <w:t xml:space="preserve"> </w:t>
      </w:r>
      <w:r>
        <w:rPr>
          <w:rFonts w:ascii="Arial" w:cs="Arial" w:eastAsia="Arial" w:hAnsi="Arial"/>
          <w:sz w:val="16"/>
          <w:szCs w:val="16"/>
          <w:color w:val="000000"/>
        </w:rPr>
        <w:t>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Private Placement Warrants will be identical to the Public Warrants underlying the Units being sold in the Proposed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0" w:name="page181"/>
    <w:bookmarkEnd w:id="180"/>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25,000,000 Units</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265430</wp:posOffset>
            </wp:positionV>
            <wp:extent cx="14490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PRELIMINARY PROSPECTUS</w:t>
      </w:r>
    </w:p>
    <w:p>
      <w:pPr>
        <w:spacing w:after="0" w:line="22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48895</wp:posOffset>
            </wp:positionV>
            <wp:extent cx="14490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000"/>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972820</wp:posOffset>
            </wp:positionV>
            <wp:extent cx="72466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1247140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type w:val="continuous"/>
        </w:sectPr>
      </w:pPr>
    </w:p>
    <w:bookmarkStart w:id="181" w:name="page182"/>
    <w:bookmarkEnd w:id="181"/>
    <w:p>
      <w:pPr>
        <w:ind w:left="324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discounts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380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400,000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8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42,500</w:t>
            </w:r>
          </w:p>
        </w:tc>
      </w:tr>
      <w:tr>
        <w:trPr>
          <w:trHeight w:val="216"/>
        </w:trPr>
        <w:tc>
          <w:tcPr>
            <w:tcW w:w="6520" w:type="dxa"/>
            <w:vAlign w:val="bottom"/>
            <w:shd w:val="clear" w:color="auto" w:fill="D5EAEA"/>
          </w:tcPr>
          <w:p>
            <w:pPr>
              <w:spacing w:after="0"/>
              <w:rPr>
                <w:sz w:val="20"/>
                <w:szCs w:val="20"/>
                <w:color w:val="auto"/>
              </w:rPr>
            </w:pPr>
            <w:r>
              <w:rPr>
                <w:rFonts w:ascii="Arial" w:cs="Arial" w:eastAsia="Arial" w:hAnsi="Arial"/>
                <w:sz w:val="18"/>
                <w:szCs w:val="18"/>
                <w:color w:val="auto"/>
              </w:rPr>
              <w:t>SEC expenses</w:t>
            </w:r>
          </w:p>
        </w:tc>
        <w:tc>
          <w:tcPr>
            <w:tcW w:w="380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34,845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FINRA expenses</w:t>
            </w:r>
          </w:p>
        </w:tc>
        <w:tc>
          <w:tcPr>
            <w:tcW w:w="38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43,625</w:t>
            </w:r>
          </w:p>
        </w:tc>
      </w:tr>
      <w:tr>
        <w:trPr>
          <w:trHeight w:val="216"/>
        </w:trPr>
        <w:tc>
          <w:tcPr>
            <w:tcW w:w="6520" w:type="dxa"/>
            <w:vAlign w:val="bottom"/>
            <w:shd w:val="clear" w:color="auto" w:fill="D5EAEA"/>
          </w:tcPr>
          <w:p>
            <w:pPr>
              <w:spacing w:after="0"/>
              <w:rPr>
                <w:sz w:val="20"/>
                <w:szCs w:val="20"/>
                <w:color w:val="auto"/>
              </w:rPr>
            </w:pPr>
            <w:r>
              <w:rPr>
                <w:rFonts w:ascii="Arial" w:cs="Arial" w:eastAsia="Arial" w:hAnsi="Arial"/>
                <w:sz w:val="18"/>
                <w:szCs w:val="18"/>
                <w:color w:val="auto"/>
              </w:rPr>
              <w:t>Travel and road show</w:t>
            </w:r>
          </w:p>
        </w:tc>
        <w:tc>
          <w:tcPr>
            <w:tcW w:w="380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40,000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38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100,000</w:t>
            </w:r>
          </w:p>
        </w:tc>
      </w:tr>
      <w:tr>
        <w:trPr>
          <w:trHeight w:val="216"/>
        </w:trPr>
        <w:tc>
          <w:tcPr>
            <w:tcW w:w="6520" w:type="dxa"/>
            <w:vAlign w:val="bottom"/>
            <w:shd w:val="clear" w:color="auto" w:fill="D5EAEA"/>
          </w:tcPr>
          <w:p>
            <w:pPr>
              <w:spacing w:after="0"/>
              <w:rPr>
                <w:sz w:val="20"/>
                <w:szCs w:val="20"/>
                <w:color w:val="auto"/>
              </w:rPr>
            </w:pPr>
            <w:r>
              <w:rPr>
                <w:rFonts w:ascii="Arial" w:cs="Arial" w:eastAsia="Arial" w:hAnsi="Arial"/>
                <w:sz w:val="18"/>
                <w:szCs w:val="18"/>
                <w:color w:val="auto"/>
              </w:rPr>
              <w:t>Nasdaq listing and filing fees</w:t>
            </w:r>
          </w:p>
        </w:tc>
        <w:tc>
          <w:tcPr>
            <w:tcW w:w="380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75,000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8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6520" w:type="dxa"/>
            <w:vAlign w:val="bottom"/>
            <w:shd w:val="clear" w:color="auto" w:fill="D5EAEA"/>
          </w:tcPr>
          <w:p>
            <w:pPr>
              <w:spacing w:after="0"/>
              <w:rPr>
                <w:sz w:val="20"/>
                <w:szCs w:val="20"/>
                <w:color w:val="auto"/>
              </w:rPr>
            </w:pPr>
            <w:r>
              <w:rPr>
                <w:rFonts w:ascii="Arial" w:cs="Arial" w:eastAsia="Arial" w:hAnsi="Arial"/>
                <w:sz w:val="18"/>
                <w:szCs w:val="18"/>
                <w:color w:val="auto"/>
              </w:rPr>
              <w:t>Miscellaneous expenses</w:t>
            </w:r>
          </w:p>
        </w:tc>
        <w:tc>
          <w:tcPr>
            <w:tcW w:w="380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244,040</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38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w:t>
      </w:r>
    </w:p>
    <w:p>
      <w:pPr>
        <w:spacing w:after="0" w:line="17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provisions and the insurance are necessary to attract and retain talented and experienced officers and directors.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June 11, 2019, Silver Spike Sponsor, LLC, our sponsor, subscribed for an aggregate of 7,187,500 founder shares, for an aggregate offering price of</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$25,000 at an average purchase price of $0.004 per share (assuming the over-allotment option is not exercised and the forfeiture by our sponsor of 937,500 founder shares). The number of founder shares issued was determined based on the expectation that the founder shares would represent 20% of the issued and outstanding ordinary shares upon completion of this offering. Such securities were issued in connection with our incorporation pursuant to the exemption from registration contained in Section 4(a)(2) of the Securities Act. Our sponsor is an accredited investor for purposes of Rule 501 of Regulation D.</w:t>
      </w:r>
    </w:p>
    <w:p>
      <w:pPr>
        <w:spacing w:after="0" w:line="1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our sponsor has committed, pursuant to a written agreement, to purchase from us an aggregate of 7,000,000 (or 7,750,000 if the underwriter’s over-allotment option is exercised in full) private placement warrants at $1.00 per warrant (for an aggregate purchase price of $7,000,000 or $7,750,000 if the underwriter’s over-allotment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62" w:lineRule="exact"/>
        <w:rPr>
          <w:sz w:val="20"/>
          <w:szCs w:val="20"/>
          <w:color w:val="auto"/>
        </w:rPr>
      </w:pPr>
    </w:p>
    <w:p>
      <w:pPr>
        <w:ind w:left="80"/>
        <w:spacing w:after="0"/>
        <w:tabs>
          <w:tab w:leader="none" w:pos="58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17145</wp:posOffset>
            </wp:positionV>
            <wp:extent cx="63976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88"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u w:val="single" w:color="auto"/>
          <w:color w:val="0000EE"/>
        </w:rPr>
        <w:t>1.1</w:t>
      </w:r>
      <w:r>
        <w:rPr>
          <w:sz w:val="20"/>
          <w:szCs w:val="20"/>
          <w:color w:val="auto"/>
        </w:rPr>
        <w:tab/>
      </w:r>
      <w:r>
        <w:rPr>
          <w:rFonts w:ascii="Arial" w:cs="Arial" w:eastAsia="Arial" w:hAnsi="Arial"/>
          <w:sz w:val="16"/>
          <w:szCs w:val="16"/>
          <w:u w:val="single" w:color="auto"/>
          <w:color w:val="0000EE"/>
        </w:rPr>
        <w:t>Form of Underwriting Agreement</w:t>
      </w:r>
    </w:p>
    <w:p>
      <w:pPr>
        <w:spacing w:after="0" w:line="90" w:lineRule="exact"/>
        <w:rPr>
          <w:sz w:val="20"/>
          <w:szCs w:val="20"/>
          <w:color w:val="auto"/>
        </w:rPr>
      </w:pPr>
    </w:p>
    <w:p>
      <w:pPr>
        <w:ind w:left="780"/>
        <w:spacing w:after="0"/>
        <w:tabs>
          <w:tab w:leader="none" w:pos="1280" w:val="left"/>
        </w:tabs>
        <w:rPr>
          <w:rFonts w:ascii="Arial" w:cs="Arial" w:eastAsia="Arial" w:hAnsi="Arial"/>
          <w:sz w:val="16"/>
          <w:szCs w:val="16"/>
          <w:u w:val="single" w:color="auto"/>
          <w:color w:val="0000EE"/>
        </w:rPr>
      </w:pPr>
      <w:hyperlink r:id="rId252">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r:id="rId252">
        <w:r>
          <w:rPr>
            <w:rFonts w:ascii="Arial" w:cs="Arial" w:eastAsia="Arial" w:hAnsi="Arial"/>
            <w:sz w:val="16"/>
            <w:szCs w:val="16"/>
            <w:u w:val="single" w:color="auto"/>
            <w:color w:val="0000EE"/>
          </w:rPr>
          <w:t>Memorandum and Articles of Association*</w:t>
        </w:r>
      </w:hyperlink>
    </w:p>
    <w:p>
      <w:pPr>
        <w:spacing w:after="0" w:line="90"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u w:val="single" w:color="auto"/>
          <w:color w:val="0000EE"/>
        </w:rPr>
        <w:t>3.2</w:t>
      </w:r>
      <w:r>
        <w:rPr>
          <w:sz w:val="20"/>
          <w:szCs w:val="20"/>
          <w:color w:val="auto"/>
        </w:rPr>
        <w:tab/>
      </w:r>
      <w:r>
        <w:rPr>
          <w:rFonts w:ascii="Arial" w:cs="Arial" w:eastAsia="Arial" w:hAnsi="Arial"/>
          <w:sz w:val="16"/>
          <w:szCs w:val="16"/>
          <w:u w:val="single" w:color="auto"/>
          <w:color w:val="0000EE"/>
        </w:rPr>
        <w:t>Form of Amended and Restated Memorandum and Articles of Association</w:t>
      </w:r>
    </w:p>
    <w:p>
      <w:pPr>
        <w:spacing w:after="0" w:line="90"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u w:val="single" w:color="auto"/>
          <w:color w:val="0000EE"/>
        </w:rPr>
        <w:t>4.1</w:t>
      </w:r>
      <w:r>
        <w:rPr>
          <w:sz w:val="20"/>
          <w:szCs w:val="20"/>
          <w:color w:val="auto"/>
        </w:rPr>
        <w:tab/>
      </w:r>
      <w:r>
        <w:rPr>
          <w:rFonts w:ascii="Arial" w:cs="Arial" w:eastAsia="Arial" w:hAnsi="Arial"/>
          <w:sz w:val="16"/>
          <w:szCs w:val="16"/>
          <w:u w:val="single" w:color="auto"/>
          <w:color w:val="0000EE"/>
        </w:rPr>
        <w:t>Specimen Unit Certificate</w:t>
      </w:r>
    </w:p>
    <w:p>
      <w:pPr>
        <w:spacing w:after="0" w:line="90"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u w:val="single" w:color="auto"/>
          <w:color w:val="0000EE"/>
        </w:rPr>
        <w:t>4.2</w:t>
      </w:r>
      <w:r>
        <w:rPr>
          <w:sz w:val="20"/>
          <w:szCs w:val="20"/>
          <w:color w:val="auto"/>
        </w:rPr>
        <w:tab/>
      </w:r>
      <w:r>
        <w:rPr>
          <w:rFonts w:ascii="Arial" w:cs="Arial" w:eastAsia="Arial" w:hAnsi="Arial"/>
          <w:sz w:val="16"/>
          <w:szCs w:val="16"/>
          <w:u w:val="single" w:color="auto"/>
          <w:color w:val="0000EE"/>
        </w:rPr>
        <w:t>Specimen Ordinary Share Certificate</w:t>
      </w:r>
    </w:p>
    <w:p>
      <w:pPr>
        <w:spacing w:after="0" w:line="90"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u w:val="single" w:color="auto"/>
          <w:color w:val="0000EE"/>
        </w:rPr>
        <w:t>4.3</w:t>
      </w:r>
      <w:r>
        <w:rPr>
          <w:sz w:val="20"/>
          <w:szCs w:val="20"/>
          <w:color w:val="auto"/>
        </w:rPr>
        <w:tab/>
      </w:r>
      <w:r>
        <w:rPr>
          <w:rFonts w:ascii="Arial" w:cs="Arial" w:eastAsia="Arial" w:hAnsi="Arial"/>
          <w:sz w:val="16"/>
          <w:szCs w:val="16"/>
          <w:u w:val="single" w:color="auto"/>
          <w:color w:val="0000EE"/>
        </w:rPr>
        <w:t>Specimen Warrant Certificate</w:t>
      </w:r>
    </w:p>
    <w:p>
      <w:pPr>
        <w:spacing w:after="0" w:line="90"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u w:val="single" w:color="auto"/>
          <w:color w:val="0000EE"/>
        </w:rPr>
        <w:t>4.4</w:t>
      </w:r>
      <w:r>
        <w:rPr>
          <w:sz w:val="20"/>
          <w:szCs w:val="20"/>
          <w:color w:val="auto"/>
        </w:rPr>
        <w:tab/>
      </w:r>
      <w:r>
        <w:rPr>
          <w:rFonts w:ascii="Arial" w:cs="Arial" w:eastAsia="Arial" w:hAnsi="Arial"/>
          <w:sz w:val="16"/>
          <w:szCs w:val="16"/>
          <w:u w:val="single" w:color="auto"/>
          <w:color w:val="0000EE"/>
        </w:rPr>
        <w:t>Form of Warrant Agreement between Continental Stock Transfer &amp; Trust Company and the Registrant</w:t>
      </w:r>
    </w:p>
    <w:p>
      <w:pPr>
        <w:spacing w:after="0" w:line="90"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u w:val="single" w:color="auto"/>
          <w:color w:val="0000EE"/>
        </w:rPr>
        <w:t>5.1</w:t>
      </w:r>
      <w:r>
        <w:rPr>
          <w:sz w:val="20"/>
          <w:szCs w:val="20"/>
          <w:color w:val="auto"/>
        </w:rPr>
        <w:tab/>
      </w:r>
      <w:r>
        <w:rPr>
          <w:rFonts w:ascii="Arial" w:cs="Arial" w:eastAsia="Arial" w:hAnsi="Arial"/>
          <w:sz w:val="16"/>
          <w:szCs w:val="16"/>
          <w:u w:val="single" w:color="auto"/>
          <w:color w:val="0000EE"/>
        </w:rPr>
        <w:t>Opinion of Maples and Calder</w:t>
      </w:r>
    </w:p>
    <w:p>
      <w:pPr>
        <w:spacing w:after="0" w:line="90"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u w:val="single" w:color="auto"/>
          <w:color w:val="0000EE"/>
        </w:rPr>
        <w:t>5.2</w:t>
      </w:r>
      <w:r>
        <w:rPr>
          <w:sz w:val="20"/>
          <w:szCs w:val="20"/>
          <w:color w:val="auto"/>
        </w:rPr>
        <w:tab/>
      </w:r>
      <w:r>
        <w:rPr>
          <w:rFonts w:ascii="Arial" w:cs="Arial" w:eastAsia="Arial" w:hAnsi="Arial"/>
          <w:sz w:val="17"/>
          <w:szCs w:val="17"/>
          <w:u w:val="single" w:color="auto"/>
          <w:color w:val="0000EE"/>
        </w:rPr>
        <w:t>Opinion of Davis Polk &amp; Wardwell LLP</w:t>
      </w:r>
    </w:p>
    <w:p>
      <w:pPr>
        <w:spacing w:after="0" w:line="90" w:lineRule="exact"/>
        <w:rPr>
          <w:sz w:val="20"/>
          <w:szCs w:val="20"/>
          <w:color w:val="auto"/>
        </w:rPr>
      </w:pPr>
    </w:p>
    <w:p>
      <w:pPr>
        <w:ind w:left="700"/>
        <w:spacing w:after="0"/>
        <w:tabs>
          <w:tab w:leader="none" w:pos="1280" w:val="left"/>
        </w:tabs>
        <w:rPr>
          <w:rFonts w:ascii="Arial" w:cs="Arial" w:eastAsia="Arial" w:hAnsi="Arial"/>
          <w:sz w:val="16"/>
          <w:szCs w:val="16"/>
          <w:u w:val="single" w:color="auto"/>
          <w:color w:val="0000EE"/>
        </w:rPr>
      </w:pPr>
      <w:hyperlink r:id="rId253">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253">
        <w:r>
          <w:rPr>
            <w:rFonts w:ascii="Arial" w:cs="Arial" w:eastAsia="Arial" w:hAnsi="Arial"/>
            <w:sz w:val="16"/>
            <w:szCs w:val="16"/>
            <w:u w:val="single" w:color="auto"/>
            <w:color w:val="0000EE"/>
          </w:rPr>
          <w:t>Promissory Note, dated June 10, 2019, issued to Silver Spike Sponsor, LLC*</w:t>
        </w:r>
      </w:hyperlink>
    </w:p>
    <w:p>
      <w:pPr>
        <w:spacing w:after="0" w:line="9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u w:val="single" w:color="auto"/>
          <w:color w:val="0000EE"/>
        </w:rPr>
        <w:t>10.2</w:t>
      </w:r>
      <w:r>
        <w:rPr>
          <w:sz w:val="20"/>
          <w:szCs w:val="20"/>
          <w:color w:val="auto"/>
        </w:rPr>
        <w:tab/>
      </w:r>
      <w:r>
        <w:rPr>
          <w:rFonts w:ascii="Arial" w:cs="Arial" w:eastAsia="Arial" w:hAnsi="Arial"/>
          <w:sz w:val="16"/>
          <w:szCs w:val="16"/>
          <w:u w:val="single" w:color="auto"/>
          <w:color w:val="0000EE"/>
        </w:rPr>
        <w:t>Form of Letter Agreement among the Registrant and its officers, directors and Silver Spike Sponsor, LLC</w:t>
      </w:r>
    </w:p>
    <w:p>
      <w:pPr>
        <w:spacing w:after="0" w:line="9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u w:val="single" w:color="auto"/>
          <w:color w:val="0000EE"/>
        </w:rPr>
        <w:t>10.3</w:t>
      </w:r>
      <w:r>
        <w:rPr>
          <w:sz w:val="20"/>
          <w:szCs w:val="20"/>
          <w:color w:val="auto"/>
        </w:rPr>
        <w:tab/>
      </w:r>
      <w:r>
        <w:rPr>
          <w:rFonts w:ascii="Arial" w:cs="Arial" w:eastAsia="Arial" w:hAnsi="Arial"/>
          <w:sz w:val="16"/>
          <w:szCs w:val="16"/>
          <w:u w:val="single" w:color="auto"/>
          <w:color w:val="0000EE"/>
        </w:rPr>
        <w:t>Form of Investment Management Trust Agreement between Continental Stock Transfer &amp; Trust Company and the Registrant</w:t>
      </w:r>
    </w:p>
    <w:p>
      <w:pPr>
        <w:spacing w:after="0" w:line="9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u w:val="single" w:color="auto"/>
          <w:color w:val="0000EE"/>
        </w:rPr>
        <w:t>10.4</w:t>
      </w:r>
      <w:r>
        <w:rPr>
          <w:sz w:val="20"/>
          <w:szCs w:val="20"/>
          <w:color w:val="auto"/>
        </w:rPr>
        <w:tab/>
      </w:r>
      <w:r>
        <w:rPr>
          <w:rFonts w:ascii="Arial" w:cs="Arial" w:eastAsia="Arial" w:hAnsi="Arial"/>
          <w:sz w:val="16"/>
          <w:szCs w:val="16"/>
          <w:u w:val="single" w:color="auto"/>
          <w:color w:val="0000EE"/>
        </w:rPr>
        <w:t>Form of Registration Rights Agreement between the Registrant and certain security holders</w:t>
      </w:r>
    </w:p>
    <w:p>
      <w:pPr>
        <w:spacing w:after="0" w:line="90" w:lineRule="exact"/>
        <w:rPr>
          <w:sz w:val="20"/>
          <w:szCs w:val="20"/>
          <w:color w:val="auto"/>
        </w:rPr>
      </w:pPr>
    </w:p>
    <w:p>
      <w:pPr>
        <w:ind w:left="700"/>
        <w:spacing w:after="0"/>
        <w:tabs>
          <w:tab w:leader="none" w:pos="1280" w:val="left"/>
        </w:tabs>
        <w:rPr>
          <w:rFonts w:ascii="Arial" w:cs="Arial" w:eastAsia="Arial" w:hAnsi="Arial"/>
          <w:sz w:val="16"/>
          <w:szCs w:val="16"/>
          <w:u w:val="single" w:color="auto"/>
          <w:color w:val="0000EE"/>
        </w:rPr>
      </w:pPr>
      <w:hyperlink r:id="rId254">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254">
        <w:r>
          <w:rPr>
            <w:rFonts w:ascii="Arial" w:cs="Arial" w:eastAsia="Arial" w:hAnsi="Arial"/>
            <w:sz w:val="16"/>
            <w:szCs w:val="16"/>
            <w:u w:val="single" w:color="auto"/>
            <w:color w:val="0000EE"/>
          </w:rPr>
          <w:t>Securities Subscription Agreement, dated June 11, 2019, between the Registrant and Silver Spike Sponsor, LLC*</w:t>
        </w:r>
      </w:hyperlink>
    </w:p>
    <w:p>
      <w:pPr>
        <w:spacing w:after="0" w:line="9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u w:val="single" w:color="auto"/>
          <w:color w:val="0000EE"/>
        </w:rPr>
        <w:t>10.6</w:t>
      </w:r>
      <w:r>
        <w:rPr>
          <w:sz w:val="20"/>
          <w:szCs w:val="20"/>
          <w:color w:val="auto"/>
        </w:rPr>
        <w:tab/>
      </w:r>
      <w:r>
        <w:rPr>
          <w:rFonts w:ascii="Arial" w:cs="Arial" w:eastAsia="Arial" w:hAnsi="Arial"/>
          <w:sz w:val="16"/>
          <w:szCs w:val="16"/>
          <w:u w:val="single" w:color="auto"/>
          <w:color w:val="0000EE"/>
        </w:rPr>
        <w:t>Form of Sponsor Warrants Purchase Agreement between the Registrant and Silver Spike Sponsor, LLC</w:t>
      </w:r>
    </w:p>
    <w:p>
      <w:pPr>
        <w:spacing w:after="0" w:line="9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u w:val="single" w:color="auto"/>
          <w:color w:val="0000EE"/>
        </w:rPr>
        <w:t>10.7</w:t>
      </w:r>
      <w:r>
        <w:rPr>
          <w:sz w:val="20"/>
          <w:szCs w:val="20"/>
          <w:color w:val="auto"/>
        </w:rPr>
        <w:tab/>
      </w:r>
      <w:r>
        <w:rPr>
          <w:rFonts w:ascii="Arial" w:cs="Arial" w:eastAsia="Arial" w:hAnsi="Arial"/>
          <w:sz w:val="16"/>
          <w:szCs w:val="16"/>
          <w:u w:val="single" w:color="auto"/>
          <w:color w:val="0000EE"/>
        </w:rPr>
        <w:t>Form of Indemnity Agreement.</w:t>
      </w:r>
    </w:p>
    <w:p>
      <w:pPr>
        <w:spacing w:after="0" w:line="9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u w:val="single" w:color="auto"/>
          <w:color w:val="0000EE"/>
        </w:rPr>
        <w:t>10.8</w:t>
      </w:r>
      <w:r>
        <w:rPr>
          <w:sz w:val="20"/>
          <w:szCs w:val="20"/>
          <w:color w:val="auto"/>
        </w:rPr>
        <w:tab/>
      </w:r>
      <w:r>
        <w:rPr>
          <w:rFonts w:ascii="Arial" w:cs="Arial" w:eastAsia="Arial" w:hAnsi="Arial"/>
          <w:sz w:val="16"/>
          <w:szCs w:val="16"/>
          <w:u w:val="single" w:color="auto"/>
          <w:color w:val="0000EE"/>
        </w:rPr>
        <w:t>Form of Administrative Services Agreement between the Registrant and Silver Spike Sponsor, LLC</w:t>
      </w:r>
    </w:p>
    <w:p>
      <w:pPr>
        <w:spacing w:after="0" w:line="9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6"/>
          <w:szCs w:val="16"/>
          <w:u w:val="single" w:color="auto"/>
          <w:color w:val="0000EE"/>
        </w:rPr>
        <w:t>Consent of Marcum LLP</w:t>
      </w:r>
    </w:p>
    <w:p>
      <w:pPr>
        <w:spacing w:after="0" w:line="9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u w:val="single" w:color="auto"/>
          <w:color w:val="0000EE"/>
        </w:rPr>
        <w:t>23.2</w:t>
      </w:r>
      <w:r>
        <w:rPr>
          <w:sz w:val="20"/>
          <w:szCs w:val="20"/>
          <w:color w:val="auto"/>
        </w:rPr>
        <w:tab/>
      </w:r>
      <w:r>
        <w:rPr>
          <w:rFonts w:ascii="Arial" w:cs="Arial" w:eastAsia="Arial" w:hAnsi="Arial"/>
          <w:sz w:val="16"/>
          <w:szCs w:val="16"/>
          <w:u w:val="single" w:color="auto"/>
          <w:color w:val="0000EE"/>
        </w:rPr>
        <w:t>Consent of Maples and Calder (included in Exhibit 5.1)</w:t>
      </w:r>
    </w:p>
    <w:p>
      <w:pPr>
        <w:spacing w:after="0" w:line="90"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u w:val="single" w:color="auto"/>
          <w:color w:val="0000EE"/>
        </w:rPr>
        <w:t>23.3</w:t>
      </w:r>
      <w:r>
        <w:rPr>
          <w:sz w:val="20"/>
          <w:szCs w:val="20"/>
          <w:color w:val="auto"/>
        </w:rPr>
        <w:tab/>
      </w:r>
      <w:r>
        <w:rPr>
          <w:rFonts w:ascii="Arial" w:cs="Arial" w:eastAsia="Arial" w:hAnsi="Arial"/>
          <w:sz w:val="16"/>
          <w:szCs w:val="16"/>
          <w:u w:val="single" w:color="auto"/>
          <w:color w:val="0000EE"/>
        </w:rPr>
        <w:t>Consent of Davis Polk &amp; Wardwell LLP (included in Exhibit 5.2)</w:t>
      </w:r>
    </w:p>
    <w:p>
      <w:pPr>
        <w:spacing w:after="0" w:line="90" w:lineRule="exact"/>
        <w:rPr>
          <w:sz w:val="20"/>
          <w:szCs w:val="20"/>
          <w:color w:val="auto"/>
        </w:rPr>
      </w:pPr>
    </w:p>
    <w:p>
      <w:pPr>
        <w:ind w:left="700" w:right="2880" w:firstLine="127"/>
        <w:spacing w:after="0" w:line="344" w:lineRule="auto"/>
        <w:tabs>
          <w:tab w:leader="none" w:pos="1312" w:val="left"/>
        </w:tabs>
        <w:numPr>
          <w:ilvl w:val="1"/>
          <w:numId w:val="88"/>
        </w:numPr>
        <w:rPr>
          <w:rFonts w:ascii="Arial" w:cs="Arial" w:eastAsia="Arial" w:hAnsi="Arial"/>
          <w:sz w:val="18"/>
          <w:szCs w:val="18"/>
          <w:u w:val="single" w:color="auto"/>
          <w:color w:val="0000EE"/>
        </w:rPr>
      </w:pPr>
      <w:hyperlink r:id="rId255">
        <w:r>
          <w:rPr>
            <w:rFonts w:ascii="Arial" w:cs="Arial" w:eastAsia="Arial" w:hAnsi="Arial"/>
            <w:sz w:val="18"/>
            <w:szCs w:val="18"/>
            <w:u w:val="single" w:color="auto"/>
            <w:color w:val="0000EE"/>
          </w:rPr>
          <w:t>Power of Attorney (included on signature page to the initial filing of this Registration Statement)*</w:t>
        </w:r>
      </w:hyperlink>
      <w:r>
        <w:rPr>
          <w:rFonts w:ascii="Arial" w:cs="Arial" w:eastAsia="Arial" w:hAnsi="Arial"/>
          <w:sz w:val="18"/>
          <w:szCs w:val="18"/>
          <w:u w:val="single" w:color="auto"/>
          <w:color w:val="0000EE"/>
        </w:rPr>
        <w:t xml:space="preserve"> 99.1 Consent of Orrin Devinsky</w:t>
      </w:r>
    </w:p>
    <w:p>
      <w:pPr>
        <w:ind w:left="70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t>99.2   Consent of Richard Goldman</w:t>
      </w:r>
    </w:p>
    <w:p>
      <w:pPr>
        <w:spacing w:after="0" w:line="90" w:lineRule="exact"/>
        <w:rPr>
          <w:rFonts w:ascii="Arial" w:cs="Arial" w:eastAsia="Arial" w:hAnsi="Arial"/>
          <w:sz w:val="18"/>
          <w:szCs w:val="18"/>
          <w:u w:val="single" w:color="auto"/>
          <w:color w:val="0000EE"/>
        </w:rPr>
      </w:pPr>
    </w:p>
    <w:p>
      <w:pPr>
        <w:ind w:right="7980" w:firstLine="685"/>
        <w:spacing w:after="0" w:line="618" w:lineRule="auto"/>
        <w:rPr>
          <w:rFonts w:ascii="Arial" w:cs="Arial" w:eastAsia="Arial" w:hAnsi="Arial"/>
          <w:sz w:val="18"/>
          <w:szCs w:val="18"/>
          <w:u w:val="single" w:color="auto"/>
          <w:color w:val="0000EE"/>
        </w:rPr>
      </w:pPr>
      <w:r>
        <w:rPr>
          <w:rFonts w:ascii="Arial" w:cs="Arial" w:eastAsia="Arial" w:hAnsi="Arial"/>
          <w:sz w:val="18"/>
          <w:szCs w:val="18"/>
          <w:u w:val="single" w:color="auto"/>
          <w:color w:val="0000EE"/>
        </w:rPr>
        <w:t xml:space="preserve">99.3 Consent of Kenneth Landis </w:t>
      </w:r>
      <w:r>
        <w:rPr>
          <w:rFonts w:ascii="Arial" w:cs="Arial" w:eastAsia="Arial" w:hAnsi="Arial"/>
          <w:sz w:val="18"/>
          <w:szCs w:val="18"/>
          <w:color w:val="000000"/>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14490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5580" w:right="1520" w:hanging="5572"/>
        <w:spacing w:after="0" w:line="653" w:lineRule="auto"/>
        <w:tabs>
          <w:tab w:leader="none" w:pos="534"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25" w:right="39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right="200" w:firstLine="8"/>
        <w:spacing w:after="0" w:line="277" w:lineRule="auto"/>
        <w:tabs>
          <w:tab w:leader="none" w:pos="37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right="140" w:firstLine="8"/>
        <w:spacing w:after="0" w:line="254" w:lineRule="auto"/>
        <w:tabs>
          <w:tab w:leader="none" w:pos="3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rFonts w:ascii="Arial" w:cs="Arial" w:eastAsia="Arial" w:hAnsi="Arial"/>
          <w:sz w:val="18"/>
          <w:szCs w:val="18"/>
          <w:color w:val="auto"/>
        </w:rPr>
      </w:pPr>
    </w:p>
    <w:p>
      <w:pPr>
        <w:ind w:left="380" w:hanging="372"/>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340" w:hanging="8"/>
        <w:spacing w:after="0" w:line="286" w:lineRule="auto"/>
        <w:tabs>
          <w:tab w:leader="none" w:pos="730" w:val="left"/>
        </w:tabs>
        <w:numPr>
          <w:ilvl w:val="1"/>
          <w:numId w:val="9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340" w:right="340" w:hanging="8"/>
        <w:spacing w:after="0" w:line="264" w:lineRule="auto"/>
        <w:tabs>
          <w:tab w:leader="none" w:pos="73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340" w:hanging="8"/>
        <w:spacing w:after="0" w:line="291" w:lineRule="auto"/>
        <w:tabs>
          <w:tab w:leader="none" w:pos="730" w:val="left"/>
        </w:tabs>
        <w:numPr>
          <w:ilvl w:val="1"/>
          <w:numId w:val="90"/>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left="340" w:right="20" w:hanging="8"/>
        <w:spacing w:after="0" w:line="257" w:lineRule="auto"/>
        <w:tabs>
          <w:tab w:leader="none" w:pos="73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060" w:hanging="404"/>
        <w:spacing w:after="0"/>
        <w:tabs>
          <w:tab w:leader="none" w:pos="1060" w:val="left"/>
        </w:tabs>
        <w:numPr>
          <w:ilvl w:val="2"/>
          <w:numId w:val="9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660" w:right="700" w:hanging="4"/>
        <w:spacing w:after="0" w:line="277" w:lineRule="auto"/>
        <w:tabs>
          <w:tab w:leader="none" w:pos="1110" w:val="left"/>
        </w:tabs>
        <w:numPr>
          <w:ilvl w:val="2"/>
          <w:numId w:val="9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1167"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2"/>
          <w:numId w:val="9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on July 26, 2019.</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Gordon</w:t>
            </w:r>
          </w:p>
        </w:tc>
      </w:tr>
      <w:tr>
        <w:trPr>
          <w:trHeight w:val="195"/>
        </w:trPr>
        <w:tc>
          <w:tcPr>
            <w:tcW w:w="6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ind w:left="160"/>
              <w:spacing w:after="0" w:line="195" w:lineRule="exact"/>
              <w:rPr>
                <w:sz w:val="20"/>
                <w:szCs w:val="20"/>
                <w:color w:val="auto"/>
              </w:rPr>
            </w:pPr>
            <w:r>
              <w:rPr>
                <w:rFonts w:ascii="Arial" w:cs="Arial" w:eastAsia="Arial" w:hAnsi="Arial"/>
                <w:sz w:val="18"/>
                <w:szCs w:val="18"/>
                <w:color w:val="auto"/>
              </w:rPr>
              <w:t>Scott Gordon</w:t>
            </w:r>
          </w:p>
        </w:tc>
      </w:tr>
      <w:tr>
        <w:trPr>
          <w:trHeight w:val="230"/>
        </w:trPr>
        <w:tc>
          <w:tcPr>
            <w:tcW w:w="6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rPr>
                <w:sz w:val="20"/>
                <w:szCs w:val="20"/>
                <w:color w:val="auto"/>
              </w:rPr>
            </w:pPr>
            <w:r>
              <w:rPr>
                <w:rFonts w:ascii="Arial" w:cs="Arial" w:eastAsia="Arial" w:hAnsi="Arial"/>
                <w:sz w:val="18"/>
                <w:szCs w:val="18"/>
                <w:color w:val="auto"/>
              </w:rPr>
              <w:t>Chief Executive Officer and Chairman</w:t>
            </w:r>
          </w:p>
        </w:tc>
      </w:tr>
    </w:tbl>
    <w:p>
      <w:pPr>
        <w:spacing w:after="0" w:line="200" w:lineRule="exact"/>
        <w:rPr>
          <w:sz w:val="20"/>
          <w:szCs w:val="20"/>
          <w:color w:val="auto"/>
        </w:rPr>
      </w:pPr>
    </w:p>
    <w:p>
      <w:pPr>
        <w:spacing w:after="0" w:line="2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320" w:type="dxa"/>
            <w:vAlign w:val="bottom"/>
            <w:gridSpan w:val="3"/>
          </w:tcPr>
          <w:p>
            <w:pPr>
              <w:ind w:left="1220"/>
              <w:spacing w:after="0"/>
              <w:rPr>
                <w:sz w:val="20"/>
                <w:szCs w:val="20"/>
                <w:color w:val="auto"/>
              </w:rPr>
            </w:pPr>
            <w:r>
              <w:rPr>
                <w:rFonts w:ascii="Arial" w:cs="Arial" w:eastAsia="Arial" w:hAnsi="Arial"/>
                <w:sz w:val="18"/>
                <w:szCs w:val="18"/>
                <w:b w:val="1"/>
                <w:bCs w:val="1"/>
                <w:color w:val="auto"/>
              </w:rPr>
              <w:t>Name</w:t>
            </w:r>
          </w:p>
        </w:tc>
        <w:tc>
          <w:tcPr>
            <w:tcW w:w="4900" w:type="dxa"/>
            <w:vAlign w:val="bottom"/>
            <w:gridSpan w:val="3"/>
          </w:tcPr>
          <w:p>
            <w:pPr>
              <w:ind w:left="2280"/>
              <w:spacing w:after="0"/>
              <w:rPr>
                <w:sz w:val="20"/>
                <w:szCs w:val="20"/>
                <w:color w:val="auto"/>
              </w:rPr>
            </w:pPr>
            <w:r>
              <w:rPr>
                <w:rFonts w:ascii="Arial" w:cs="Arial" w:eastAsia="Arial" w:hAnsi="Arial"/>
                <w:sz w:val="18"/>
                <w:szCs w:val="18"/>
                <w:b w:val="1"/>
                <w:bCs w:val="1"/>
                <w:color w:val="auto"/>
              </w:rPr>
              <w:t>Position</w:t>
            </w:r>
          </w:p>
        </w:tc>
        <w:tc>
          <w:tcPr>
            <w:tcW w:w="10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Gordon</w:t>
            </w:r>
          </w:p>
        </w:tc>
        <w:tc>
          <w:tcPr>
            <w:tcW w:w="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900" w:type="dxa"/>
            <w:vAlign w:val="bottom"/>
            <w:gridSpan w:val="3"/>
          </w:tcPr>
          <w:p>
            <w:pPr>
              <w:ind w:left="500"/>
              <w:spacing w:after="0"/>
              <w:rPr>
                <w:sz w:val="20"/>
                <w:szCs w:val="20"/>
                <w:color w:val="auto"/>
              </w:rPr>
            </w:pPr>
            <w:r>
              <w:rPr>
                <w:rFonts w:ascii="Arial" w:cs="Arial" w:eastAsia="Arial" w:hAnsi="Arial"/>
                <w:sz w:val="18"/>
                <w:szCs w:val="18"/>
                <w:color w:val="auto"/>
              </w:rPr>
              <w:t>Chief Executive Officer and Chairman (Principal</w:t>
            </w:r>
          </w:p>
        </w:tc>
        <w:tc>
          <w:tcPr>
            <w:tcW w:w="1840" w:type="dxa"/>
            <w:vAlign w:val="bottom"/>
            <w:gridSpan w:val="3"/>
            <w:vMerge w:val="restart"/>
          </w:tcPr>
          <w:p>
            <w:pPr>
              <w:ind w:left="860"/>
              <w:spacing w:after="0"/>
              <w:rPr>
                <w:sz w:val="20"/>
                <w:szCs w:val="20"/>
                <w:color w:val="auto"/>
              </w:rPr>
            </w:pPr>
            <w:r>
              <w:rPr>
                <w:rFonts w:ascii="Arial" w:cs="Arial" w:eastAsia="Arial" w:hAnsi="Arial"/>
                <w:sz w:val="18"/>
                <w:szCs w:val="18"/>
                <w:color w:val="auto"/>
                <w:w w:val="89"/>
              </w:rPr>
              <w:t>July 26, 2019</w:t>
            </w:r>
          </w:p>
        </w:tc>
        <w:tc>
          <w:tcPr>
            <w:tcW w:w="0" w:type="dxa"/>
            <w:vAlign w:val="bottom"/>
          </w:tcPr>
          <w:p>
            <w:pPr>
              <w:spacing w:after="0"/>
              <w:rPr>
                <w:sz w:val="1"/>
                <w:szCs w:val="1"/>
                <w:color w:val="auto"/>
              </w:rPr>
            </w:pPr>
          </w:p>
        </w:tc>
      </w:tr>
      <w:tr>
        <w:trPr>
          <w:trHeight w:val="88"/>
        </w:trPr>
        <w:tc>
          <w:tcPr>
            <w:tcW w:w="3780" w:type="dxa"/>
            <w:vAlign w:val="bottom"/>
            <w:gridSpan w:val="4"/>
            <w:vMerge w:val="restart"/>
          </w:tcPr>
          <w:p>
            <w:pPr>
              <w:spacing w:after="0"/>
              <w:rPr>
                <w:sz w:val="20"/>
                <w:szCs w:val="20"/>
                <w:color w:val="auto"/>
              </w:rPr>
            </w:pPr>
            <w:r>
              <w:rPr>
                <w:rFonts w:ascii="Arial" w:cs="Arial" w:eastAsia="Arial" w:hAnsi="Arial"/>
                <w:sz w:val="18"/>
                <w:szCs w:val="18"/>
                <w:color w:val="auto"/>
              </w:rPr>
              <w:t>Scott Gordon</w:t>
            </w:r>
          </w:p>
        </w:tc>
        <w:tc>
          <w:tcPr>
            <w:tcW w:w="4900" w:type="dxa"/>
            <w:vAlign w:val="bottom"/>
            <w:gridSpan w:val="3"/>
            <w:vMerge w:val="restart"/>
          </w:tcPr>
          <w:p>
            <w:pPr>
              <w:ind w:left="500"/>
              <w:spacing w:after="0"/>
              <w:rPr>
                <w:sz w:val="20"/>
                <w:szCs w:val="20"/>
                <w:color w:val="auto"/>
              </w:rPr>
            </w:pPr>
            <w:r>
              <w:rPr>
                <w:rFonts w:ascii="Arial" w:cs="Arial" w:eastAsia="Arial" w:hAnsi="Arial"/>
                <w:sz w:val="18"/>
                <w:szCs w:val="18"/>
                <w:color w:val="auto"/>
              </w:rPr>
              <w:t>Executive Officer)</w:t>
            </w: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80" w:type="dxa"/>
            <w:vAlign w:val="bottom"/>
            <w:gridSpan w:val="4"/>
            <w:vMerge w:val="continue"/>
          </w:tcPr>
          <w:p>
            <w:pPr>
              <w:spacing w:after="0"/>
              <w:rPr>
                <w:sz w:val="11"/>
                <w:szCs w:val="11"/>
                <w:color w:val="auto"/>
              </w:rPr>
            </w:pPr>
          </w:p>
        </w:tc>
        <w:tc>
          <w:tcPr>
            <w:tcW w:w="490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900" w:type="dxa"/>
            <w:vAlign w:val="bottom"/>
            <w:gridSpan w:val="3"/>
            <w:vMerge w:val="restart"/>
          </w:tcPr>
          <w:p>
            <w:pPr>
              <w:ind w:left="500"/>
              <w:spacing w:after="0"/>
              <w:rPr>
                <w:sz w:val="20"/>
                <w:szCs w:val="20"/>
                <w:color w:val="auto"/>
              </w:rPr>
            </w:pPr>
            <w:r>
              <w:rPr>
                <w:rFonts w:ascii="Arial" w:cs="Arial" w:eastAsia="Arial" w:hAnsi="Arial"/>
                <w:sz w:val="18"/>
                <w:szCs w:val="18"/>
                <w:color w:val="auto"/>
              </w:rPr>
              <w:t>President and Director</w:t>
            </w:r>
          </w:p>
        </w:tc>
        <w:tc>
          <w:tcPr>
            <w:tcW w:w="1840" w:type="dxa"/>
            <w:vAlign w:val="bottom"/>
            <w:gridSpan w:val="3"/>
            <w:vMerge w:val="restart"/>
          </w:tcPr>
          <w:p>
            <w:pPr>
              <w:ind w:left="860"/>
              <w:spacing w:after="0"/>
              <w:rPr>
                <w:sz w:val="20"/>
                <w:szCs w:val="20"/>
                <w:color w:val="auto"/>
              </w:rPr>
            </w:pPr>
            <w:r>
              <w:rPr>
                <w:rFonts w:ascii="Arial" w:cs="Arial" w:eastAsia="Arial" w:hAnsi="Arial"/>
                <w:sz w:val="18"/>
                <w:szCs w:val="18"/>
                <w:color w:val="auto"/>
                <w:w w:val="89"/>
              </w:rPr>
              <w:t>July 26, 2019</w:t>
            </w:r>
          </w:p>
        </w:tc>
        <w:tc>
          <w:tcPr>
            <w:tcW w:w="0" w:type="dxa"/>
            <w:vAlign w:val="bottom"/>
          </w:tcPr>
          <w:p>
            <w:pPr>
              <w:spacing w:after="0"/>
              <w:rPr>
                <w:sz w:val="1"/>
                <w:szCs w:val="1"/>
                <w:color w:val="auto"/>
              </w:rPr>
            </w:pPr>
          </w:p>
        </w:tc>
      </w:tr>
      <w:tr>
        <w:trPr>
          <w:trHeight w:val="88"/>
        </w:trPr>
        <w:tc>
          <w:tcPr>
            <w:tcW w:w="3780" w:type="dxa"/>
            <w:vAlign w:val="bottom"/>
            <w:gridSpan w:val="4"/>
            <w:vMerge w:val="restart"/>
          </w:tcPr>
          <w:p>
            <w:pPr>
              <w:spacing w:after="0"/>
              <w:rPr>
                <w:sz w:val="20"/>
                <w:szCs w:val="20"/>
                <w:color w:val="auto"/>
              </w:rPr>
            </w:pPr>
            <w:r>
              <w:rPr>
                <w:rFonts w:ascii="Arial" w:cs="Arial" w:eastAsia="Arial" w:hAnsi="Arial"/>
                <w:sz w:val="18"/>
                <w:szCs w:val="18"/>
                <w:color w:val="auto"/>
              </w:rPr>
              <w:t>William Healy</w:t>
            </w:r>
          </w:p>
        </w:tc>
        <w:tc>
          <w:tcPr>
            <w:tcW w:w="490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80" w:type="dxa"/>
            <w:vAlign w:val="bottom"/>
            <w:gridSpan w:val="4"/>
            <w:vMerge w:val="continue"/>
          </w:tcPr>
          <w:p>
            <w:pPr>
              <w:spacing w:after="0"/>
              <w:rPr>
                <w:sz w:val="11"/>
                <w:szCs w:val="11"/>
                <w:color w:val="auto"/>
              </w:rPr>
            </w:pPr>
          </w:p>
        </w:tc>
        <w:tc>
          <w:tcPr>
            <w:tcW w:w="2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900" w:type="dxa"/>
            <w:vAlign w:val="bottom"/>
            <w:gridSpan w:val="3"/>
          </w:tcPr>
          <w:p>
            <w:pPr>
              <w:ind w:left="500"/>
              <w:spacing w:after="0"/>
              <w:rPr>
                <w:sz w:val="20"/>
                <w:szCs w:val="20"/>
                <w:color w:val="auto"/>
              </w:rPr>
            </w:pPr>
            <w:r>
              <w:rPr>
                <w:rFonts w:ascii="Arial" w:cs="Arial" w:eastAsia="Arial" w:hAnsi="Arial"/>
                <w:sz w:val="18"/>
                <w:szCs w:val="18"/>
                <w:color w:val="auto"/>
              </w:rPr>
              <w:t>Chief Financial Officer (Principal Financial and</w:t>
            </w:r>
          </w:p>
        </w:tc>
        <w:tc>
          <w:tcPr>
            <w:tcW w:w="1840" w:type="dxa"/>
            <w:vAlign w:val="bottom"/>
            <w:gridSpan w:val="3"/>
            <w:vMerge w:val="restart"/>
          </w:tcPr>
          <w:p>
            <w:pPr>
              <w:ind w:left="860"/>
              <w:spacing w:after="0"/>
              <w:rPr>
                <w:sz w:val="20"/>
                <w:szCs w:val="20"/>
                <w:color w:val="auto"/>
              </w:rPr>
            </w:pPr>
            <w:r>
              <w:rPr>
                <w:rFonts w:ascii="Arial" w:cs="Arial" w:eastAsia="Arial" w:hAnsi="Arial"/>
                <w:sz w:val="18"/>
                <w:szCs w:val="18"/>
                <w:color w:val="auto"/>
                <w:w w:val="89"/>
              </w:rPr>
              <w:t>July 26, 2019</w:t>
            </w:r>
          </w:p>
        </w:tc>
        <w:tc>
          <w:tcPr>
            <w:tcW w:w="0" w:type="dxa"/>
            <w:vAlign w:val="bottom"/>
          </w:tcPr>
          <w:p>
            <w:pPr>
              <w:spacing w:after="0"/>
              <w:rPr>
                <w:sz w:val="1"/>
                <w:szCs w:val="1"/>
                <w:color w:val="auto"/>
              </w:rPr>
            </w:pPr>
          </w:p>
        </w:tc>
      </w:tr>
      <w:tr>
        <w:trPr>
          <w:trHeight w:val="88"/>
        </w:trPr>
        <w:tc>
          <w:tcPr>
            <w:tcW w:w="3780" w:type="dxa"/>
            <w:vAlign w:val="bottom"/>
            <w:gridSpan w:val="4"/>
            <w:vMerge w:val="restart"/>
          </w:tcPr>
          <w:p>
            <w:pPr>
              <w:spacing w:after="0"/>
              <w:rPr>
                <w:sz w:val="20"/>
                <w:szCs w:val="20"/>
                <w:color w:val="auto"/>
              </w:rPr>
            </w:pPr>
            <w:r>
              <w:rPr>
                <w:rFonts w:ascii="Arial" w:cs="Arial" w:eastAsia="Arial" w:hAnsi="Arial"/>
                <w:sz w:val="18"/>
                <w:szCs w:val="18"/>
                <w:color w:val="auto"/>
              </w:rPr>
              <w:t>Greg Gentile</w:t>
            </w:r>
          </w:p>
        </w:tc>
        <w:tc>
          <w:tcPr>
            <w:tcW w:w="4900" w:type="dxa"/>
            <w:vAlign w:val="bottom"/>
            <w:gridSpan w:val="3"/>
            <w:vMerge w:val="restart"/>
          </w:tcPr>
          <w:p>
            <w:pPr>
              <w:ind w:left="500"/>
              <w:spacing w:after="0"/>
              <w:rPr>
                <w:sz w:val="20"/>
                <w:szCs w:val="20"/>
                <w:color w:val="auto"/>
              </w:rPr>
            </w:pPr>
            <w:r>
              <w:rPr>
                <w:rFonts w:ascii="Arial" w:cs="Arial" w:eastAsia="Arial" w:hAnsi="Arial"/>
                <w:sz w:val="18"/>
                <w:szCs w:val="18"/>
                <w:color w:val="auto"/>
              </w:rPr>
              <w:t>Accounting Officer)</w:t>
            </w: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80" w:type="dxa"/>
            <w:vAlign w:val="bottom"/>
            <w:gridSpan w:val="4"/>
            <w:vMerge w:val="continue"/>
          </w:tcPr>
          <w:p>
            <w:pPr>
              <w:spacing w:after="0"/>
              <w:rPr>
                <w:sz w:val="11"/>
                <w:szCs w:val="11"/>
                <w:color w:val="auto"/>
              </w:rPr>
            </w:pPr>
          </w:p>
        </w:tc>
        <w:tc>
          <w:tcPr>
            <w:tcW w:w="490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780" w:type="dxa"/>
            <w:vAlign w:val="bottom"/>
            <w:gridSpan w:val="4"/>
          </w:tcPr>
          <w:p>
            <w:pPr>
              <w:spacing w:after="0"/>
              <w:rPr>
                <w:sz w:val="20"/>
                <w:szCs w:val="20"/>
                <w:color w:val="auto"/>
              </w:rPr>
            </w:pPr>
            <w:r>
              <w:rPr>
                <w:rFonts w:ascii="Arial" w:cs="Arial" w:eastAsia="Arial" w:hAnsi="Arial"/>
                <w:sz w:val="18"/>
                <w:szCs w:val="18"/>
                <w:color w:val="auto"/>
              </w:rPr>
              <w:t>*By: /s/ Scott Gordon</w:t>
            </w:r>
          </w:p>
        </w:tc>
        <w:tc>
          <w:tcPr>
            <w:tcW w:w="4900" w:type="dxa"/>
            <w:vAlign w:val="bottom"/>
            <w:gridSpan w:val="3"/>
          </w:tcPr>
          <w:p>
            <w:pPr>
              <w:ind w:left="500"/>
              <w:spacing w:after="0"/>
              <w:rPr>
                <w:sz w:val="20"/>
                <w:szCs w:val="20"/>
                <w:color w:val="auto"/>
              </w:rPr>
            </w:pPr>
            <w:r>
              <w:rPr>
                <w:rFonts w:ascii="Arial" w:cs="Arial" w:eastAsia="Arial" w:hAnsi="Arial"/>
                <w:sz w:val="18"/>
                <w:szCs w:val="18"/>
                <w:color w:val="auto"/>
              </w:rPr>
              <w:t>Attorney-in-fact</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89"/>
              </w:rPr>
              <w:t>July 26, 2019</w:t>
            </w: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3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Scott Gordon</w:t>
            </w:r>
          </w:p>
        </w:tc>
        <w:tc>
          <w:tcPr>
            <w:tcW w:w="2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Pursuant to the requirements of Section 6(a) of the Securities Act of 1933, as amended, the undersigned has signed this registration statement, solely in its capacity as the duly authorized representative of Silver Spike Acquisition Corp., in New York, New York, on July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Gordon</w:t>
            </w:r>
          </w:p>
        </w:tc>
      </w:tr>
      <w:tr>
        <w:trPr>
          <w:trHeight w:val="195"/>
        </w:trPr>
        <w:tc>
          <w:tcPr>
            <w:tcW w:w="6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ind w:left="160"/>
              <w:spacing w:after="0" w:line="195" w:lineRule="exact"/>
              <w:rPr>
                <w:sz w:val="20"/>
                <w:szCs w:val="20"/>
                <w:color w:val="auto"/>
              </w:rPr>
            </w:pPr>
            <w:r>
              <w:rPr>
                <w:rFonts w:ascii="Arial" w:cs="Arial" w:eastAsia="Arial" w:hAnsi="Arial"/>
                <w:sz w:val="18"/>
                <w:szCs w:val="18"/>
                <w:color w:val="auto"/>
              </w:rPr>
              <w:t>Scott Gordon</w:t>
            </w:r>
          </w:p>
        </w:tc>
      </w:tr>
      <w:tr>
        <w:trPr>
          <w:trHeight w:val="230"/>
        </w:trPr>
        <w:tc>
          <w:tcPr>
            <w:tcW w:w="6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rPr>
                <w:sz w:val="20"/>
                <w:szCs w:val="20"/>
                <w:color w:val="auto"/>
              </w:rPr>
            </w:pPr>
            <w:r>
              <w:rPr>
                <w:rFonts w:ascii="Arial" w:cs="Arial" w:eastAsia="Arial" w:hAnsi="Arial"/>
                <w:sz w:val="18"/>
                <w:szCs w:val="18"/>
                <w:color w:val="auto"/>
              </w:rPr>
              <w:t>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b w:val="1"/>
          <w:bCs w:val="1"/>
          <w:color w:val="auto"/>
        </w:rPr>
        <w:t>Exhibit 1.1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REDIT</w:t>
      </w:r>
      <w:r>
        <w:rPr>
          <w:rFonts w:ascii="Arial" w:cs="Arial" w:eastAsia="Arial" w:hAnsi="Arial"/>
          <w:sz w:val="18"/>
          <w:szCs w:val="18"/>
          <w:color w:val="auto"/>
        </w:rPr>
        <w:t xml:space="preserve"> S</w:t>
      </w:r>
      <w:r>
        <w:rPr>
          <w:rFonts w:ascii="Arial" w:cs="Arial" w:eastAsia="Arial" w:hAnsi="Arial"/>
          <w:sz w:val="12"/>
          <w:szCs w:val="12"/>
          <w:color w:val="auto"/>
        </w:rPr>
        <w:t>UISSE</w:t>
      </w:r>
      <w:r>
        <w:rPr>
          <w:rFonts w:ascii="Arial" w:cs="Arial" w:eastAsia="Arial" w:hAnsi="Arial"/>
          <w:sz w:val="18"/>
          <w:szCs w:val="18"/>
          <w:color w:val="auto"/>
        </w:rPr>
        <w:t xml:space="preserve"> S</w:t>
      </w:r>
      <w:r>
        <w:rPr>
          <w:rFonts w:ascii="Arial" w:cs="Arial" w:eastAsia="Arial" w:hAnsi="Arial"/>
          <w:sz w:val="12"/>
          <w:szCs w:val="12"/>
          <w:color w:val="auto"/>
        </w:rPr>
        <w:t>ECURITIES</w:t>
      </w:r>
      <w:r>
        <w:rPr>
          <w:rFonts w:ascii="Arial" w:cs="Arial" w:eastAsia="Arial" w:hAnsi="Arial"/>
          <w:sz w:val="18"/>
          <w:szCs w:val="18"/>
          <w:color w:val="auto"/>
        </w:rPr>
        <w:t xml:space="preserve">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listed in Schedule I to the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11" w:lineRule="exact"/>
        <w:rPr>
          <w:sz w:val="20"/>
          <w:szCs w:val="20"/>
          <w:color w:val="auto"/>
        </w:rPr>
      </w:pPr>
    </w:p>
    <w:p>
      <w:pPr>
        <w:ind w:firstLine="656"/>
        <w:spacing w:after="0" w:line="271" w:lineRule="auto"/>
        <w:tabs>
          <w:tab w:leader="none" w:pos="1098"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Introductory</w:t>
      </w:r>
      <w:r>
        <w:rPr>
          <w:rFonts w:ascii="Arial" w:cs="Arial" w:eastAsia="Arial" w:hAnsi="Arial"/>
          <w:sz w:val="17"/>
          <w:szCs w:val="17"/>
          <w:color w:val="auto"/>
        </w:rPr>
        <w:t>. Silver Spike Acquisition Corp., a Cayman Islands exempted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agrees with the several Underwriters</w:t>
      </w:r>
      <w:r>
        <w:rPr>
          <w:rFonts w:ascii="Arial" w:cs="Arial" w:eastAsia="Arial" w:hAnsi="Arial"/>
          <w:sz w:val="17"/>
          <w:szCs w:val="17"/>
          <w:i w:val="1"/>
          <w:iCs w:val="1"/>
          <w:color w:val="auto"/>
        </w:rPr>
        <w:t xml:space="preserve"> </w:t>
      </w:r>
      <w:r>
        <w:rPr>
          <w:rFonts w:ascii="Arial" w:cs="Arial" w:eastAsia="Arial" w:hAnsi="Arial"/>
          <w:sz w:val="17"/>
          <w:szCs w:val="17"/>
          <w:color w:val="auto"/>
        </w:rPr>
        <w:t>named in Schedule I hereto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(the “</w:t>
      </w:r>
      <w:r>
        <w:rPr>
          <w:rFonts w:ascii="Arial" w:cs="Arial" w:eastAsia="Arial" w:hAnsi="Arial"/>
          <w:sz w:val="17"/>
          <w:szCs w:val="17"/>
          <w:u w:val="single" w:color="auto"/>
          <w:color w:val="auto"/>
        </w:rPr>
        <w:t>Representative</w:t>
      </w:r>
      <w:r>
        <w:rPr>
          <w:rFonts w:ascii="Arial" w:cs="Arial" w:eastAsia="Arial" w:hAnsi="Arial"/>
          <w:sz w:val="17"/>
          <w:szCs w:val="17"/>
          <w:color w:val="auto"/>
        </w:rPr>
        <w:t>”) are acting as representative, to issue and sell to the several Underwriters 25,000,000 units of the Company (said units to be issued and sold by the Company being hereinafter called the “</w:t>
      </w:r>
      <w:r>
        <w:rPr>
          <w:rFonts w:ascii="Arial" w:cs="Arial" w:eastAsia="Arial" w:hAnsi="Arial"/>
          <w:sz w:val="17"/>
          <w:szCs w:val="17"/>
          <w:u w:val="single" w:color="auto"/>
          <w:color w:val="auto"/>
        </w:rPr>
        <w:t>Firm Securities</w:t>
      </w:r>
      <w:r>
        <w:rPr>
          <w:rFonts w:ascii="Arial" w:cs="Arial" w:eastAsia="Arial" w:hAnsi="Arial"/>
          <w:sz w:val="17"/>
          <w:szCs w:val="17"/>
          <w:color w:val="auto"/>
        </w:rPr>
        <w:t>”) and also proposes to issue and sell to the Underwriters, at the option of the Underwriters, an aggregate of not more than 3,750,000 additional units of the Company to cover over-allotments (the “</w:t>
      </w:r>
      <w:r>
        <w:rPr>
          <w:rFonts w:ascii="Arial" w:cs="Arial" w:eastAsia="Arial" w:hAnsi="Arial"/>
          <w:sz w:val="17"/>
          <w:szCs w:val="17"/>
          <w:u w:val="single" w:color="auto"/>
          <w:color w:val="auto"/>
        </w:rPr>
        <w:t>Optional Securities</w:t>
      </w:r>
      <w:r>
        <w:rPr>
          <w:rFonts w:ascii="Arial" w:cs="Arial" w:eastAsia="Arial" w:hAnsi="Arial"/>
          <w:sz w:val="17"/>
          <w:szCs w:val="17"/>
          <w:color w:val="auto"/>
        </w:rPr>
        <w:t>”) as set forth below. The Firm Securities and the Optional Securities are herein collectively called the “</w:t>
      </w:r>
      <w:r>
        <w:rPr>
          <w:rFonts w:ascii="Arial" w:cs="Arial" w:eastAsia="Arial" w:hAnsi="Arial"/>
          <w:sz w:val="17"/>
          <w:szCs w:val="17"/>
          <w:u w:val="single" w:color="auto"/>
          <w:color w:val="auto"/>
        </w:rPr>
        <w:t>Offered Securities</w:t>
      </w:r>
      <w:r>
        <w:rPr>
          <w:rFonts w:ascii="Arial" w:cs="Arial" w:eastAsia="Arial" w:hAnsi="Arial"/>
          <w:sz w:val="17"/>
          <w:szCs w:val="17"/>
          <w:color w:val="auto"/>
        </w:rPr>
        <w:t>”. To the extent that there are no additional Underwriters listed on Schedule I other than you, the term Representative as used herein shall mean you, as Underwriter, and the term Underwriter shall mean either the singular or plural as the context requires. Certain capitalized terms used herein and not otherwise defined are defined in Section 22 of 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7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Each unit (the “</w:t>
      </w:r>
      <w:r>
        <w:rPr>
          <w:rFonts w:ascii="Arial" w:cs="Arial" w:eastAsia="Arial" w:hAnsi="Arial"/>
          <w:sz w:val="17"/>
          <w:szCs w:val="17"/>
          <w:u w:val="single" w:color="auto"/>
          <w:color w:val="auto"/>
        </w:rPr>
        <w:t>Unit(s)</w:t>
      </w:r>
      <w:r>
        <w:rPr>
          <w:rFonts w:ascii="Arial" w:cs="Arial" w:eastAsia="Arial" w:hAnsi="Arial"/>
          <w:sz w:val="17"/>
          <w:szCs w:val="17"/>
          <w:color w:val="auto"/>
        </w:rPr>
        <w:t>”) consists of one of the Company’s Class A ordinary shares, par value $0.0001 per share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and one-half of one redeemable warrant, where each whole warrant entitles the holder to purchase one Ordinary Share (the “</w:t>
      </w:r>
      <w:r>
        <w:rPr>
          <w:rFonts w:ascii="Arial" w:cs="Arial" w:eastAsia="Arial" w:hAnsi="Arial"/>
          <w:sz w:val="17"/>
          <w:szCs w:val="17"/>
          <w:u w:val="single" w:color="auto"/>
          <w:color w:val="auto"/>
        </w:rPr>
        <w:t>Warrant(s)</w:t>
      </w:r>
      <w:r>
        <w:rPr>
          <w:rFonts w:ascii="Arial" w:cs="Arial" w:eastAsia="Arial" w:hAnsi="Arial"/>
          <w:sz w:val="17"/>
          <w:szCs w:val="17"/>
          <w:color w:val="auto"/>
        </w:rPr>
        <w:t xml:space="preserve">”). The Ordinary Shares and Warrants included in the Units will not trade separately until the 52nd day following the date of the Prospectus (unless the Representative informs the Company of its decision to allow earlier separate trading), subject to (a) the Company’s preparation of an audited balance sheet reflecting the receipt by the Company of the proceeds of the Offering (as defined below), (b) the filing of such audited balance sheet with the Commission on a Current Report on Form 8-K or similar form by the Company that includes such audited balance sheet and (c) the Company having issued a press release announcing when such separate trading will begin. No fractional Warrants will be issued upon separation of the Units, and only whole Warrants will trade. Each whole Warrant entitles its holder, upon exercise, to purchase one Ordinary Share at a price of $11.50 per share during the period commencing on the later of thirty (30) days after the completion of the Company’s initial Business Combination (as defined below) and twelve (12) months from the date of the consummation of the Offering and terminating on the five-year anniversary of the date of the completion of such initial Business Combination or earlier upon redemption or liquidation;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pursuant to the Warrant Agreement (as defined below), a fractional Warrant may not be exercised, so that only a whole warrant may be exercised at any given time by a holder thereof. As used herein, the term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(as described more fully in the Registration Statement)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7" w:name="page188"/>
    <w:bookmarkEnd w:id="187"/>
    <w:p>
      <w:pPr>
        <w:ind w:right="480"/>
        <w:spacing w:after="0" w:line="277" w:lineRule="auto"/>
        <w:rPr>
          <w:sz w:val="20"/>
          <w:szCs w:val="20"/>
          <w:color w:val="auto"/>
        </w:rPr>
      </w:pPr>
      <w:r>
        <w:rPr>
          <w:rFonts w:ascii="Arial" w:cs="Arial" w:eastAsia="Arial" w:hAnsi="Arial"/>
          <w:sz w:val="18"/>
          <w:szCs w:val="18"/>
          <w:color w:val="auto"/>
        </w:rPr>
        <w:t>a merger, amalgamation, share exchange, asset acquisition, share purchase, reorganization or similar business combination with one or more businesses involving the Company.</w:t>
      </w:r>
    </w:p>
    <w:p>
      <w:pPr>
        <w:spacing w:after="0" w:line="170"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The Company has entered into an Investment Management Trust Agreement, effective as of [·], with Continental Stock Transfer &amp; Trust Company (“</w:t>
      </w:r>
      <w:r>
        <w:rPr>
          <w:rFonts w:ascii="Arial" w:cs="Arial" w:eastAsia="Arial" w:hAnsi="Arial"/>
          <w:sz w:val="16"/>
          <w:szCs w:val="16"/>
          <w:u w:val="single" w:color="auto"/>
          <w:color w:val="auto"/>
        </w:rPr>
        <w:t>CST</w:t>
      </w:r>
      <w:r>
        <w:rPr>
          <w:rFonts w:ascii="Arial" w:cs="Arial" w:eastAsia="Arial" w:hAnsi="Arial"/>
          <w:sz w:val="16"/>
          <w:szCs w:val="16"/>
          <w:color w:val="auto"/>
        </w:rPr>
        <w:t>”), as trustee (the “Trustee”), in substantially the form filed as Exhibit 10.3 to the Registration Statement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pursuant to which proceeds from the sale of the Private Placement Warrants (as defined below) and proceeds of the Offering will be deposited and held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for the benefit of the Company, the Underwriters and the holders of the Firm Securities and the Optional Securities, if and when issued.</w:t>
      </w:r>
    </w:p>
    <w:p>
      <w:pPr>
        <w:spacing w:after="0" w:line="154"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Company has entered into a Warrant Agreement, effective as of [·], with respect to the Warrants and the Private Placement Warrants with CST, as warrant agent, in substantially the form filed as Exhibit 4.4 to the Registration Statement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pursuant to which CST will act as warrant agent in connection with the issuance, registration, transfer, exchange, redemption, and exercise of the Warrants and the Private Placement Warrants.</w:t>
      </w:r>
    </w:p>
    <w:p>
      <w:pPr>
        <w:spacing w:after="0" w:line="14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Company has entered into a Securities Subscription Agreement, dated as of June 11, 2019 (the “</w:t>
      </w:r>
      <w:r>
        <w:rPr>
          <w:rFonts w:ascii="Arial" w:cs="Arial" w:eastAsia="Arial" w:hAnsi="Arial"/>
          <w:sz w:val="16"/>
          <w:szCs w:val="16"/>
          <w:u w:val="single" w:color="auto"/>
          <w:color w:val="auto"/>
        </w:rPr>
        <w:t>Founder’s Purchase Agreement</w:t>
      </w:r>
      <w:r>
        <w:rPr>
          <w:rFonts w:ascii="Arial" w:cs="Arial" w:eastAsia="Arial" w:hAnsi="Arial"/>
          <w:sz w:val="16"/>
          <w:szCs w:val="16"/>
          <w:color w:val="auto"/>
        </w:rPr>
        <w:t>”), with Silver Spike Sponsor, LLC, a Delaware limited liability company (the “</w:t>
      </w:r>
      <w:r>
        <w:rPr>
          <w:rFonts w:ascii="Arial" w:cs="Arial" w:eastAsia="Arial" w:hAnsi="Arial"/>
          <w:sz w:val="16"/>
          <w:szCs w:val="16"/>
          <w:u w:val="single" w:color="auto"/>
          <w:color w:val="auto"/>
        </w:rPr>
        <w:t>Sponsor</w:t>
      </w:r>
      <w:r>
        <w:rPr>
          <w:rFonts w:ascii="Arial" w:cs="Arial" w:eastAsia="Arial" w:hAnsi="Arial"/>
          <w:sz w:val="16"/>
          <w:szCs w:val="16"/>
          <w:color w:val="auto"/>
        </w:rPr>
        <w:t>”), pursuant to which the Sponsor purchased an aggregate of 7,187,500 Class B ordinary shares, par value $0.0001 per share, of the Company, for an aggregate purchase price of $25,000 (the “</w:t>
      </w:r>
      <w:r>
        <w:rPr>
          <w:rFonts w:ascii="Arial" w:cs="Arial" w:eastAsia="Arial" w:hAnsi="Arial"/>
          <w:sz w:val="16"/>
          <w:szCs w:val="16"/>
          <w:u w:val="single" w:color="auto"/>
          <w:color w:val="auto"/>
        </w:rPr>
        <w:t>Founder Shares</w:t>
      </w:r>
      <w:r>
        <w:rPr>
          <w:rFonts w:ascii="Arial" w:cs="Arial" w:eastAsia="Arial" w:hAnsi="Arial"/>
          <w:sz w:val="16"/>
          <w:szCs w:val="16"/>
          <w:color w:val="auto"/>
        </w:rPr>
        <w:t>”). Up to 937,500 Founder Shares are subject to forfeiture depending on the extent to which the Underwriters’ over-allotment option is exercised. The Founder Shares are substantially similar to the Ordinary Shares included in the Units, except as described in the Registration Statement, the Statutory Prospectus and the Prospectus.</w:t>
      </w:r>
    </w:p>
    <w:p>
      <w:pPr>
        <w:spacing w:after="0" w:line="158"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The Company has entered into a Sponsor Warrants Purchase Agreement, effective as of [·] (the “</w:t>
      </w:r>
      <w:r>
        <w:rPr>
          <w:rFonts w:ascii="Arial" w:cs="Arial" w:eastAsia="Arial" w:hAnsi="Arial"/>
          <w:sz w:val="16"/>
          <w:szCs w:val="16"/>
          <w:u w:val="single" w:color="auto"/>
          <w:color w:val="auto"/>
        </w:rPr>
        <w:t>Warrant Subscription Agreement</w:t>
      </w:r>
      <w:r>
        <w:rPr>
          <w:rFonts w:ascii="Arial" w:cs="Arial" w:eastAsia="Arial" w:hAnsi="Arial"/>
          <w:sz w:val="16"/>
          <w:szCs w:val="16"/>
          <w:color w:val="auto"/>
        </w:rPr>
        <w:t>”), with the Sponsor, in substantially the form filed as Exhibit 10.6 to the Registration Statement, pursuant to which the Sponsor agreed to purchase an aggregate of 7,000,000 warrants (or up to 7,750,000 warrants if the over-allotment option is exercised in full), each entitling the holder to purchase one Ordinary Share (the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for $1.00 per Private Placement Warrant. The Private Placement Warrants are substantially similar to the Warrants included in the Units, except as described in the Registration Statement, the Statutory Prospectus and the Prospectus.</w:t>
      </w:r>
    </w:p>
    <w:p>
      <w:pPr>
        <w:spacing w:after="0" w:line="158"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The Company has entered into a Registration Rights Agreement, dated as of [·], with the Sponsor and the other parties thereto, in substantially the form filed as Exhibit 10.4 to the Registration Statement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pursuant to which the Company has granted certain registration rights in respect of the Private Placement Warrants and the Ordinary Shares underlying the Founder Shares and the Private Placement Warrants and the warrants (which will be substantially similar to the Private Placement Warrants) that may be issued upon conversion of working capital loans.</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caused to be duly executed and delivered a letter agreement, dated as of [·], by and among the Sponsor and each of the Company’s officers, directors, and director nominees, in the form filed as Exhibit 10.2 to the Registration Statement (the “</w:t>
      </w:r>
      <w:r>
        <w:rPr>
          <w:rFonts w:ascii="Arial" w:cs="Arial" w:eastAsia="Arial" w:hAnsi="Arial"/>
          <w:sz w:val="18"/>
          <w:szCs w:val="18"/>
          <w:u w:val="single" w:color="auto"/>
          <w:color w:val="auto"/>
        </w:rPr>
        <w:t>Insider Letter</w:t>
      </w:r>
      <w:r>
        <w:rPr>
          <w:rFonts w:ascii="Arial" w:cs="Arial" w:eastAsia="Arial" w:hAnsi="Arial"/>
          <w:sz w:val="18"/>
          <w:szCs w:val="18"/>
          <w:color w:val="auto"/>
        </w:rPr>
        <w:t>”).</w:t>
      </w:r>
    </w:p>
    <w:p>
      <w:pPr>
        <w:spacing w:after="0" w:line="170" w:lineRule="exact"/>
        <w:rPr>
          <w:sz w:val="20"/>
          <w:szCs w:val="20"/>
          <w:color w:val="auto"/>
        </w:rPr>
      </w:pPr>
    </w:p>
    <w:p>
      <w:pPr>
        <w:ind w:left="1100" w:hanging="444"/>
        <w:spacing w:after="0"/>
        <w:tabs>
          <w:tab w:leader="none" w:pos="110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the several Underwriters that:</w:t>
      </w:r>
    </w:p>
    <w:p>
      <w:pPr>
        <w:spacing w:after="0" w:line="248" w:lineRule="exact"/>
        <w:rPr>
          <w:sz w:val="20"/>
          <w:szCs w:val="20"/>
          <w:color w:val="auto"/>
        </w:rPr>
      </w:pPr>
    </w:p>
    <w:p>
      <w:pPr>
        <w:ind w:right="160" w:firstLine="656"/>
        <w:spacing w:after="0" w:line="257" w:lineRule="auto"/>
        <w:tabs>
          <w:tab w:leader="none" w:pos="1613"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Filing and Effectiveness of Registration Statement</w:t>
      </w:r>
      <w:r>
        <w:rPr>
          <w:rFonts w:ascii="Arial" w:cs="Arial" w:eastAsia="Arial" w:hAnsi="Arial"/>
          <w:sz w:val="18"/>
          <w:szCs w:val="18"/>
          <w:color w:val="auto"/>
        </w:rPr>
        <w:t>. The Company has prepared and filed with the Commission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(file number 333-232734) on Form S-1, including the related Preliminary Prospectus, for registration under the Act of the offering and sale of the Offered Securities. Such Registration Statement, including any amendments thereto filed prior to the Execution Time, has become effective. The Company has filed one or more amendments thereto, including the related Preliminary Prospectus, each of which has previously been furnished to the Representative. The Company</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8" w:name="page189"/>
    <w:bookmarkEnd w:id="188"/>
    <w:p>
      <w:pPr>
        <w:ind w:right="100"/>
        <w:spacing w:after="0" w:line="297" w:lineRule="auto"/>
        <w:rPr>
          <w:sz w:val="20"/>
          <w:szCs w:val="20"/>
          <w:color w:val="auto"/>
        </w:rPr>
      </w:pPr>
      <w:r>
        <w:rPr>
          <w:rFonts w:ascii="Arial" w:cs="Arial" w:eastAsia="Arial" w:hAnsi="Arial"/>
          <w:sz w:val="16"/>
          <w:szCs w:val="16"/>
          <w:color w:val="auto"/>
        </w:rPr>
        <w:t>will file with the Commission the Prospectus in accordance with Rule 424(b). As filed, the Prospectus shall contain all information required by the Act and, except to the extent the Representative shall agree in writing to a modification, shall be in all substantive respects in the form furnished to the Representative prior to the Execution Time or, to the extent not completed at the Execution Time, shall contain only such specific additional information and other changes (beyond that contained in the latest Preliminary Prospectus) as the Company has advised the Representative, prior to the Execution Time, will be included or made therein. The Company has complied to the Commission’s satisfaction with all requests of the Commission for additional or supplemental information.</w:t>
      </w:r>
    </w:p>
    <w:p>
      <w:pPr>
        <w:spacing w:after="0" w:line="158" w:lineRule="exact"/>
        <w:rPr>
          <w:sz w:val="20"/>
          <w:szCs w:val="20"/>
          <w:color w:val="auto"/>
        </w:rPr>
      </w:pPr>
    </w:p>
    <w:p>
      <w:pPr>
        <w:ind w:right="40" w:firstLine="656"/>
        <w:spacing w:after="0" w:line="285" w:lineRule="auto"/>
        <w:tabs>
          <w:tab w:leader="none" w:pos="1578"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Compliance with Securities Act Requirements</w:t>
      </w:r>
      <w:r>
        <w:rPr>
          <w:rFonts w:ascii="Arial" w:cs="Arial" w:eastAsia="Arial" w:hAnsi="Arial"/>
          <w:sz w:val="16"/>
          <w:szCs w:val="16"/>
          <w:color w:val="auto"/>
        </w:rPr>
        <w:t>. On the Effective Date, the Registration Statement did, and when the Prospectus is first</w:t>
      </w:r>
      <w:r>
        <w:rPr>
          <w:rFonts w:ascii="Arial" w:cs="Arial" w:eastAsia="Arial" w:hAnsi="Arial"/>
          <w:sz w:val="16"/>
          <w:szCs w:val="16"/>
          <w:i w:val="1"/>
          <w:iCs w:val="1"/>
          <w:color w:val="auto"/>
        </w:rPr>
        <w:t xml:space="preserve"> </w:t>
      </w:r>
      <w:r>
        <w:rPr>
          <w:rFonts w:ascii="Arial" w:cs="Arial" w:eastAsia="Arial" w:hAnsi="Arial"/>
          <w:sz w:val="16"/>
          <w:szCs w:val="16"/>
          <w:color w:val="auto"/>
        </w:rPr>
        <w:t>filed in accordance with Rule 424(b) and on the Closing Date (as defined herein) and on any date on which Optional Securities are purchased, if such date is not the Closing Date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the Prospectus (and any supplement thereto) will, comply in all material respects with the applicable requirements of the Act; on the Effective Date and at the Execution Time, the Registration Statement did not and will not contain any untrue statement of a material fact or omit to state any material fact required to be stated therein or necessary in order to make the statements therein not misleading; as of the Applicable Time and on the Closing Date and any settlement date, any individual Written Testing-the-Waters Communication (as defined herein) did not conflict with the information contained in the Registration Statement or the Statutory Prospectus, and complied in all material respects with the Act; as of the Applicable Time and on the Closing Date and any settlement date, each “road show” as defined in Rule 433(h) of the Act and any individual Written Testing-the-Waters Communication, in each case, when considered together with the Statutory Prospectus, did not and will not contain any untrue statement of a material fact or omit to state any material fact required to be stated therein or necessary in order to make the statements therein, in the light of the circumstances under which they were made, not misleading; and on the date of any filing pursuant to Rule 424(b) and on the Closing Date and each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 specifically for inclusion in the Registration Statement or the Prospectus (or any supplement thereto), it being understood and agreed that the only such information furnished by any Underwriter consists of the information described as such in Section 8(b) hereof.</w:t>
      </w:r>
    </w:p>
    <w:p>
      <w:pPr>
        <w:spacing w:after="0" w:line="175" w:lineRule="exact"/>
        <w:rPr>
          <w:rFonts w:ascii="Arial" w:cs="Arial" w:eastAsia="Arial" w:hAnsi="Arial"/>
          <w:sz w:val="16"/>
          <w:szCs w:val="16"/>
          <w:color w:val="auto"/>
        </w:rPr>
      </w:pPr>
    </w:p>
    <w:p>
      <w:pPr>
        <w:ind w:firstLine="656"/>
        <w:spacing w:after="0" w:line="273" w:lineRule="auto"/>
        <w:tabs>
          <w:tab w:leader="none" w:pos="1613"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Statutory Prospectus</w:t>
      </w:r>
      <w:r>
        <w:rPr>
          <w:rFonts w:ascii="Arial" w:cs="Arial" w:eastAsia="Arial" w:hAnsi="Arial"/>
          <w:sz w:val="17"/>
          <w:szCs w:val="17"/>
          <w:color w:val="auto"/>
        </w:rPr>
        <w:t>. The Statutory Prospectus, as of the Applicable Time and on the Closing Date and any settlement date, did not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not contain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makes no representations or warranties as to the information contained in or omitted from the Statutory Prospectus in reliance upon and in conformity with written information furnished to the Company by or on behalf of any Underwriter through the Representative specifically for use therein, it being understood and agreed that the only such information furnished by or on behalf of any Underwriter consists of the information described as such in Section 8(b) hereof.</w:t>
      </w:r>
    </w:p>
    <w:p>
      <w:pPr>
        <w:spacing w:after="0" w:line="178" w:lineRule="exact"/>
        <w:rPr>
          <w:rFonts w:ascii="Arial" w:cs="Arial" w:eastAsia="Arial" w:hAnsi="Arial"/>
          <w:sz w:val="17"/>
          <w:szCs w:val="17"/>
          <w:color w:val="auto"/>
        </w:rPr>
      </w:pPr>
    </w:p>
    <w:p>
      <w:pPr>
        <w:ind w:right="80" w:firstLine="656"/>
        <w:spacing w:after="0" w:line="257" w:lineRule="auto"/>
        <w:tabs>
          <w:tab w:leader="none" w:pos="1578"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has filed with the Commission a Form 8-A (file number 001-[·]) providing for the registration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of the Offered Securities and the Ordinary Shares and Warrants included as part of the Offered Securities, which registration is currently effective on the date hereof. The Offered Securities and the Ordinary Shares and Warrants included as part of the Offered Securities have been authorized for listing, subject to official notice of issuance and evidence of satisfactory distribution, on the Nasdaq Capital Market, and the Company knows of no reason or set of facts that is likely to adversely affect such authorization.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9" w:name="page190"/>
    <w:bookmarkEnd w:id="189"/>
    <w:p>
      <w:pPr>
        <w:jc w:val="both"/>
        <w:ind w:right="40" w:firstLine="656"/>
        <w:spacing w:after="0" w:line="264" w:lineRule="auto"/>
        <w:tabs>
          <w:tab w:leader="none" w:pos="1613"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No Stop Order</w:t>
      </w:r>
      <w:r>
        <w:rPr>
          <w:rFonts w:ascii="Arial" w:cs="Arial" w:eastAsia="Arial" w:hAnsi="Arial"/>
          <w:sz w:val="18"/>
          <w:szCs w:val="18"/>
          <w:color w:val="auto"/>
        </w:rPr>
        <w:t>. The Commission has not issued any order or, to the Company’s knowledge, threatened to issue any order preventing or</w:t>
      </w:r>
      <w:r>
        <w:rPr>
          <w:rFonts w:ascii="Arial" w:cs="Arial" w:eastAsia="Arial" w:hAnsi="Arial"/>
          <w:sz w:val="18"/>
          <w:szCs w:val="18"/>
          <w:i w:val="1"/>
          <w:iCs w:val="1"/>
          <w:color w:val="auto"/>
        </w:rPr>
        <w:t xml:space="preserve"> </w:t>
      </w:r>
      <w:r>
        <w:rPr>
          <w:rFonts w:ascii="Arial" w:cs="Arial" w:eastAsia="Arial" w:hAnsi="Arial"/>
          <w:sz w:val="18"/>
          <w:szCs w:val="18"/>
          <w:color w:val="auto"/>
        </w:rPr>
        <w:t>suspending the effectiveness of the Registration Statement or the use of any Preliminary Prospectus, the Prospectus or any part thereof, and has not instituted or, to the Company’s knowledge, threatened to institute any proceedings with respect to such an order.</w:t>
      </w:r>
    </w:p>
    <w:p>
      <w:pPr>
        <w:spacing w:after="0" w:line="181" w:lineRule="exact"/>
        <w:rPr>
          <w:rFonts w:ascii="Arial" w:cs="Arial" w:eastAsia="Arial" w:hAnsi="Arial"/>
          <w:sz w:val="18"/>
          <w:szCs w:val="18"/>
          <w:color w:val="auto"/>
        </w:rPr>
      </w:pPr>
    </w:p>
    <w:p>
      <w:pPr>
        <w:ind w:firstLine="656"/>
        <w:spacing w:after="0" w:line="277" w:lineRule="auto"/>
        <w:tabs>
          <w:tab w:leader="none" w:pos="1638"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Ineligible Issuer Status</w:t>
      </w:r>
      <w:r>
        <w:rPr>
          <w:rFonts w:ascii="Arial" w:cs="Arial" w:eastAsia="Arial" w:hAnsi="Arial"/>
          <w:sz w:val="18"/>
          <w:szCs w:val="18"/>
          <w:color w:val="auto"/>
        </w:rPr>
        <w:t>. (i) At the time of filing the Registration Statement and (ii) as of the Execution Time (with such date being used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determination date for purposes of this clause (ii)), the Company was and is an Ineligible Issuer (as defined in Rule 405).</w:t>
      </w:r>
    </w:p>
    <w:p>
      <w:pPr>
        <w:spacing w:after="0" w:line="170" w:lineRule="exact"/>
        <w:rPr>
          <w:rFonts w:ascii="Arial" w:cs="Arial" w:eastAsia="Arial" w:hAnsi="Arial"/>
          <w:sz w:val="18"/>
          <w:szCs w:val="18"/>
          <w:color w:val="auto"/>
        </w:rPr>
      </w:pPr>
    </w:p>
    <w:p>
      <w:pPr>
        <w:ind w:left="1580" w:hanging="924"/>
        <w:spacing w:after="0"/>
        <w:tabs>
          <w:tab w:leader="none" w:pos="15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Free Writing Prospectuses</w:t>
      </w:r>
      <w:r>
        <w:rPr>
          <w:rFonts w:ascii="Arial" w:cs="Arial" w:eastAsia="Arial" w:hAnsi="Arial"/>
          <w:sz w:val="18"/>
          <w:szCs w:val="18"/>
          <w:color w:val="auto"/>
        </w:rPr>
        <w:t>. The Company has not prepared or used a Free Writing Prospectus.</w:t>
      </w:r>
    </w:p>
    <w:p>
      <w:pPr>
        <w:spacing w:after="0" w:line="225" w:lineRule="exact"/>
        <w:rPr>
          <w:rFonts w:ascii="Arial" w:cs="Arial" w:eastAsia="Arial" w:hAnsi="Arial"/>
          <w:sz w:val="18"/>
          <w:szCs w:val="18"/>
          <w:color w:val="auto"/>
        </w:rPr>
      </w:pPr>
    </w:p>
    <w:p>
      <w:pPr>
        <w:ind w:firstLine="656"/>
        <w:spacing w:after="0" w:line="272" w:lineRule="auto"/>
        <w:tabs>
          <w:tab w:leader="none" w:pos="1578"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Good Standing of the Company</w:t>
      </w:r>
      <w:r>
        <w:rPr>
          <w:rFonts w:ascii="Arial" w:cs="Arial" w:eastAsia="Arial" w:hAnsi="Arial"/>
          <w:sz w:val="17"/>
          <w:szCs w:val="17"/>
          <w:color w:val="auto"/>
        </w:rPr>
        <w:t>. The Company has been duly incorporated and is validly existing as an exempted company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 Cayman Islands with full corporate power and authority to own or lease, as the case may be, and to operate its properties and conduct its business as described in the Registration Statement, the Statutory Prospectus and the Prospectus and to enter into this Agreement, the Trust Agreement, the Warrant Agreement, the Founder’s Purchase Agreement, the Warrant Subscription Agreement, the Registration Rights Agreement and the Insider Letter and to carry out the transactions contemplated hereby and thereby, and, except where failure to be so qualified or be in good standing would not reasonably be expected to have a Material Adverse Effect (as defined below), is duly qualified to do business as a foreign corporation and is in good standing under the laws of each jurisdiction that requires such qualification.</w:t>
      </w:r>
    </w:p>
    <w:p>
      <w:pPr>
        <w:spacing w:after="0" w:line="177" w:lineRule="exact"/>
        <w:rPr>
          <w:rFonts w:ascii="Arial" w:cs="Arial" w:eastAsia="Arial" w:hAnsi="Arial"/>
          <w:sz w:val="17"/>
          <w:szCs w:val="17"/>
          <w:color w:val="auto"/>
        </w:rPr>
      </w:pPr>
    </w:p>
    <w:p>
      <w:pPr>
        <w:ind w:firstLine="656"/>
        <w:spacing w:after="0" w:line="272" w:lineRule="auto"/>
        <w:tabs>
          <w:tab w:leader="none" w:pos="1628"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Disclosure</w:t>
      </w:r>
      <w:r>
        <w:rPr>
          <w:rFonts w:ascii="Arial" w:cs="Arial" w:eastAsia="Arial" w:hAnsi="Arial"/>
          <w:sz w:val="17"/>
          <w:szCs w:val="17"/>
          <w:color w:val="auto"/>
        </w:rPr>
        <w:t>. There is no franchise, contract or other document of a character required to be described in the Registration Statement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or to be filed as an exhibit thereto, which is not described or filed as required (and the Statutory Prospectus contains in all material respects the same description of the foregoing matters contained in the Prospectus); and the statements in the Statutory Prospectus and the Prospectus under the headings “Principal Shareholders,” “Certain Relationships and Related Party Transactions,” and “Description of Securities” insofar as such statements summarize legal matters, agreements, documents or proceedings discussed therein, are accurate and fair summaries of such legal matters, agreements, documents or proceedings. There are no business relationships or related party transactions involving the Company or any other person required by the Act to be described in the Registration Statement or Prospectus that have not been described as required.</w:t>
      </w:r>
    </w:p>
    <w:p>
      <w:pPr>
        <w:spacing w:after="0" w:line="177" w:lineRule="exact"/>
        <w:rPr>
          <w:rFonts w:ascii="Arial" w:cs="Arial" w:eastAsia="Arial" w:hAnsi="Arial"/>
          <w:sz w:val="17"/>
          <w:szCs w:val="17"/>
          <w:color w:val="auto"/>
        </w:rPr>
      </w:pPr>
    </w:p>
    <w:p>
      <w:pPr>
        <w:ind w:left="1640" w:hanging="984"/>
        <w:spacing w:after="0"/>
        <w:tabs>
          <w:tab w:leader="none" w:pos="164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The Company’s authorized equity capitalization is as set forth in the Registration Statement, the Statutory Prospectus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the Prospectus.</w:t>
      </w:r>
    </w:p>
    <w:p>
      <w:pPr>
        <w:spacing w:after="0" w:line="210" w:lineRule="exact"/>
        <w:rPr>
          <w:rFonts w:ascii="Arial" w:cs="Arial" w:eastAsia="Arial" w:hAnsi="Arial"/>
          <w:sz w:val="16"/>
          <w:szCs w:val="16"/>
          <w:color w:val="auto"/>
        </w:rPr>
      </w:pPr>
    </w:p>
    <w:p>
      <w:pPr>
        <w:ind w:right="20" w:firstLine="656"/>
        <w:spacing w:after="0" w:line="271" w:lineRule="auto"/>
        <w:tabs>
          <w:tab w:leader="none" w:pos="1578"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Outstanding Securities</w:t>
      </w:r>
      <w:r>
        <w:rPr>
          <w:rFonts w:ascii="Arial" w:cs="Arial" w:eastAsia="Arial" w:hAnsi="Arial"/>
          <w:sz w:val="17"/>
          <w:szCs w:val="17"/>
          <w:color w:val="auto"/>
        </w:rPr>
        <w:t>. All issued and outstanding securities of the Company have been duly and validly authorized and issued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fully paid and non-assessable; and none of such securities were issued in violation of the preemptive rights of any holders of any security of the Company or similar contractual rights granted by the Company. The offers and sales of the outstanding securities of the Company were at all relevant times either registered under the Act, the applicable state securities and blue sky laws or, based in part on the representations and warranties of the purchasers of such securities, exempt from such registration requirements. The holders of issued and outstanding securities of the Company are not entitled to preemptive or other rights to subscribe for the securities of the Company; and, except as set forth in the Registration Statement, the Statutory Prospectus and the Prospectus, no options, warrants or other rights to purchase, agreements or other obligations to issue, or rights to convert any obligations into or exchange any securities for, ordinary shares or other ownership interests in the Company are outstanding.</w:t>
      </w:r>
    </w:p>
    <w:p>
      <w:pPr>
        <w:spacing w:after="0" w:line="178" w:lineRule="exact"/>
        <w:rPr>
          <w:rFonts w:ascii="Arial" w:cs="Arial" w:eastAsia="Arial" w:hAnsi="Arial"/>
          <w:sz w:val="17"/>
          <w:szCs w:val="17"/>
          <w:color w:val="auto"/>
        </w:rPr>
      </w:pPr>
    </w:p>
    <w:p>
      <w:pPr>
        <w:ind w:right="820" w:firstLine="656"/>
        <w:spacing w:after="0" w:line="277" w:lineRule="auto"/>
        <w:tabs>
          <w:tab w:leader="none" w:pos="1628"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Offered Securities</w:t>
      </w:r>
      <w:r>
        <w:rPr>
          <w:rFonts w:ascii="Arial" w:cs="Arial" w:eastAsia="Arial" w:hAnsi="Arial"/>
          <w:sz w:val="18"/>
          <w:szCs w:val="18"/>
          <w:color w:val="auto"/>
        </w:rPr>
        <w:t>. The Offered Securities have been duly authorized and when issued and delivered against payment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pursuant to this Agreement, will be validly issued.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0" w:name="page191"/>
    <w:bookmarkEnd w:id="190"/>
    <w:p>
      <w:pPr>
        <w:ind w:left="-40" w:firstLine="656"/>
        <w:spacing w:after="0" w:line="279" w:lineRule="auto"/>
        <w:tabs>
          <w:tab w:leader="none" w:pos="1543"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Ordinary Shares</w:t>
      </w:r>
      <w:r>
        <w:rPr>
          <w:rFonts w:ascii="Arial" w:cs="Arial" w:eastAsia="Arial" w:hAnsi="Arial"/>
          <w:sz w:val="17"/>
          <w:szCs w:val="17"/>
          <w:color w:val="auto"/>
        </w:rPr>
        <w:t>. The Ordinary Shares included in the Units have been duly authorized and, when issued and delivered against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Offered Securities by the Underwriters pursuant to this Agreement and registered in the Company’s register of members, will be validly issued, fully paid and non-assessable. The holders of such Ordinary Shares are not and will not be subject to personal liability by reason of being such holders; such Ordinary Shares are not and will not be subject to any preemptive or other similar contractual rights granted by the Company.</w:t>
      </w:r>
    </w:p>
    <w:p>
      <w:pPr>
        <w:spacing w:after="0" w:line="171" w:lineRule="exact"/>
        <w:rPr>
          <w:rFonts w:ascii="Arial" w:cs="Arial" w:eastAsia="Arial" w:hAnsi="Arial"/>
          <w:sz w:val="17"/>
          <w:szCs w:val="17"/>
          <w:color w:val="auto"/>
        </w:rPr>
      </w:pPr>
    </w:p>
    <w:p>
      <w:pPr>
        <w:ind w:left="-40" w:right="200" w:firstLine="656"/>
        <w:spacing w:after="0" w:line="302" w:lineRule="auto"/>
        <w:tabs>
          <w:tab w:leader="none" w:pos="1538"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Warrants</w:t>
      </w:r>
      <w:r>
        <w:rPr>
          <w:rFonts w:ascii="Arial" w:cs="Arial" w:eastAsia="Arial" w:hAnsi="Arial"/>
          <w:sz w:val="16"/>
          <w:szCs w:val="16"/>
          <w:color w:val="auto"/>
        </w:rPr>
        <w:t>. The Warrants included in the Units, when issued and delivered in the manner set forth in the Warrant Agreement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for the Offered Securities by the Underwriters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54" w:lineRule="exact"/>
        <w:rPr>
          <w:rFonts w:ascii="Arial" w:cs="Arial" w:eastAsia="Arial" w:hAnsi="Arial"/>
          <w:sz w:val="16"/>
          <w:szCs w:val="16"/>
          <w:color w:val="auto"/>
        </w:rPr>
      </w:pPr>
    </w:p>
    <w:p>
      <w:pPr>
        <w:ind w:left="-40" w:firstLine="656"/>
        <w:spacing w:after="0" w:line="272" w:lineRule="auto"/>
        <w:tabs>
          <w:tab w:leader="none" w:pos="1538"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Ordinary Shares Issuable Upon Exercise of Warrants</w:t>
      </w:r>
      <w:r>
        <w:rPr>
          <w:rFonts w:ascii="Arial" w:cs="Arial" w:eastAsia="Arial" w:hAnsi="Arial"/>
          <w:sz w:val="17"/>
          <w:szCs w:val="17"/>
          <w:color w:val="auto"/>
        </w:rPr>
        <w:t>. The Ordinary Shares issuable upon exercise of the Warrants included in the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Private Placement Warrants have been duly authorized and reserved for issuance upon exercise thereof and, when issued and delivered against payment therefor pursuant to the Warrants and the Private Placement Warrants, as applicable, and the Warrant Agreement and registered in the Company’s register of members, will be validly issued, fully paid and non-assessable. The holders of such Ordinary Shares are not and will not be subject to personal liability by reason of being such holders; such Ordinary Shares are not and will not be subject to any preemptive or other similar contractual rights granted by the Company; and all corporate action required to be taken for the authorization, issuance and sale of such Ordinary Shares (other than such execution (if applicable), countersignature (if applicable) and delivery at the time of issuance) has been duly and validly taken.</w:t>
      </w:r>
    </w:p>
    <w:p>
      <w:pPr>
        <w:spacing w:after="0" w:line="177" w:lineRule="exact"/>
        <w:rPr>
          <w:rFonts w:ascii="Arial" w:cs="Arial" w:eastAsia="Arial" w:hAnsi="Arial"/>
          <w:sz w:val="17"/>
          <w:szCs w:val="17"/>
          <w:color w:val="auto"/>
        </w:rPr>
      </w:pPr>
    </w:p>
    <w:p>
      <w:pPr>
        <w:ind w:left="-40" w:right="120" w:firstLine="656"/>
        <w:spacing w:after="0" w:line="312" w:lineRule="auto"/>
        <w:tabs>
          <w:tab w:leader="none" w:pos="1538"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Except as set forth in the Registration Statement, the Statutory Prospectus and the Prospectus, no holders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46" w:lineRule="exact"/>
        <w:rPr>
          <w:rFonts w:ascii="Arial" w:cs="Arial" w:eastAsia="Arial" w:hAnsi="Arial"/>
          <w:sz w:val="16"/>
          <w:szCs w:val="16"/>
          <w:color w:val="auto"/>
        </w:rPr>
      </w:pPr>
    </w:p>
    <w:p>
      <w:pPr>
        <w:ind w:left="-40" w:right="40" w:firstLine="656"/>
        <w:spacing w:after="0" w:line="264" w:lineRule="auto"/>
        <w:tabs>
          <w:tab w:leader="none" w:pos="1538"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Sales to Affiliates</w:t>
      </w:r>
      <w:r>
        <w:rPr>
          <w:rFonts w:ascii="Arial" w:cs="Arial" w:eastAsia="Arial" w:hAnsi="Arial"/>
          <w:sz w:val="18"/>
          <w:szCs w:val="18"/>
          <w:color w:val="auto"/>
        </w:rPr>
        <w:t>. No securities of the Company have been sold by the Company or by or on behalf of, or for the benefit of,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or persons controlling, controlled by, or under common control with the Company from its inception through and including the date hereof, except as disclosed in the Registration Statement, the Statutory Prospectus and the Prospectus.</w:t>
      </w:r>
    </w:p>
    <w:p>
      <w:pPr>
        <w:spacing w:after="0" w:line="181" w:lineRule="exact"/>
        <w:rPr>
          <w:rFonts w:ascii="Arial" w:cs="Arial" w:eastAsia="Arial" w:hAnsi="Arial"/>
          <w:sz w:val="18"/>
          <w:szCs w:val="18"/>
          <w:color w:val="auto"/>
        </w:rPr>
      </w:pPr>
    </w:p>
    <w:p>
      <w:pPr>
        <w:ind w:left="-40" w:right="80" w:firstLine="656"/>
        <w:spacing w:after="0" w:line="308" w:lineRule="auto"/>
        <w:tabs>
          <w:tab w:leader="none" w:pos="1598"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Integration</w:t>
      </w:r>
      <w:r>
        <w:rPr>
          <w:rFonts w:ascii="Arial" w:cs="Arial" w:eastAsia="Arial" w:hAnsi="Arial"/>
          <w:sz w:val="17"/>
          <w:szCs w:val="17"/>
          <w:color w:val="auto"/>
        </w:rPr>
        <w:t>. Neither the Company nor any of its affiliates has, prior to the date hereof, made any offer or sale of any securities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“integrated” pursuant to the Act with the offer and sale of the Offered Securities pursuant to the Registration Statement.</w:t>
      </w:r>
    </w:p>
    <w:p>
      <w:pPr>
        <w:spacing w:after="0" w:line="146" w:lineRule="exact"/>
        <w:rPr>
          <w:rFonts w:ascii="Arial" w:cs="Arial" w:eastAsia="Arial" w:hAnsi="Arial"/>
          <w:sz w:val="17"/>
          <w:szCs w:val="17"/>
          <w:color w:val="auto"/>
        </w:rPr>
      </w:pPr>
    </w:p>
    <w:p>
      <w:pPr>
        <w:ind w:left="1580" w:hanging="964"/>
        <w:spacing w:after="0"/>
        <w:tabs>
          <w:tab w:leader="none" w:pos="15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Founder Shares</w:t>
      </w:r>
      <w:r>
        <w:rPr>
          <w:rFonts w:ascii="Arial" w:cs="Arial" w:eastAsia="Arial" w:hAnsi="Arial"/>
          <w:sz w:val="18"/>
          <w:szCs w:val="18"/>
          <w:color w:val="auto"/>
        </w:rPr>
        <w:t>. The outstanding Founder Shares are duly authorized, validly issued, fully paid and non-assessable.</w:t>
      </w:r>
    </w:p>
    <w:p>
      <w:pPr>
        <w:spacing w:after="0" w:line="225" w:lineRule="exact"/>
        <w:rPr>
          <w:rFonts w:ascii="Arial" w:cs="Arial" w:eastAsia="Arial" w:hAnsi="Arial"/>
          <w:sz w:val="18"/>
          <w:szCs w:val="18"/>
          <w:color w:val="auto"/>
        </w:rPr>
      </w:pPr>
    </w:p>
    <w:p>
      <w:pPr>
        <w:ind w:left="-40" w:right="100" w:firstLine="656"/>
        <w:spacing w:after="0" w:line="259" w:lineRule="auto"/>
        <w:tabs>
          <w:tab w:leader="none" w:pos="1588"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Private Placement Warrants</w:t>
      </w:r>
      <w:r>
        <w:rPr>
          <w:rFonts w:ascii="Arial" w:cs="Arial" w:eastAsia="Arial" w:hAnsi="Arial"/>
          <w:sz w:val="18"/>
          <w:szCs w:val="18"/>
          <w:color w:val="auto"/>
        </w:rPr>
        <w:t>. The Private Placement Warrants, when delivered upon the consummation of the Offering, will be duly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ind w:left="1540" w:hanging="924"/>
        <w:spacing w:after="0"/>
        <w:tabs>
          <w:tab w:leader="none" w:pos="15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sectPr>
      </w:pPr>
    </w:p>
    <w:bookmarkStart w:id="191" w:name="page192"/>
    <w:bookmarkEnd w:id="191"/>
    <w:p>
      <w:pPr>
        <w:ind w:left="-20" w:right="60" w:firstLine="656"/>
        <w:spacing w:after="0" w:line="312" w:lineRule="auto"/>
        <w:tabs>
          <w:tab w:leader="none" w:pos="1558"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Trust Agreement</w:t>
      </w:r>
      <w:r>
        <w:rPr>
          <w:rFonts w:ascii="Arial" w:cs="Arial" w:eastAsia="Arial" w:hAnsi="Arial"/>
          <w:sz w:val="16"/>
          <w:szCs w:val="16"/>
          <w:color w:val="auto"/>
        </w:rPr>
        <w:t>. The Trust Agreement has been duly authorized, executed and delivered by the Company, and is a valid and binding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46" w:lineRule="exact"/>
        <w:rPr>
          <w:rFonts w:ascii="Arial" w:cs="Arial" w:eastAsia="Arial" w:hAnsi="Arial"/>
          <w:sz w:val="16"/>
          <w:szCs w:val="16"/>
          <w:color w:val="auto"/>
        </w:rPr>
      </w:pPr>
    </w:p>
    <w:p>
      <w:pPr>
        <w:ind w:left="-20" w:right="320" w:firstLine="656"/>
        <w:spacing w:after="0" w:line="312" w:lineRule="auto"/>
        <w:tabs>
          <w:tab w:leader="none" w:pos="1553"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Warrant Agreement</w:t>
      </w:r>
      <w:r>
        <w:rPr>
          <w:rFonts w:ascii="Arial" w:cs="Arial" w:eastAsia="Arial" w:hAnsi="Arial"/>
          <w:sz w:val="16"/>
          <w:szCs w:val="16"/>
          <w:color w:val="auto"/>
        </w:rPr>
        <w:t>. The Warrant Agreement has been duly authorized, executed and delivered by the Company and is a valid and</w:t>
      </w:r>
      <w:r>
        <w:rPr>
          <w:rFonts w:ascii="Arial" w:cs="Arial" w:eastAsia="Arial" w:hAnsi="Arial"/>
          <w:sz w:val="16"/>
          <w:szCs w:val="16"/>
          <w:i w:val="1"/>
          <w:iCs w:val="1"/>
          <w:color w:val="auto"/>
        </w:rPr>
        <w:t xml:space="preserve"> </w:t>
      </w:r>
      <w:r>
        <w:rPr>
          <w:rFonts w:ascii="Arial" w:cs="Arial" w:eastAsia="Arial" w:hAnsi="Arial"/>
          <w:sz w:val="16"/>
          <w:szCs w:val="16"/>
          <w:color w:val="auto"/>
        </w:rPr>
        <w:t>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46" w:lineRule="exact"/>
        <w:rPr>
          <w:rFonts w:ascii="Arial" w:cs="Arial" w:eastAsia="Arial" w:hAnsi="Arial"/>
          <w:sz w:val="16"/>
          <w:szCs w:val="16"/>
          <w:color w:val="auto"/>
        </w:rPr>
      </w:pPr>
    </w:p>
    <w:p>
      <w:pPr>
        <w:jc w:val="both"/>
        <w:ind w:left="-20" w:right="20" w:firstLine="656"/>
        <w:spacing w:after="0" w:line="259" w:lineRule="auto"/>
        <w:tabs>
          <w:tab w:leader="none" w:pos="1558"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Founder</w:t>
      </w:r>
      <w:r>
        <w:rPr>
          <w:rFonts w:ascii="Arial" w:cs="Arial" w:eastAsia="Arial" w:hAnsi="Arial"/>
          <w:sz w:val="18"/>
          <w:szCs w:val="18"/>
          <w:color w:val="auto"/>
        </w:rPr>
        <w:t>’</w:t>
      </w:r>
      <w:r>
        <w:rPr>
          <w:rFonts w:ascii="Arial" w:cs="Arial" w:eastAsia="Arial" w:hAnsi="Arial"/>
          <w:sz w:val="18"/>
          <w:szCs w:val="18"/>
          <w:i w:val="1"/>
          <w:iCs w:val="1"/>
          <w:color w:val="auto"/>
        </w:rPr>
        <w:t>s Purchase Agreement</w:t>
      </w:r>
      <w:r>
        <w:rPr>
          <w:rFonts w:ascii="Arial" w:cs="Arial" w:eastAsia="Arial" w:hAnsi="Arial"/>
          <w:sz w:val="18"/>
          <w:szCs w:val="18"/>
          <w:color w:val="auto"/>
        </w:rPr>
        <w:t>. The Founder’s Purchase Agreement has been duly authorized, executed and delivered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ind w:left="-20" w:right="200" w:firstLine="656"/>
        <w:spacing w:after="0" w:line="259" w:lineRule="auto"/>
        <w:tabs>
          <w:tab w:leader="none" w:pos="1558"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Warrant Subscription Agreement</w:t>
      </w:r>
      <w:r>
        <w:rPr>
          <w:rFonts w:ascii="Arial" w:cs="Arial" w:eastAsia="Arial" w:hAnsi="Arial"/>
          <w:sz w:val="18"/>
          <w:szCs w:val="18"/>
          <w:color w:val="auto"/>
        </w:rPr>
        <w:t>. The Warrant Subscription Agreement has been duly authorized, executed and delivered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20" w:right="80" w:firstLine="656"/>
        <w:spacing w:after="0" w:line="259" w:lineRule="auto"/>
        <w:tabs>
          <w:tab w:leader="none" w:pos="1593"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Registration Rights Agreement has been duly authorized, executed and delivered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7" w:lineRule="exact"/>
        <w:rPr>
          <w:sz w:val="20"/>
          <w:szCs w:val="20"/>
          <w:color w:val="auto"/>
        </w:rPr>
      </w:pPr>
    </w:p>
    <w:p>
      <w:pPr>
        <w:ind w:left="-20" w:right="60" w:firstLine="656"/>
        <w:spacing w:after="0" w:line="293" w:lineRule="auto"/>
        <w:tabs>
          <w:tab w:leader="none" w:pos="1538"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Insider Letter</w:t>
      </w:r>
      <w:r>
        <w:rPr>
          <w:rFonts w:ascii="Arial" w:cs="Arial" w:eastAsia="Arial" w:hAnsi="Arial"/>
          <w:sz w:val="16"/>
          <w:szCs w:val="16"/>
          <w:color w:val="auto"/>
        </w:rPr>
        <w:t>. The Insider Letter executed by the Company, the Sponsor and, each executive officer, director and director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has been duly authorized, executed and delivered by the Company, the Sponsor and, to the Company’s knowledge, each such executive officer, director and director nominee, respectively, and is a valid and binding agreement of the Company, the Sponsor and, to the Company’s knowledge, each such executive officer, director and director nominee, respectively, enforceable against the Company, the Sponsor and, to the Company’s knowledge, each such executive officer, director and director nominee,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64" w:lineRule="exact"/>
        <w:rPr>
          <w:rFonts w:ascii="Arial" w:cs="Arial" w:eastAsia="Arial" w:hAnsi="Arial"/>
          <w:sz w:val="16"/>
          <w:szCs w:val="16"/>
          <w:color w:val="auto"/>
        </w:rPr>
      </w:pPr>
    </w:p>
    <w:p>
      <w:pPr>
        <w:jc w:val="both"/>
        <w:ind w:left="-20" w:right="180" w:firstLine="656"/>
        <w:spacing w:after="0" w:line="286" w:lineRule="auto"/>
        <w:tabs>
          <w:tab w:leader="none" w:pos="1513"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after giving effect to the offering and sale of the Offered Securities and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Placement Warrants and the application of the proceeds thereof as described in the Registration Statement, the Statutory Prospectus and the Prospectus, will not be an “investment company” as defined in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20" w:firstLine="656"/>
        <w:spacing w:after="0" w:line="259" w:lineRule="auto"/>
        <w:tabs>
          <w:tab w:leader="none" w:pos="1538"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Absence of Further Requirements</w:t>
      </w:r>
      <w:r>
        <w:rPr>
          <w:rFonts w:ascii="Arial" w:cs="Arial" w:eastAsia="Arial" w:hAnsi="Arial"/>
          <w:sz w:val="18"/>
          <w:szCs w:val="18"/>
          <w:color w:val="auto"/>
        </w:rPr>
        <w:t>. No consent, approval, authorization, filing with or order of any court or governmental agency or body</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 in connection with the transactions contemplated herein or in the Trust Agreement, the Warrant Agreement, the Founder’s Purchase Agreement, the Warrant Subscription Agreement, the Registration Rights Agreement or the Insider Letter, except for the registration under the Act and the Exchange Act of the Offered Securities and the Ordinary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192" w:name="page193"/>
    <w:bookmarkEnd w:id="192"/>
    <w:p>
      <w:pPr>
        <w:jc w:val="both"/>
        <w:ind w:right="500"/>
        <w:spacing w:after="0" w:line="264" w:lineRule="auto"/>
        <w:rPr>
          <w:sz w:val="20"/>
          <w:szCs w:val="20"/>
          <w:color w:val="auto"/>
        </w:rPr>
      </w:pPr>
      <w:r>
        <w:rPr>
          <w:rFonts w:ascii="Arial" w:cs="Arial" w:eastAsia="Arial" w:hAnsi="Arial"/>
          <w:sz w:val="18"/>
          <w:szCs w:val="18"/>
          <w:color w:val="auto"/>
        </w:rPr>
        <w:t>Shares and Warrants included as part of the Offered Securities and such as may be required under state securities or blue sky laws of any jurisdiction in connection with the purchase and distribution of the Offered Securities by the Underwriters in the manner contemplated herein and in the Registration Statement, the Statutory Prospectus and the Prospectus.</w:t>
      </w:r>
    </w:p>
    <w:p>
      <w:pPr>
        <w:spacing w:after="0" w:line="181" w:lineRule="exact"/>
        <w:rPr>
          <w:sz w:val="20"/>
          <w:szCs w:val="20"/>
          <w:color w:val="auto"/>
        </w:rPr>
      </w:pPr>
    </w:p>
    <w:p>
      <w:pPr>
        <w:ind w:firstLine="656"/>
        <w:spacing w:after="0" w:line="288" w:lineRule="auto"/>
        <w:tabs>
          <w:tab w:leader="none" w:pos="1533" w:val="left"/>
        </w:tabs>
        <w:numPr>
          <w:ilvl w:val="1"/>
          <w:numId w:val="99"/>
        </w:numPr>
        <w:rPr>
          <w:rFonts w:ascii="Arial" w:cs="Arial" w:eastAsia="Arial" w:hAnsi="Arial"/>
          <w:sz w:val="16"/>
          <w:szCs w:val="16"/>
          <w:color w:val="auto"/>
        </w:rPr>
      </w:pPr>
      <w:r>
        <w:rPr>
          <w:rFonts w:ascii="Arial" w:cs="Arial" w:eastAsia="Arial" w:hAnsi="Arial"/>
          <w:sz w:val="16"/>
          <w:szCs w:val="16"/>
          <w:i w:val="1"/>
          <w:iCs w:val="1"/>
          <w:color w:val="auto"/>
        </w:rPr>
        <w:t>Absence of Existing Defaults</w:t>
      </w:r>
      <w:r>
        <w:rPr>
          <w:rFonts w:ascii="Arial" w:cs="Arial" w:eastAsia="Arial" w:hAnsi="Arial"/>
          <w:sz w:val="16"/>
          <w:szCs w:val="16"/>
          <w:color w:val="auto"/>
        </w:rPr>
        <w:t>. The Company is not in violation or default of (i) any provision of its Amended and Restated Memorandum</w:t>
      </w:r>
      <w:r>
        <w:rPr>
          <w:rFonts w:ascii="Arial" w:cs="Arial" w:eastAsia="Arial" w:hAnsi="Arial"/>
          <w:sz w:val="16"/>
          <w:szCs w:val="16"/>
          <w:i w:val="1"/>
          <w:iCs w:val="1"/>
          <w:color w:val="auto"/>
        </w:rPr>
        <w:t xml:space="preserve"> </w:t>
      </w:r>
      <w:r>
        <w:rPr>
          <w:rFonts w:ascii="Arial" w:cs="Arial" w:eastAsia="Arial" w:hAnsi="Arial"/>
          <w:sz w:val="16"/>
          <w:szCs w:val="16"/>
          <w:color w:val="auto"/>
        </w:rPr>
        <w:t>and Articles of Association, (ii) the terms of any indenture, contract, lease, mortgage, deed of trust, note agreement, loan agreement or other agreement, obligation, condition, covenant or instrument to which it is a party or bound or to which its property is subject, or (iii) any (x) statute, law, rule, regulation, or</w:t>
      </w:r>
    </w:p>
    <w:p>
      <w:pPr>
        <w:ind w:right="180" w:firstLine="8"/>
        <w:spacing w:after="0" w:line="295" w:lineRule="auto"/>
        <w:tabs>
          <w:tab w:leader="none" w:pos="25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judgment, order or decree of any court, regulatory body, administrative agency, governmental body, arbitrator or other authority having jurisdiction over the Company; except in the case of clauses (ii) and (iii) above for any such conflict, breach or violation that would not, individually or in the aggregate, be reasonably expected to have a material adverse effect on the condition (financial or otherwise), prospects, earnings, business or properties of the Company, taken as a whole, whether or not arising from transactions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right="40" w:firstLine="656"/>
        <w:spacing w:after="0" w:line="290" w:lineRule="auto"/>
        <w:tabs>
          <w:tab w:leader="none" w:pos="1558"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Absence of Defaults and Conflicts Resulting From Transaction. </w:t>
      </w:r>
      <w:r>
        <w:rPr>
          <w:rFonts w:ascii="Arial" w:cs="Arial" w:eastAsia="Arial" w:hAnsi="Arial"/>
          <w:sz w:val="16"/>
          <w:szCs w:val="16"/>
          <w:color w:val="auto"/>
        </w:rPr>
        <w:t>Neither the issue and sale of the Offered Securities nor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any other of the transactions herein contemplated nor the fulfillment of the terms hereof or of the Trust Agreement, the Warrant Agreement, the Founder’s Purchase Agreement, the Warrant Subscription Agreement, the Registration Rights Agreement or the Insider Letter will conflict with, result in a breach or violation of, or imposition of any lien, charge or encumbrance upon any property or assets of the Company pursuant to, (i) the Amended and Restated Memorandum and Articles of Association of the Company, (ii) the terms of any indenture, contract, lease, mortgage, deed of trust, note agreement, loan agreement or other agreement, obligation, condition, covenant or instrument to which the Company is a party or bound or to which the Company’s property is subject, or (iii) any statute, law, rule, or regulation, judgment, order or decree applicable to the Company of any court, regulatory body, administrative agency, governmental body, arbitrator or other authority having jurisdiction over the Company or any of its respective properties.</w:t>
      </w:r>
    </w:p>
    <w:p>
      <w:pPr>
        <w:spacing w:after="0" w:line="166" w:lineRule="exact"/>
        <w:rPr>
          <w:rFonts w:ascii="Arial" w:cs="Arial" w:eastAsia="Arial" w:hAnsi="Arial"/>
          <w:sz w:val="16"/>
          <w:szCs w:val="16"/>
          <w:color w:val="auto"/>
        </w:rPr>
      </w:pPr>
    </w:p>
    <w:p>
      <w:pPr>
        <w:ind w:right="280" w:firstLine="656"/>
        <w:spacing w:after="0" w:line="277" w:lineRule="auto"/>
        <w:tabs>
          <w:tab w:leader="none" w:pos="1559"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t>Registration Rights under the Registration Statement</w:t>
      </w:r>
      <w:r>
        <w:rPr>
          <w:rFonts w:ascii="Arial" w:cs="Arial" w:eastAsia="Arial" w:hAnsi="Arial"/>
          <w:sz w:val="18"/>
          <w:szCs w:val="18"/>
          <w:color w:val="auto"/>
        </w:rPr>
        <w:t>. No holders of securities of the Company have rights to the registration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under the Registration Statement.</w:t>
      </w:r>
    </w:p>
    <w:p>
      <w:pPr>
        <w:spacing w:after="0" w:line="170" w:lineRule="exact"/>
        <w:rPr>
          <w:rFonts w:ascii="Arial" w:cs="Arial" w:eastAsia="Arial" w:hAnsi="Arial"/>
          <w:sz w:val="18"/>
          <w:szCs w:val="18"/>
          <w:color w:val="auto"/>
        </w:rPr>
      </w:pPr>
    </w:p>
    <w:p>
      <w:pPr>
        <w:ind w:right="20" w:firstLine="656"/>
        <w:spacing w:after="0" w:line="286" w:lineRule="auto"/>
        <w:tabs>
          <w:tab w:leader="none" w:pos="1533"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historical financial statements, including the notes thereto and the supporting schedules, if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included in the Statutory Prospectus, the Prospectus and the Registration Statement present fairly the financial condition, results of operations and cash flows of the Company as of the dates and for the periods indicated, comply as to form in all material respects with the applicable accounting requirements of the Act and have been prepared in conformity with generally accepted accounting principles applied on a consistent basis throughout the periods involved (except as otherwise noted therein). The summary financial data set forth under the caption “Summary—Summary Financial Data” in the Statutory Prospectus, Prospectus and Registration Statement fairly present, on the basis stated in the Statutory Prospectus, Prospectus and Registration Statement, the information included therein. There are no pro forma or as adjusted financial statements that are required to be included in the Statutory Prospectus, the Prospectus and the Registration Statement in accordance with Regulation S-X that have not been included as so required. The Company is not party to any off-balance sheet transactions, arrangements, obligations (including contingent obligations), or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The statistical, industry-related and market-related data included in the Registration Statement, the Statutory Prospectus and the Prospectus are based on or derived from sources that the Company reasonably and in good faith believes are reliable and accurate, and such data agree with the sources from which they are derived.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3" w:name="page194"/>
    <w:bookmarkEnd w:id="193"/>
    <w:p>
      <w:pPr>
        <w:ind w:firstLine="656"/>
        <w:spacing w:after="0" w:line="297" w:lineRule="auto"/>
        <w:tabs>
          <w:tab w:leader="none" w:pos="1533"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Litigation</w:t>
      </w:r>
      <w:r>
        <w:rPr>
          <w:rFonts w:ascii="Arial" w:cs="Arial" w:eastAsia="Arial" w:hAnsi="Arial"/>
          <w:sz w:val="16"/>
          <w:szCs w:val="16"/>
          <w:color w:val="auto"/>
        </w:rPr>
        <w:t>. No action, suit or proceeding by or before any court or governmental agency, authority or body or any arbitrator involving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Sponsor, or, to the Company’s knowledge, any officer, director or director nominee of the Company, or the property of any of them is pending or, to the knowledge of the Company, threatened that (i) could reasonably be expected to have a material adverse effect on the performance of this Agreement or the consummation of any of the transactions contemplated hereby by the Company or (ii) could reasonably be expected to have a Material Adverse Effect, except as set forth in or contemplated in the Registration Statement, the Statutory Prospectus and the Prospectus (exclusive of any supplement thereto).</w:t>
      </w:r>
    </w:p>
    <w:p>
      <w:pPr>
        <w:spacing w:after="0" w:line="158" w:lineRule="exact"/>
        <w:rPr>
          <w:rFonts w:ascii="Arial" w:cs="Arial" w:eastAsia="Arial" w:hAnsi="Arial"/>
          <w:sz w:val="16"/>
          <w:szCs w:val="16"/>
          <w:color w:val="auto"/>
        </w:rPr>
      </w:pPr>
    </w:p>
    <w:p>
      <w:pPr>
        <w:ind w:left="1600" w:hanging="944"/>
        <w:spacing w:after="0"/>
        <w:tabs>
          <w:tab w:leader="none" w:pos="160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Properties</w:t>
      </w:r>
      <w:r>
        <w:rPr>
          <w:rFonts w:ascii="Arial" w:cs="Arial" w:eastAsia="Arial" w:hAnsi="Arial"/>
          <w:sz w:val="16"/>
          <w:szCs w:val="16"/>
          <w:color w:val="auto"/>
        </w:rPr>
        <w:t>. The Company owns or leases all such properties as are necessary to the conduct of its operations as presently conducted.</w:t>
      </w:r>
    </w:p>
    <w:p>
      <w:pPr>
        <w:spacing w:after="0" w:line="248" w:lineRule="exact"/>
        <w:rPr>
          <w:rFonts w:ascii="Arial" w:cs="Arial" w:eastAsia="Arial" w:hAnsi="Arial"/>
          <w:sz w:val="16"/>
          <w:szCs w:val="16"/>
          <w:color w:val="auto"/>
        </w:rPr>
      </w:pPr>
    </w:p>
    <w:p>
      <w:pPr>
        <w:ind w:right="200" w:firstLine="656"/>
        <w:spacing w:after="0" w:line="259" w:lineRule="auto"/>
        <w:tabs>
          <w:tab w:leader="none" w:pos="1588"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Independent Auditors</w:t>
      </w:r>
      <w:r>
        <w:rPr>
          <w:rFonts w:ascii="Arial" w:cs="Arial" w:eastAsia="Arial" w:hAnsi="Arial"/>
          <w:sz w:val="18"/>
          <w:szCs w:val="18"/>
          <w:color w:val="auto"/>
        </w:rPr>
        <w:t>. Marcum LLP (“</w:t>
      </w:r>
      <w:r>
        <w:rPr>
          <w:rFonts w:ascii="Arial" w:cs="Arial" w:eastAsia="Arial" w:hAnsi="Arial"/>
          <w:sz w:val="18"/>
          <w:szCs w:val="18"/>
          <w:u w:val="single" w:color="auto"/>
          <w:color w:val="auto"/>
        </w:rPr>
        <w:t>Marcum</w:t>
      </w:r>
      <w:r>
        <w:rPr>
          <w:rFonts w:ascii="Arial" w:cs="Arial" w:eastAsia="Arial" w:hAnsi="Arial"/>
          <w:sz w:val="18"/>
          <w:szCs w:val="18"/>
          <w:color w:val="auto"/>
        </w:rPr>
        <w:t>”), who have certified certain financial statements of the Company and delivered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with respect to the audited financial statements and schedules included in the Registration Statement, Statutory Prospectus and the Prospectus, is a registered public accounting firm that is independent with respect to the Company within the meaning of the Act and the Exchange Act and the applicable published rules and regulations thereunder.</w:t>
      </w:r>
    </w:p>
    <w:p>
      <w:pPr>
        <w:spacing w:after="0" w:line="186" w:lineRule="exact"/>
        <w:rPr>
          <w:rFonts w:ascii="Arial" w:cs="Arial" w:eastAsia="Arial" w:hAnsi="Arial"/>
          <w:sz w:val="18"/>
          <w:szCs w:val="18"/>
          <w:color w:val="auto"/>
        </w:rPr>
      </w:pPr>
    </w:p>
    <w:p>
      <w:pPr>
        <w:ind w:left="1540" w:hanging="884"/>
        <w:spacing w:after="0"/>
        <w:tabs>
          <w:tab w:leader="none" w:pos="154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 maintains effective “disclosure controls and procedures” (as defined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Rule 13a-15(e) under the Exchange Act to the extent required by such rule).</w:t>
      </w:r>
    </w:p>
    <w:p>
      <w:pPr>
        <w:spacing w:after="0" w:line="211" w:lineRule="exact"/>
        <w:rPr>
          <w:sz w:val="20"/>
          <w:szCs w:val="20"/>
          <w:color w:val="auto"/>
        </w:rPr>
      </w:pPr>
    </w:p>
    <w:p>
      <w:pPr>
        <w:ind w:firstLine="656"/>
        <w:spacing w:after="0" w:line="255" w:lineRule="auto"/>
        <w:tabs>
          <w:tab w:leader="none" w:pos="1588"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Compliance with Exchange Rules</w:t>
      </w:r>
      <w:r>
        <w:rPr>
          <w:rFonts w:ascii="Arial" w:cs="Arial" w:eastAsia="Arial" w:hAnsi="Arial"/>
          <w:sz w:val="18"/>
          <w:szCs w:val="18"/>
          <w:color w:val="auto"/>
        </w:rPr>
        <w:t>. There is and has been no failure on the part of the Company or, to the knowledge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Company’s officers or directors, in their capacities as such, to comply with (as and when applicable), and immediately following the Effective Date the Company will be in compliance with, the rules of the Nasdaq Stock Market LLC (“</w:t>
      </w:r>
      <w:r>
        <w:rPr>
          <w:rFonts w:ascii="Arial" w:cs="Arial" w:eastAsia="Arial" w:hAnsi="Arial"/>
          <w:sz w:val="18"/>
          <w:szCs w:val="18"/>
          <w:u w:val="single" w:color="auto"/>
          <w:color w:val="auto"/>
        </w:rPr>
        <w:t>Nasdaq</w:t>
      </w:r>
      <w:r>
        <w:rPr>
          <w:rFonts w:ascii="Arial" w:cs="Arial" w:eastAsia="Arial" w:hAnsi="Arial"/>
          <w:sz w:val="18"/>
          <w:szCs w:val="18"/>
          <w:color w:val="auto"/>
        </w:rPr>
        <w:t>”).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applicable provisions of the corporate governance requirements set forth in the rules of Nasdaq.</w:t>
      </w:r>
    </w:p>
    <w:p>
      <w:pPr>
        <w:spacing w:after="0" w:line="193" w:lineRule="exact"/>
        <w:rPr>
          <w:rFonts w:ascii="Arial" w:cs="Arial" w:eastAsia="Arial" w:hAnsi="Arial"/>
          <w:sz w:val="18"/>
          <w:szCs w:val="18"/>
          <w:color w:val="auto"/>
        </w:rPr>
      </w:pPr>
    </w:p>
    <w:p>
      <w:pPr>
        <w:ind w:right="120" w:firstLine="656"/>
        <w:spacing w:after="0" w:line="264" w:lineRule="auto"/>
        <w:tabs>
          <w:tab w:leader="none" w:pos="1453"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There are no transfer, stamp, issue, registration, documentary or other similar taxes, duties, fees or charges under U.S. federal law</w:t>
      </w:r>
      <w:r>
        <w:rPr>
          <w:rFonts w:ascii="Arial" w:cs="Arial" w:eastAsia="Arial" w:hAnsi="Arial"/>
          <w:sz w:val="18"/>
          <w:szCs w:val="18"/>
          <w:i w:val="1"/>
          <w:iCs w:val="1"/>
          <w:color w:val="auto"/>
        </w:rPr>
        <w:t xml:space="preserve"> </w:t>
      </w:r>
      <w:r>
        <w:rPr>
          <w:rFonts w:ascii="Arial" w:cs="Arial" w:eastAsia="Arial" w:hAnsi="Arial"/>
          <w:sz w:val="18"/>
          <w:szCs w:val="18"/>
          <w:color w:val="auto"/>
        </w:rPr>
        <w:t>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181" w:lineRule="exact"/>
        <w:rPr>
          <w:rFonts w:ascii="Arial" w:cs="Arial" w:eastAsia="Arial" w:hAnsi="Arial"/>
          <w:sz w:val="18"/>
          <w:szCs w:val="18"/>
          <w:color w:val="auto"/>
        </w:rPr>
      </w:pPr>
    </w:p>
    <w:p>
      <w:pPr>
        <w:ind w:right="20" w:firstLine="656"/>
        <w:spacing w:after="0" w:line="273" w:lineRule="auto"/>
        <w:tabs>
          <w:tab w:leader="none" w:pos="1533"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Filing of Tax Returns</w:t>
      </w:r>
      <w:r>
        <w:rPr>
          <w:rFonts w:ascii="Arial" w:cs="Arial" w:eastAsia="Arial" w:hAnsi="Arial"/>
          <w:sz w:val="17"/>
          <w:szCs w:val="17"/>
          <w:color w:val="auto"/>
        </w:rPr>
        <w:t>. The Company has filed all tax returns (including U.S. federal, state and non-U.S.) that are required to be filed by</w:t>
      </w:r>
      <w:r>
        <w:rPr>
          <w:rFonts w:ascii="Arial" w:cs="Arial" w:eastAsia="Arial" w:hAnsi="Arial"/>
          <w:sz w:val="17"/>
          <w:szCs w:val="17"/>
          <w:i w:val="1"/>
          <w:iCs w:val="1"/>
          <w:color w:val="auto"/>
        </w:rPr>
        <w:t xml:space="preserve"> </w:t>
      </w:r>
      <w:r>
        <w:rPr>
          <w:rFonts w:ascii="Arial" w:cs="Arial" w:eastAsia="Arial" w:hAnsi="Arial"/>
          <w:sz w:val="17"/>
          <w:szCs w:val="17"/>
          <w:color w:val="auto"/>
        </w:rPr>
        <w:t>it or has requested extensions thereof (except in any case in which the failure so to file would not have a Material Adverse Effect) through the date hereof and has paid all taxes required to be paid by it and any other assessment, fine or penalty levied against it, to the extent that any of the foregoing is due and payable, except for any such assessment, fine or penalty that is currently being contested in good faith and for which adequate reserves required by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have been created with respect thereto or as would not have a Material Adverse Effect, except as set forth in or contemplated in the Registration Statement, Statutory Prospectus and the Prospectus (exclusive of any supplement thereto).</w:t>
      </w:r>
    </w:p>
    <w:p>
      <w:pPr>
        <w:spacing w:after="0" w:line="178" w:lineRule="exact"/>
        <w:rPr>
          <w:rFonts w:ascii="Arial" w:cs="Arial" w:eastAsia="Arial" w:hAnsi="Arial"/>
          <w:sz w:val="17"/>
          <w:szCs w:val="17"/>
          <w:color w:val="auto"/>
        </w:rPr>
      </w:pPr>
    </w:p>
    <w:p>
      <w:pPr>
        <w:jc w:val="both"/>
        <w:ind w:right="340" w:firstLine="656"/>
        <w:spacing w:after="0" w:line="279" w:lineRule="auto"/>
        <w:tabs>
          <w:tab w:leader="none" w:pos="1533"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Possession of Licenses and Permits</w:t>
      </w:r>
      <w:r>
        <w:rPr>
          <w:rFonts w:ascii="Arial" w:cs="Arial" w:eastAsia="Arial" w:hAnsi="Arial"/>
          <w:sz w:val="17"/>
          <w:szCs w:val="17"/>
          <w:color w:val="auto"/>
        </w:rPr>
        <w:t>. The Company possesses all licenses, certificates, permits and other authorizations issued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federal, state or foreign regulatory authorities necessary to conduct its business, and the Company has not received any notice of proceedings relating to the revocation or modification of any such license, certificate, authorization or permit that, singly or in the aggregate, if the subject of an unfavorable decision, ruling or finding, would have a Material Adverse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color w:val="auto"/>
        </w:rPr>
        <w:t>Effect, except as set forth in or contemplated in the Registration Statement, the Statutory Prospectus and the Prospectus (exclusive of any supplement thereto).</w:t>
      </w:r>
    </w:p>
    <w:p>
      <w:pPr>
        <w:spacing w:after="0" w:line="248" w:lineRule="exact"/>
        <w:rPr>
          <w:sz w:val="20"/>
          <w:szCs w:val="20"/>
          <w:color w:val="auto"/>
        </w:rPr>
      </w:pPr>
    </w:p>
    <w:p>
      <w:pPr>
        <w:ind w:right="40" w:firstLine="656"/>
        <w:spacing w:after="0" w:line="268" w:lineRule="auto"/>
        <w:tabs>
          <w:tab w:leader="none" w:pos="1533"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Anti</w:t>
      </w:r>
      <w:r>
        <w:rPr>
          <w:rFonts w:ascii="Arial" w:cs="Arial" w:eastAsia="Arial" w:hAnsi="Arial"/>
          <w:sz w:val="17"/>
          <w:szCs w:val="17"/>
          <w:color w:val="auto"/>
        </w:rPr>
        <w:t>-</w:t>
      </w:r>
      <w:r>
        <w:rPr>
          <w:rFonts w:ascii="Arial" w:cs="Arial" w:eastAsia="Arial" w:hAnsi="Arial"/>
          <w:sz w:val="17"/>
          <w:szCs w:val="17"/>
          <w:i w:val="1"/>
          <w:iCs w:val="1"/>
          <w:color w:val="auto"/>
        </w:rPr>
        <w:t>Corruption Laws</w:t>
      </w:r>
      <w:r>
        <w:rPr>
          <w:rFonts w:ascii="Arial" w:cs="Arial" w:eastAsia="Arial" w:hAnsi="Arial"/>
          <w:sz w:val="17"/>
          <w:szCs w:val="17"/>
          <w:color w:val="auto"/>
        </w:rPr>
        <w:t>. None of the Company, the Sponsor, any director, director nominee or officer, or, to the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any agent, employee, affiliate or other person associated with or acting on behalf of the Company: (i) has used any corporate funds for any unlawful contribution, gift, entertainment or other unlawful expense relating to political activity; (ii) has made any direct or indirect unlawful contribution or payment to any official of, or candidate for, or any employee of, any federal, state or foreign office from corporate funds; (iii) has made any bribe, unlawful rebate, payoff, influence payment, kickback or other unlawful payment; or (iv) is aware of or has taken any action, directly or indirectly, that would result in a violation by such persons of the OECD Convention on Bribery of Foreign Public Officials in International Business Transactions, the Foreign Corrupt Practices Act of 1977, as amended, and the rules and regulations thereunder (collectively, the “</w:t>
      </w:r>
      <w:r>
        <w:rPr>
          <w:rFonts w:ascii="Arial" w:cs="Arial" w:eastAsia="Arial" w:hAnsi="Arial"/>
          <w:sz w:val="17"/>
          <w:szCs w:val="17"/>
          <w:u w:val="single" w:color="auto"/>
          <w:color w:val="auto"/>
        </w:rPr>
        <w:t>FCPA</w:t>
      </w:r>
      <w:r>
        <w:rPr>
          <w:rFonts w:ascii="Arial" w:cs="Arial" w:eastAsia="Arial" w:hAnsi="Arial"/>
          <w:sz w:val="17"/>
          <w:szCs w:val="17"/>
          <w:color w:val="auto"/>
        </w:rPr>
        <w:t>”) or any similar law or regulation to which the Company, any director, director nominee, officer, agent, employee, affiliate or other person associated with or acting on behalf of the Company is subject,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the Sponsor and the Company’s directors, director nominees and officers, and, to the knowledge of the Company, the Company’s agents, employees and affiliates have each conducted the business of the Company and their own businesses on behalf of the Company in compliance with the FCPA and any applicable similar law or regulation and have instituted and maintain policies and procedures designed to ensure, and which are reasonably expected to continue to ensure, continued compliance therewith.</w:t>
      </w:r>
    </w:p>
    <w:p>
      <w:pPr>
        <w:spacing w:after="0" w:line="183" w:lineRule="exact"/>
        <w:rPr>
          <w:rFonts w:ascii="Arial" w:cs="Arial" w:eastAsia="Arial" w:hAnsi="Arial"/>
          <w:sz w:val="17"/>
          <w:szCs w:val="17"/>
          <w:color w:val="auto"/>
        </w:rPr>
      </w:pPr>
    </w:p>
    <w:p>
      <w:pPr>
        <w:ind w:right="180" w:firstLine="656"/>
        <w:spacing w:after="0" w:line="291" w:lineRule="auto"/>
        <w:tabs>
          <w:tab w:leader="none" w:pos="1533"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Anti</w:t>
      </w:r>
      <w:r>
        <w:rPr>
          <w:rFonts w:ascii="Arial" w:cs="Arial" w:eastAsia="Arial" w:hAnsi="Arial"/>
          <w:sz w:val="16"/>
          <w:szCs w:val="16"/>
          <w:color w:val="auto"/>
        </w:rPr>
        <w:t>-</w:t>
      </w:r>
      <w:r>
        <w:rPr>
          <w:rFonts w:ascii="Arial" w:cs="Arial" w:eastAsia="Arial" w:hAnsi="Arial"/>
          <w:sz w:val="16"/>
          <w:szCs w:val="16"/>
          <w:i w:val="1"/>
          <w:iCs w:val="1"/>
          <w:color w:val="auto"/>
        </w:rPr>
        <w:t>Money Laundering Laws</w:t>
      </w:r>
      <w:r>
        <w:rPr>
          <w:rFonts w:ascii="Arial" w:cs="Arial" w:eastAsia="Arial" w:hAnsi="Arial"/>
          <w:sz w:val="16"/>
          <w:szCs w:val="16"/>
          <w:color w:val="auto"/>
        </w:rPr>
        <w:t>. The operations of the Company are and have been conducted at all times in compliance with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record-keeping and reporting requirements, including those of the Bank Secrecy Act, as amended by Title III of the Uniting and Strengthening America by Providing Appropriate Tools Required to Intercept and Obstruct Terrorism Act of 2001 (USA PATRIOT Act), the Currency and Foreign Transactions Reporting Act of 1970, as amended, the applicable money laundering statutes of jurisdictions where the Company conducts business, the applicable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67" w:lineRule="exact"/>
        <w:rPr>
          <w:rFonts w:ascii="Arial" w:cs="Arial" w:eastAsia="Arial" w:hAnsi="Arial"/>
          <w:sz w:val="16"/>
          <w:szCs w:val="16"/>
          <w:color w:val="auto"/>
        </w:rPr>
      </w:pPr>
    </w:p>
    <w:p>
      <w:pPr>
        <w:ind w:right="40" w:firstLine="656"/>
        <w:spacing w:after="0" w:line="255" w:lineRule="auto"/>
        <w:tabs>
          <w:tab w:leader="none" w:pos="1563"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Economic Sanctions</w:t>
      </w:r>
      <w:r>
        <w:rPr>
          <w:rFonts w:ascii="Arial" w:cs="Arial" w:eastAsia="Arial" w:hAnsi="Arial"/>
          <w:sz w:val="18"/>
          <w:szCs w:val="18"/>
          <w:color w:val="auto"/>
        </w:rPr>
        <w:t>. None of the Company, the Sponsor, any director, director nominee or officer or, to the knowledge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any agent or affiliate of the Company is currently subject to any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or any similar sanctions imposed by any other body, governmental or other, to which any of such persons is subject (collectively, “</w:t>
      </w:r>
      <w:r>
        <w:rPr>
          <w:rFonts w:ascii="Arial" w:cs="Arial" w:eastAsia="Arial" w:hAnsi="Arial"/>
          <w:sz w:val="18"/>
          <w:szCs w:val="18"/>
          <w:u w:val="single" w:color="auto"/>
          <w:color w:val="auto"/>
        </w:rPr>
        <w:t>other economic sanctions</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sanctions administered by OFAC or other economic sanctions.</w:t>
      </w:r>
    </w:p>
    <w:p>
      <w:pPr>
        <w:spacing w:after="0" w:line="193" w:lineRule="exact"/>
        <w:rPr>
          <w:rFonts w:ascii="Arial" w:cs="Arial" w:eastAsia="Arial" w:hAnsi="Arial"/>
          <w:sz w:val="18"/>
          <w:szCs w:val="18"/>
          <w:color w:val="auto"/>
        </w:rPr>
      </w:pPr>
    </w:p>
    <w:p>
      <w:pPr>
        <w:jc w:val="both"/>
        <w:ind w:right="20" w:firstLine="656"/>
        <w:spacing w:after="0" w:line="312" w:lineRule="auto"/>
        <w:tabs>
          <w:tab w:leader="none" w:pos="1583"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Lending Relationships</w:t>
      </w:r>
      <w:r>
        <w:rPr>
          <w:rFonts w:ascii="Arial" w:cs="Arial" w:eastAsia="Arial" w:hAnsi="Arial"/>
          <w:sz w:val="16"/>
          <w:szCs w:val="16"/>
          <w:color w:val="auto"/>
        </w:rPr>
        <w:t>;</w:t>
      </w:r>
      <w:r>
        <w:rPr>
          <w:rFonts w:ascii="Arial" w:cs="Arial" w:eastAsia="Arial" w:hAnsi="Arial"/>
          <w:sz w:val="16"/>
          <w:szCs w:val="16"/>
          <w:i w:val="1"/>
          <w:iCs w:val="1"/>
          <w:color w:val="auto"/>
        </w:rPr>
        <w:t xml:space="preserve"> Use of Proceeds</w:t>
      </w:r>
      <w:r>
        <w:rPr>
          <w:rFonts w:ascii="Arial" w:cs="Arial" w:eastAsia="Arial" w:hAnsi="Arial"/>
          <w:sz w:val="16"/>
          <w:szCs w:val="16"/>
          <w:color w:val="auto"/>
        </w:rPr>
        <w:t>. Except as disclosed in the Registration Statement, the Statutory Prospectus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 does not have any material lending or other relationship with any bank or lending affiliate of any of the Underwriters and (ii) does not intend to use any of the proceeds from the sale of the Offered Securities hereunder to repay any outstanding debt owed to any affiliate of any of the Underwriters.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5" w:name="page196"/>
    <w:bookmarkEnd w:id="195"/>
    <w:p>
      <w:pPr>
        <w:ind w:left="-656" w:right="160" w:firstLine="656"/>
        <w:spacing w:after="0" w:line="279" w:lineRule="auto"/>
        <w:tabs>
          <w:tab w:leader="none" w:pos="932"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Questionnaires</w:t>
      </w:r>
      <w:r>
        <w:rPr>
          <w:rFonts w:ascii="Arial" w:cs="Arial" w:eastAsia="Arial" w:hAnsi="Arial"/>
          <w:sz w:val="17"/>
          <w:szCs w:val="17"/>
          <w:color w:val="auto"/>
        </w:rPr>
        <w:t>. All information contained in the questionnaires (the “</w:t>
      </w:r>
      <w:r>
        <w:rPr>
          <w:rFonts w:ascii="Arial" w:cs="Arial" w:eastAsia="Arial" w:hAnsi="Arial"/>
          <w:sz w:val="17"/>
          <w:szCs w:val="17"/>
          <w:u w:val="single" w:color="auto"/>
          <w:color w:val="auto"/>
        </w:rPr>
        <w:t>Questionnaires</w:t>
      </w:r>
      <w:r>
        <w:rPr>
          <w:rFonts w:ascii="Arial" w:cs="Arial" w:eastAsia="Arial" w:hAnsi="Arial"/>
          <w:sz w:val="17"/>
          <w:szCs w:val="17"/>
          <w:color w:val="auto"/>
        </w:rPr>
        <w:t>”) completed by the Company and the Sponsor</w:t>
      </w:r>
      <w:r>
        <w:rPr>
          <w:rFonts w:ascii="Arial" w:cs="Arial" w:eastAsia="Arial" w:hAnsi="Arial"/>
          <w:sz w:val="17"/>
          <w:szCs w:val="17"/>
          <w:i w:val="1"/>
          <w:iCs w:val="1"/>
          <w:color w:val="auto"/>
        </w:rPr>
        <w:t xml:space="preserve"> </w:t>
      </w:r>
      <w:r>
        <w:rPr>
          <w:rFonts w:ascii="Arial" w:cs="Arial" w:eastAsia="Arial" w:hAnsi="Arial"/>
          <w:sz w:val="17"/>
          <w:szCs w:val="17"/>
          <w:color w:val="auto"/>
        </w:rPr>
        <w:t>and, to the knowledge of the Company, the Company’s officers, directors and director nominees and provided to the Underwriters is true and correct and the Company has not become aware of any information that would cause the information disclosed in the Questionnaires completed by the Sponsor or the Company’s officers, directors and director nominees to become inaccurate and incorrect.</w:t>
      </w:r>
    </w:p>
    <w:p>
      <w:pPr>
        <w:spacing w:after="0" w:line="171" w:lineRule="exact"/>
        <w:rPr>
          <w:rFonts w:ascii="Arial" w:cs="Arial" w:eastAsia="Arial" w:hAnsi="Arial"/>
          <w:sz w:val="17"/>
          <w:szCs w:val="17"/>
          <w:color w:val="auto"/>
        </w:rPr>
      </w:pPr>
    </w:p>
    <w:p>
      <w:pPr>
        <w:ind w:left="-656" w:right="20" w:firstLine="656"/>
        <w:spacing w:after="0" w:line="257" w:lineRule="auto"/>
        <w:tabs>
          <w:tab w:leader="none" w:pos="877"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Acquisition Target Not Identified</w:t>
      </w:r>
      <w:r>
        <w:rPr>
          <w:rFonts w:ascii="Arial" w:cs="Arial" w:eastAsia="Arial" w:hAnsi="Arial"/>
          <w:sz w:val="18"/>
          <w:szCs w:val="18"/>
          <w:color w:val="auto"/>
        </w:rPr>
        <w:t>. Except as disclosed in the Registration Statement, the Statutory Prospectus and the Prospectus,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the Company has not selected any acquisition target and has not, nor, to its knowledge, has anyone on its behalf, initiated contact with any prospective acquisition target or had any substantive discussions, directly or indirectly, formal or otherwise, with respect to a possible initial Business Combination, or undertaken, or engaged or retained any agent or other representative to undertake, any research, diligence, evaluations or similar activities to identify, locate or contact any suitable acquisition candidate.</w:t>
      </w:r>
    </w:p>
    <w:p>
      <w:pPr>
        <w:spacing w:after="0" w:line="188" w:lineRule="exact"/>
        <w:rPr>
          <w:rFonts w:ascii="Arial" w:cs="Arial" w:eastAsia="Arial" w:hAnsi="Arial"/>
          <w:sz w:val="18"/>
          <w:szCs w:val="18"/>
          <w:color w:val="auto"/>
        </w:rPr>
      </w:pPr>
    </w:p>
    <w:p>
      <w:pPr>
        <w:ind w:left="-656" w:firstLine="656"/>
        <w:spacing w:after="0" w:line="255" w:lineRule="auto"/>
        <w:tabs>
          <w:tab w:leader="none" w:pos="877"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No Finder</w:t>
      </w:r>
      <w:r>
        <w:rPr>
          <w:rFonts w:ascii="Arial" w:cs="Arial" w:eastAsia="Arial" w:hAnsi="Arial"/>
          <w:sz w:val="18"/>
          <w:szCs w:val="18"/>
          <w:color w:val="auto"/>
        </w:rPr>
        <w:t>’</w:t>
      </w:r>
      <w:r>
        <w:rPr>
          <w:rFonts w:ascii="Arial" w:cs="Arial" w:eastAsia="Arial" w:hAnsi="Arial"/>
          <w:sz w:val="18"/>
          <w:szCs w:val="18"/>
          <w:i w:val="1"/>
          <w:iCs w:val="1"/>
          <w:color w:val="auto"/>
        </w:rPr>
        <w:t>s or Similar Fees</w:t>
      </w:r>
      <w:r>
        <w:rPr>
          <w:rFonts w:ascii="Arial" w:cs="Arial" w:eastAsia="Arial" w:hAnsi="Arial"/>
          <w:sz w:val="18"/>
          <w:szCs w:val="18"/>
          <w:color w:val="auto"/>
        </w:rPr>
        <w:t>. Except as described in the Registration Statement, the Statutory Prospectus and the Prospectus,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claims, payments, arrangements, contracts, agreements or understandings relating to the payment of a brokerage commission or finder’s, consulting, origination or similar fee by the Company, the Sponsor or any officer, director or director nominee of the Company with respect to the sale of the Offered Securities hereunder or any other arrangements, agreements or understandings of the Company, the Sponsor or any such officer, director or director nominee of the Company, or their respective affiliates, that may affect the Underwriters’ compensation, as determined by the Financial Industry Regulatory Authority (“</w:t>
      </w:r>
      <w:r>
        <w:rPr>
          <w:rFonts w:ascii="Arial" w:cs="Arial" w:eastAsia="Arial" w:hAnsi="Arial"/>
          <w:sz w:val="18"/>
          <w:szCs w:val="18"/>
          <w:u w:val="single" w:color="auto"/>
          <w:color w:val="auto"/>
        </w:rPr>
        <w:t>FINRA</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56" w:right="60" w:firstLine="656"/>
        <w:spacing w:after="0" w:line="293" w:lineRule="auto"/>
        <w:tabs>
          <w:tab w:leader="none" w:pos="822"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Absence of Certain Fees</w:t>
      </w:r>
      <w:r>
        <w:rPr>
          <w:rFonts w:ascii="Arial" w:cs="Arial" w:eastAsia="Arial" w:hAnsi="Arial"/>
          <w:sz w:val="16"/>
          <w:szCs w:val="16"/>
          <w:color w:val="auto"/>
        </w:rPr>
        <w:t>. Except as described in the Registration Statement, the Statutory Prospectus and the Prospectus,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has not made any direct or indirect payments (in cash, securities or any other “item of value” as defined in Rule 5110(c)(3) of FINRA’s Conduct Rules): (i) to any person, as a finder’s fee, consulting fee or otherwise, in consideration of such person raising capital for the Company or introducing to the Company persons who raised or provided capital to the Company; (ii) to any person that, to the Company’s knowledge, has been accepted by FINRA as a member of FINRA (a “</w:t>
      </w:r>
      <w:r>
        <w:rPr>
          <w:rFonts w:ascii="Arial" w:cs="Arial" w:eastAsia="Arial" w:hAnsi="Arial"/>
          <w:sz w:val="16"/>
          <w:szCs w:val="16"/>
          <w:u w:val="single" w:color="auto"/>
          <w:color w:val="auto"/>
        </w:rPr>
        <w:t>Member</w:t>
      </w:r>
      <w:r>
        <w:rPr>
          <w:rFonts w:ascii="Arial" w:cs="Arial" w:eastAsia="Arial" w:hAnsi="Arial"/>
          <w:sz w:val="16"/>
          <w:szCs w:val="16"/>
          <w:color w:val="auto"/>
        </w:rPr>
        <w:t>”); or (iii) to any person or entity that, to the Company’s knowledge, has any direct or indirect affiliation or association with any Member, within the twelve months prior to the Effective Date, other than payments to the Underwriters pursuant to this Agreement.</w:t>
      </w:r>
    </w:p>
    <w:p>
      <w:pPr>
        <w:spacing w:after="0" w:line="164" w:lineRule="exact"/>
        <w:rPr>
          <w:rFonts w:ascii="Arial" w:cs="Arial" w:eastAsia="Arial" w:hAnsi="Arial"/>
          <w:sz w:val="16"/>
          <w:szCs w:val="16"/>
          <w:color w:val="auto"/>
        </w:rPr>
      </w:pPr>
    </w:p>
    <w:p>
      <w:pPr>
        <w:jc w:val="both"/>
        <w:ind w:left="-656" w:right="100" w:firstLine="656"/>
        <w:spacing w:after="0" w:line="312" w:lineRule="auto"/>
        <w:tabs>
          <w:tab w:leader="none" w:pos="877"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Investment Banking Services</w:t>
      </w:r>
      <w:r>
        <w:rPr>
          <w:rFonts w:ascii="Arial" w:cs="Arial" w:eastAsia="Arial" w:hAnsi="Arial"/>
          <w:sz w:val="16"/>
          <w:szCs w:val="16"/>
          <w:color w:val="auto"/>
        </w:rPr>
        <w:t>. Except as described in the Registration Statement, the Statutory Prospectus and the Prospectus,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beginning 180 days prior to the initial confidential submission of the Registration Statement and ending on the Effective Date, no Member and/or any person associated or affiliated with a Member has provided any investment banking, financial advisory and/or consulting services to the Company.</w:t>
      </w:r>
    </w:p>
    <w:p>
      <w:pPr>
        <w:spacing w:after="0" w:line="146" w:lineRule="exact"/>
        <w:rPr>
          <w:rFonts w:ascii="Arial" w:cs="Arial" w:eastAsia="Arial" w:hAnsi="Arial"/>
          <w:sz w:val="16"/>
          <w:szCs w:val="16"/>
          <w:color w:val="auto"/>
        </w:rPr>
      </w:pPr>
    </w:p>
    <w:p>
      <w:pPr>
        <w:ind w:left="-656" w:right="280" w:firstLine="656"/>
        <w:spacing w:after="0" w:line="259" w:lineRule="auto"/>
        <w:tabs>
          <w:tab w:leader="none" w:pos="877"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FINRA Membership of Affiliates</w:t>
      </w:r>
      <w:r>
        <w:rPr>
          <w:rFonts w:ascii="Arial" w:cs="Arial" w:eastAsia="Arial" w:hAnsi="Arial"/>
          <w:sz w:val="18"/>
          <w:szCs w:val="18"/>
          <w:color w:val="auto"/>
        </w:rPr>
        <w:t>. Except as disclosed in the FINRA Questionnaires provided to the Representative,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no officer, director, director nominee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8"/>
          <w:szCs w:val="18"/>
          <w:u w:val="single" w:color="auto"/>
          <w:color w:val="auto"/>
        </w:rPr>
        <w:t>Company Affiliate</w:t>
      </w:r>
      <w:r>
        <w:rPr>
          <w:rFonts w:ascii="Arial" w:cs="Arial" w:eastAsia="Arial" w:hAnsi="Arial"/>
          <w:sz w:val="18"/>
          <w:szCs w:val="18"/>
          <w:color w:val="auto"/>
        </w:rPr>
        <w:t>”) is a Member or a person associated or affiliated with a Member.</w:t>
      </w:r>
    </w:p>
    <w:p>
      <w:pPr>
        <w:spacing w:after="0" w:line="186" w:lineRule="exact"/>
        <w:rPr>
          <w:rFonts w:ascii="Arial" w:cs="Arial" w:eastAsia="Arial" w:hAnsi="Arial"/>
          <w:sz w:val="18"/>
          <w:szCs w:val="18"/>
          <w:color w:val="auto"/>
        </w:rPr>
      </w:pPr>
    </w:p>
    <w:p>
      <w:pPr>
        <w:ind w:left="-656" w:right="240" w:firstLine="656"/>
        <w:spacing w:after="0" w:line="342" w:lineRule="auto"/>
        <w:tabs>
          <w:tab w:leader="none" w:pos="902"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Ownership of FINRA Member Securities</w:t>
      </w:r>
      <w:r>
        <w:rPr>
          <w:rFonts w:ascii="Arial" w:cs="Arial" w:eastAsia="Arial" w:hAnsi="Arial"/>
          <w:sz w:val="16"/>
          <w:szCs w:val="16"/>
          <w:color w:val="auto"/>
        </w:rPr>
        <w:t>. Except as disclosed in the FINRA Questionnaires provided to the Representative,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knowledge, no Company Affiliate is an owner of stock or other securities of any Member (other than securities purchased on the open market).</w:t>
      </w:r>
    </w:p>
    <w:p>
      <w:pPr>
        <w:spacing w:after="0" w:line="124" w:lineRule="exact"/>
        <w:rPr>
          <w:sz w:val="20"/>
          <w:szCs w:val="20"/>
          <w:color w:val="auto"/>
        </w:rPr>
      </w:pPr>
    </w:p>
    <w:p>
      <w:pPr>
        <w:ind w:left="4964" w:right="1940" w:hanging="4964"/>
        <w:spacing w:after="0" w:line="653" w:lineRule="auto"/>
        <w:tabs>
          <w:tab w:leader="none" w:pos="85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Subordinated Loans to FINRA Members</w:t>
      </w:r>
      <w:r>
        <w:rPr>
          <w:rFonts w:ascii="Arial" w:cs="Arial" w:eastAsia="Arial" w:hAnsi="Arial"/>
          <w:sz w:val="18"/>
          <w:szCs w:val="18"/>
          <w:color w:val="auto"/>
        </w:rPr>
        <w:t>. No Company Affiliate has made a subordinated loan to any Member.</w:t>
      </w:r>
      <w:r>
        <w:rPr>
          <w:rFonts w:ascii="Arial" w:cs="Arial" w:eastAsia="Arial" w:hAnsi="Arial"/>
          <w:sz w:val="18"/>
          <w:szCs w:val="18"/>
          <w:i w:val="1"/>
          <w:iCs w:val="1"/>
          <w:color w:val="auto"/>
        </w:rPr>
        <w:t xml:space="preserve"> </w:t>
      </w: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-225425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96" w:name="page197"/>
    <w:bookmarkEnd w:id="196"/>
    <w:p>
      <w:pPr>
        <w:ind w:left="-8" w:right="120" w:firstLine="656"/>
        <w:spacing w:after="0" w:line="286" w:lineRule="auto"/>
        <w:tabs>
          <w:tab w:leader="none" w:pos="1480" w:val="left"/>
        </w:tabs>
        <w:numPr>
          <w:ilvl w:val="1"/>
          <w:numId w:val="106"/>
        </w:numPr>
        <w:rPr>
          <w:rFonts w:ascii="Arial" w:cs="Arial" w:eastAsia="Arial" w:hAnsi="Arial"/>
          <w:sz w:val="17"/>
          <w:szCs w:val="17"/>
          <w:color w:val="auto"/>
        </w:rPr>
      </w:pPr>
      <w:r>
        <w:rPr>
          <w:rFonts w:ascii="Arial" w:cs="Arial" w:eastAsia="Arial" w:hAnsi="Arial"/>
          <w:sz w:val="17"/>
          <w:szCs w:val="17"/>
          <w:i w:val="1"/>
          <w:iCs w:val="1"/>
          <w:color w:val="auto"/>
        </w:rPr>
        <w:t>Proceeds; Payment to FINRA Members</w:t>
      </w:r>
      <w:r>
        <w:rPr>
          <w:rFonts w:ascii="Arial" w:cs="Arial" w:eastAsia="Arial" w:hAnsi="Arial"/>
          <w:sz w:val="17"/>
          <w:szCs w:val="17"/>
          <w:color w:val="auto"/>
        </w:rPr>
        <w:t>. Except as described in the Registration Statement, the Statutory Prospectus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no proceeds from the sale of the Offered Securities (excluding underwriting compensation as disclosed in the Registration Statement, Statutory Prospectus and the Prospectus) will be paid by the Company to any Member, or any persons associated or affiliated with a Member.</w:t>
      </w:r>
    </w:p>
    <w:p>
      <w:pPr>
        <w:spacing w:after="0" w:line="165" w:lineRule="exact"/>
        <w:rPr>
          <w:rFonts w:ascii="Arial" w:cs="Arial" w:eastAsia="Arial" w:hAnsi="Arial"/>
          <w:sz w:val="17"/>
          <w:szCs w:val="17"/>
          <w:color w:val="auto"/>
        </w:rPr>
      </w:pPr>
    </w:p>
    <w:p>
      <w:pPr>
        <w:jc w:val="both"/>
        <w:ind w:left="-8" w:right="80" w:firstLine="656"/>
        <w:spacing w:after="0" w:line="264" w:lineRule="auto"/>
        <w:tabs>
          <w:tab w:leader="none" w:pos="1494" w:val="left"/>
        </w:tabs>
        <w:numPr>
          <w:ilvl w:val="1"/>
          <w:numId w:val="106"/>
        </w:numPr>
        <w:rPr>
          <w:rFonts w:ascii="Arial" w:cs="Arial" w:eastAsia="Arial" w:hAnsi="Arial"/>
          <w:sz w:val="18"/>
          <w:szCs w:val="18"/>
          <w:color w:val="auto"/>
        </w:rPr>
      </w:pPr>
      <w:r>
        <w:rPr>
          <w:rFonts w:ascii="Arial" w:cs="Arial" w:eastAsia="Arial" w:hAnsi="Arial"/>
          <w:sz w:val="18"/>
          <w:szCs w:val="18"/>
          <w:i w:val="1"/>
          <w:iCs w:val="1"/>
          <w:color w:val="auto"/>
        </w:rPr>
        <w:t>Issuance of Securities to Underwriters</w:t>
      </w:r>
      <w:r>
        <w:rPr>
          <w:rFonts w:ascii="Arial" w:cs="Arial" w:eastAsia="Arial" w:hAnsi="Arial"/>
          <w:sz w:val="18"/>
          <w:szCs w:val="18"/>
          <w:color w:val="auto"/>
        </w:rPr>
        <w:t>. The Company has not issued any warrants or other securities, or granted any options,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to anyone who is a potential underwriter in the Offering or a related person (as defined by FINRA rules) of such an underwriter within the 180-day period prior to the initial confidential submission date of the Registration Statement.</w:t>
      </w:r>
    </w:p>
    <w:p>
      <w:pPr>
        <w:spacing w:after="0" w:line="181" w:lineRule="exact"/>
        <w:rPr>
          <w:rFonts w:ascii="Arial" w:cs="Arial" w:eastAsia="Arial" w:hAnsi="Arial"/>
          <w:sz w:val="18"/>
          <w:szCs w:val="18"/>
          <w:color w:val="auto"/>
        </w:rPr>
      </w:pPr>
    </w:p>
    <w:p>
      <w:pPr>
        <w:ind w:left="-8" w:right="480" w:firstLine="656"/>
        <w:spacing w:after="0" w:line="264"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i w:val="1"/>
          <w:iCs w:val="1"/>
          <w:color w:val="auto"/>
        </w:rPr>
        <w:t>FINRA Association of Company Affiliates</w:t>
      </w:r>
      <w:r>
        <w:rPr>
          <w:rFonts w:ascii="Arial" w:cs="Arial" w:eastAsia="Arial" w:hAnsi="Arial"/>
          <w:sz w:val="18"/>
          <w:szCs w:val="18"/>
          <w:color w:val="auto"/>
        </w:rPr>
        <w:t>. Except for the issuance of securities to the Sponsor, no person to whom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have been privately issued within the 180-day period prior to the initial confidential submission date of the Registration Statement has any relationship or affiliation or association with any Member.</w:t>
      </w:r>
    </w:p>
    <w:p>
      <w:pPr>
        <w:spacing w:after="0" w:line="181" w:lineRule="exact"/>
        <w:rPr>
          <w:rFonts w:ascii="Arial" w:cs="Arial" w:eastAsia="Arial" w:hAnsi="Arial"/>
          <w:sz w:val="18"/>
          <w:szCs w:val="18"/>
          <w:color w:val="auto"/>
        </w:rPr>
      </w:pPr>
    </w:p>
    <w:p>
      <w:pPr>
        <w:ind w:left="-8" w:firstLine="656"/>
        <w:spacing w:after="0" w:line="284" w:lineRule="auto"/>
        <w:tabs>
          <w:tab w:leader="none" w:pos="1494"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Conflicts of Interest</w:t>
      </w:r>
      <w:r>
        <w:rPr>
          <w:rFonts w:ascii="Arial" w:cs="Arial" w:eastAsia="Arial" w:hAnsi="Arial"/>
          <w:sz w:val="16"/>
          <w:szCs w:val="16"/>
          <w:color w:val="auto"/>
        </w:rPr>
        <w:t>. No Member intending to participate in the Offering has a conflict of interest with the Company. For this purpose, a</w:t>
      </w:r>
      <w:r>
        <w:rPr>
          <w:rFonts w:ascii="Arial" w:cs="Arial" w:eastAsia="Arial" w:hAnsi="Arial"/>
          <w:sz w:val="16"/>
          <w:szCs w:val="16"/>
          <w:i w:val="1"/>
          <w:iCs w:val="1"/>
          <w:color w:val="auto"/>
        </w:rPr>
        <w:t xml:space="preserve"> </w:t>
      </w:r>
      <w:r>
        <w:rPr>
          <w:rFonts w:ascii="Arial" w:cs="Arial" w:eastAsia="Arial" w:hAnsi="Arial"/>
          <w:sz w:val="16"/>
          <w:szCs w:val="16"/>
          <w:color w:val="auto"/>
        </w:rPr>
        <w:t>“conflict of interest” means, if at the time of the Member’s participation in the Offering, any of the following applies: (A) the securities are to be issued by the Member; (B) the Company controls, is controlled by or is under common control with the Member or the Member’s associated persons; (C) at least 5% of the net offering proceeds, not including underwriting compensation, are intended to be: (i) used to reduce or retire the balance of a loan or credit facility extended by the Member, its affiliates and its associated persons, in the aggregate; or (ii) otherwise directed to the Member, its affiliates and associated persons, in the aggregate; or (D) as a result of the Offering and any transactions contemplated at the time of the Offering: (i) the Member will be an affiliate of the Company;</w:t>
      </w:r>
    </w:p>
    <w:p>
      <w:pPr>
        <w:spacing w:after="0" w:line="4" w:lineRule="exact"/>
        <w:rPr>
          <w:rFonts w:ascii="Arial" w:cs="Arial" w:eastAsia="Arial" w:hAnsi="Arial"/>
          <w:sz w:val="16"/>
          <w:szCs w:val="16"/>
          <w:color w:val="auto"/>
        </w:rPr>
      </w:pPr>
    </w:p>
    <w:p>
      <w:pPr>
        <w:ind w:left="-8" w:right="400" w:firstLine="8"/>
        <w:spacing w:after="0" w:line="255" w:lineRule="auto"/>
        <w:tabs>
          <w:tab w:leader="none" w:pos="25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Member will become publicly owned; or (iii) the Company will become a Member or form a broker-dealer subsidiary. As used herein, the term “Member intending to participate in the Offering” includes any associated person of a Member that is participating in the Offering, any members of such associated person’s immediate family and any affiliate of a Member that is participating in the Offering.</w:t>
      </w:r>
    </w:p>
    <w:p>
      <w:pPr>
        <w:spacing w:after="0" w:line="190" w:lineRule="exact"/>
        <w:rPr>
          <w:rFonts w:ascii="Arial" w:cs="Arial" w:eastAsia="Arial" w:hAnsi="Arial"/>
          <w:sz w:val="18"/>
          <w:szCs w:val="18"/>
          <w:color w:val="auto"/>
        </w:rPr>
      </w:pPr>
    </w:p>
    <w:p>
      <w:pPr>
        <w:ind w:left="-8" w:firstLine="656"/>
        <w:spacing w:after="0" w:line="259" w:lineRule="auto"/>
        <w:tabs>
          <w:tab w:leader="none" w:pos="1518"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Non</w:t>
      </w:r>
      <w:r>
        <w:rPr>
          <w:rFonts w:ascii="Arial" w:cs="Arial" w:eastAsia="Arial" w:hAnsi="Arial"/>
          <w:sz w:val="18"/>
          <w:szCs w:val="18"/>
          <w:color w:val="auto"/>
        </w:rPr>
        <w:t>-</w:t>
      </w:r>
      <w:r>
        <w:rPr>
          <w:rFonts w:ascii="Arial" w:cs="Arial" w:eastAsia="Arial" w:hAnsi="Arial"/>
          <w:sz w:val="18"/>
          <w:szCs w:val="18"/>
          <w:i w:val="1"/>
          <w:iCs w:val="1"/>
          <w:color w:val="auto"/>
        </w:rPr>
        <w:t>Compete</w:t>
      </w:r>
      <w:r>
        <w:rPr>
          <w:rFonts w:ascii="Arial" w:cs="Arial" w:eastAsia="Arial" w:hAnsi="Arial"/>
          <w:sz w:val="18"/>
          <w:szCs w:val="18"/>
          <w:color w:val="auto"/>
        </w:rPr>
        <w:t>/</w:t>
      </w:r>
      <w:r>
        <w:rPr>
          <w:rFonts w:ascii="Arial" w:cs="Arial" w:eastAsia="Arial" w:hAnsi="Arial"/>
          <w:sz w:val="18"/>
          <w:szCs w:val="18"/>
          <w:i w:val="1"/>
          <w:iCs w:val="1"/>
          <w:color w:val="auto"/>
        </w:rPr>
        <w:t>Non</w:t>
      </w:r>
      <w:r>
        <w:rPr>
          <w:rFonts w:ascii="Arial" w:cs="Arial" w:eastAsia="Arial" w:hAnsi="Arial"/>
          <w:sz w:val="18"/>
          <w:szCs w:val="18"/>
          <w:color w:val="auto"/>
        </w:rPr>
        <w:t>-</w:t>
      </w:r>
      <w:r>
        <w:rPr>
          <w:rFonts w:ascii="Arial" w:cs="Arial" w:eastAsia="Arial" w:hAnsi="Arial"/>
          <w:sz w:val="18"/>
          <w:szCs w:val="18"/>
          <w:i w:val="1"/>
          <w:iCs w:val="1"/>
          <w:color w:val="auto"/>
        </w:rPr>
        <w:t>Solicitation</w:t>
      </w:r>
      <w:r>
        <w:rPr>
          <w:rFonts w:ascii="Arial" w:cs="Arial" w:eastAsia="Arial" w:hAnsi="Arial"/>
          <w:sz w:val="18"/>
          <w:szCs w:val="18"/>
          <w:color w:val="auto"/>
        </w:rPr>
        <w:t>. Except as described in the Statutory Prospectus and the Prospectus, to the Company’s knowledge, none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Sponsor, officers, directors or director nominees of the Company is subject to a non-competition agreement or non-solicitation agreement with any employer or prior employer that could materially affect its, his or her ability to be and act in the capacity of shareholder, officer or director of the Company, as applicable.</w:t>
      </w:r>
    </w:p>
    <w:p>
      <w:pPr>
        <w:spacing w:after="0" w:line="186" w:lineRule="exact"/>
        <w:rPr>
          <w:rFonts w:ascii="Arial" w:cs="Arial" w:eastAsia="Arial" w:hAnsi="Arial"/>
          <w:sz w:val="18"/>
          <w:szCs w:val="18"/>
          <w:color w:val="auto"/>
        </w:rPr>
      </w:pPr>
    </w:p>
    <w:p>
      <w:pPr>
        <w:ind w:left="-8" w:firstLine="656"/>
        <w:spacing w:after="0" w:line="264"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has not taken, directly or indirectly, any action designed to or that would constitute or that might</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cause or result in, under the Exchange Act or otherwise, stabilization or manipulation of the price of any security of the Company to facilitate the sale or resale of the Offered Securities.</w:t>
      </w:r>
    </w:p>
    <w:p>
      <w:pPr>
        <w:spacing w:after="0" w:line="181" w:lineRule="exact"/>
        <w:rPr>
          <w:rFonts w:ascii="Arial" w:cs="Arial" w:eastAsia="Arial" w:hAnsi="Arial"/>
          <w:sz w:val="18"/>
          <w:szCs w:val="18"/>
          <w:color w:val="auto"/>
        </w:rPr>
      </w:pPr>
    </w:p>
    <w:p>
      <w:pPr>
        <w:ind w:left="-8" w:right="20" w:firstLine="656"/>
        <w:spacing w:after="0" w:line="277"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Company Ownership of Other Entities</w:t>
      </w:r>
      <w:r>
        <w:rPr>
          <w:rFonts w:ascii="Arial" w:cs="Arial" w:eastAsia="Arial" w:hAnsi="Arial"/>
          <w:sz w:val="18"/>
          <w:szCs w:val="18"/>
          <w:color w:val="auto"/>
        </w:rPr>
        <w:t>. The Company does not own an interest in any corporation, partnership, limited liability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 trust or other entity.</w:t>
      </w:r>
    </w:p>
    <w:p>
      <w:pPr>
        <w:spacing w:after="0" w:line="170" w:lineRule="exact"/>
        <w:rPr>
          <w:rFonts w:ascii="Arial" w:cs="Arial" w:eastAsia="Arial" w:hAnsi="Arial"/>
          <w:sz w:val="18"/>
          <w:szCs w:val="18"/>
          <w:color w:val="auto"/>
        </w:rPr>
      </w:pPr>
    </w:p>
    <w:p>
      <w:pPr>
        <w:ind w:left="-8" w:right="140" w:firstLine="656"/>
        <w:spacing w:after="0" w:line="293" w:lineRule="auto"/>
        <w:tabs>
          <w:tab w:leader="none" w:pos="1540"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Related Party Transactions</w:t>
      </w:r>
      <w:r>
        <w:rPr>
          <w:rFonts w:ascii="Arial" w:cs="Arial" w:eastAsia="Arial" w:hAnsi="Arial"/>
          <w:sz w:val="16"/>
          <w:szCs w:val="16"/>
          <w:color w:val="auto"/>
        </w:rPr>
        <w:t>. No relationship, direct or indirect, exists between or among any of the Company or any affiliate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on the one hand, and any director, director nominee, officer, shareholder, special advisor, customer or supplier of the Company or any affiliate of the Company, on the other hand, which is required by the Act or the Exchange Act to be described in the Registration Statement, Statutory Prospectus or the Prospectus that is not described as required. There are no outstanding loans, advances (except normal advances for business expenses in the ordinary course of business) or guarantees of indebtedness by the Company to or for the benefit of any of the officers, directors or director nominees of the Company or any of their respective family members, except as disclosed in the Registration Statement, Statutory Prospectus and the Prospectus. The Company has not</w:t>
      </w:r>
    </w:p>
    <w:p>
      <w:pPr>
        <w:spacing w:after="0" w:line="2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197" w:name="page198"/>
    <w:bookmarkEnd w:id="197"/>
    <w:p>
      <w:pPr>
        <w:ind w:right="440"/>
        <w:spacing w:after="0" w:line="277" w:lineRule="auto"/>
        <w:rPr>
          <w:sz w:val="20"/>
          <w:szCs w:val="20"/>
          <w:color w:val="auto"/>
        </w:rPr>
      </w:pPr>
      <w:r>
        <w:rPr>
          <w:rFonts w:ascii="Arial" w:cs="Arial" w:eastAsia="Arial" w:hAnsi="Arial"/>
          <w:sz w:val="18"/>
          <w:szCs w:val="18"/>
          <w:color w:val="auto"/>
        </w:rPr>
        <w:t>extended or maintained credit, arranged for the extension of credit, or renewed an extension of credit, in the form of a personal loan to or for any officer, director or director nominee of the Company.</w:t>
      </w:r>
    </w:p>
    <w:p>
      <w:pPr>
        <w:spacing w:after="0" w:line="170" w:lineRule="exact"/>
        <w:rPr>
          <w:sz w:val="20"/>
          <w:szCs w:val="20"/>
          <w:color w:val="auto"/>
        </w:rPr>
      </w:pPr>
    </w:p>
    <w:p>
      <w:pPr>
        <w:ind w:right="120" w:firstLine="656"/>
        <w:spacing w:after="0" w:line="259" w:lineRule="auto"/>
        <w:tabs>
          <w:tab w:leader="none" w:pos="1548"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Absence of Unlawful Influence</w:t>
      </w:r>
      <w:r>
        <w:rPr>
          <w:rFonts w:ascii="Arial" w:cs="Arial" w:eastAsia="Arial" w:hAnsi="Arial"/>
          <w:sz w:val="18"/>
          <w:szCs w:val="18"/>
          <w:color w:val="auto"/>
        </w:rPr>
        <w:t>. The Company has not offered, or caused the Underwriters to offer, the Offered Securities to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or entity with the 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86" w:lineRule="exact"/>
        <w:rPr>
          <w:rFonts w:ascii="Arial" w:cs="Arial" w:eastAsia="Arial" w:hAnsi="Arial"/>
          <w:sz w:val="18"/>
          <w:szCs w:val="18"/>
          <w:color w:val="auto"/>
        </w:rPr>
      </w:pPr>
    </w:p>
    <w:p>
      <w:pPr>
        <w:ind w:right="60" w:firstLine="656"/>
        <w:spacing w:after="0" w:line="264" w:lineRule="auto"/>
        <w:tabs>
          <w:tab w:leader="none" w:pos="1488"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Applicability of Rule 419</w:t>
      </w:r>
      <w:r>
        <w:rPr>
          <w:rFonts w:ascii="Arial" w:cs="Arial" w:eastAsia="Arial" w:hAnsi="Arial"/>
          <w:sz w:val="18"/>
          <w:szCs w:val="18"/>
          <w:color w:val="auto"/>
        </w:rPr>
        <w:t>. Upon delivery and payment for the Units on the Closing Date and each settlement date, the Company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subject to Rule 419 under the Act and none of the Company’s outstanding securities will be deemed to be a “penny stock” as defined in Rule 3a51-1 under the Exchange Act.</w:t>
      </w:r>
    </w:p>
    <w:p>
      <w:pPr>
        <w:spacing w:after="0" w:line="181" w:lineRule="exact"/>
        <w:rPr>
          <w:rFonts w:ascii="Arial" w:cs="Arial" w:eastAsia="Arial" w:hAnsi="Arial"/>
          <w:sz w:val="18"/>
          <w:szCs w:val="18"/>
          <w:color w:val="auto"/>
        </w:rPr>
      </w:pPr>
    </w:p>
    <w:p>
      <w:pPr>
        <w:ind w:firstLine="656"/>
        <w:spacing w:after="0" w:line="257" w:lineRule="auto"/>
        <w:tabs>
          <w:tab w:leader="none" w:pos="1548"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From the time of the initial confidential submission of the Registration Statement to the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(or, if earlier, the first date on which the Company engaged, directly or through any person authorized to act on its behalf, in any Testing-the-Waters Communication) through the Execution Time, the Company has been and is an “emerging growth company,” as defined in Section 2(a) of the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“Testing-the-Waters Communication” means any oral or written communication with potential investors undertaken in reliance on Section 5(d) of the Act.</w:t>
      </w:r>
    </w:p>
    <w:p>
      <w:pPr>
        <w:spacing w:after="0" w:line="188" w:lineRule="exact"/>
        <w:rPr>
          <w:rFonts w:ascii="Arial" w:cs="Arial" w:eastAsia="Arial" w:hAnsi="Arial"/>
          <w:sz w:val="18"/>
          <w:szCs w:val="18"/>
          <w:color w:val="auto"/>
        </w:rPr>
      </w:pPr>
    </w:p>
    <w:p>
      <w:pPr>
        <w:ind w:right="40" w:firstLine="656"/>
        <w:spacing w:after="0" w:line="291" w:lineRule="auto"/>
        <w:tabs>
          <w:tab w:leader="none" w:pos="136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Testing</w:t>
      </w:r>
      <w:r>
        <w:rPr>
          <w:rFonts w:ascii="Arial" w:cs="Arial" w:eastAsia="Arial" w:hAnsi="Arial"/>
          <w:sz w:val="16"/>
          <w:szCs w:val="16"/>
          <w:color w:val="auto"/>
        </w:rPr>
        <w:t>-</w:t>
      </w:r>
      <w:r>
        <w:rPr>
          <w:rFonts w:ascii="Arial" w:cs="Arial" w:eastAsia="Arial" w:hAnsi="Arial"/>
          <w:sz w:val="16"/>
          <w:szCs w:val="16"/>
          <w:i w:val="1"/>
          <w:iCs w:val="1"/>
          <w:color w:val="auto"/>
        </w:rPr>
        <w:t>the</w:t>
      </w:r>
      <w:r>
        <w:rPr>
          <w:rFonts w:ascii="Arial" w:cs="Arial" w:eastAsia="Arial" w:hAnsi="Arial"/>
          <w:sz w:val="16"/>
          <w:szCs w:val="16"/>
          <w:color w:val="auto"/>
        </w:rPr>
        <w:t>-</w:t>
      </w:r>
      <w:r>
        <w:rPr>
          <w:rFonts w:ascii="Arial" w:cs="Arial" w:eastAsia="Arial" w:hAnsi="Arial"/>
          <w:sz w:val="16"/>
          <w:szCs w:val="16"/>
          <w:i w:val="1"/>
          <w:iCs w:val="1"/>
          <w:color w:val="auto"/>
        </w:rPr>
        <w:t>Waters Communications</w:t>
      </w:r>
      <w:r>
        <w:rPr>
          <w:rFonts w:ascii="Arial" w:cs="Arial" w:eastAsia="Arial" w:hAnsi="Arial"/>
          <w:sz w:val="16"/>
          <w:szCs w:val="16"/>
          <w:color w:val="auto"/>
        </w:rPr>
        <w:t>. The Company (i) has not alone engaged in any Testing-the-Waters Communication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Testing-the-Waters Communications with the consent of the Representative with entities that are qualified institutional buyers within the meaning of Rule 144A under the Act or institutions that are accredited investors within the meaning of Rule 501 under the Act and (ii) has not authorized anyone other than the Representative to engage in Testing-the-Waters Communications. The Company reconfirms that the Representative has been authorized to act on its behalf in undertaking Testing-the-Waters Communications and that no press release or confidentiality agreement was or is required in connection therewith. The Company has not distributed any Written Testing-the-Waters Communications other than those listed on Schedule III hereto. “Written Testing-the-Waters Communication” means any Testing-the-Waters Communication that is a written communication within the meaning of Rule 405 under the Act.</w:t>
      </w:r>
    </w:p>
    <w:p>
      <w:pPr>
        <w:spacing w:after="0" w:line="167" w:lineRule="exact"/>
        <w:rPr>
          <w:rFonts w:ascii="Arial" w:cs="Arial" w:eastAsia="Arial" w:hAnsi="Arial"/>
          <w:sz w:val="16"/>
          <w:szCs w:val="16"/>
          <w:color w:val="auto"/>
        </w:rPr>
      </w:pPr>
    </w:p>
    <w:p>
      <w:pPr>
        <w:ind w:right="40" w:firstLine="656"/>
        <w:spacing w:after="0" w:line="271" w:lineRule="auto"/>
        <w:tabs>
          <w:tab w:leader="none" w:pos="1488"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Payments in Foreign Currency</w:t>
      </w:r>
      <w:r>
        <w:rPr>
          <w:rFonts w:ascii="Arial" w:cs="Arial" w:eastAsia="Arial" w:hAnsi="Arial"/>
          <w:sz w:val="17"/>
          <w:szCs w:val="17"/>
          <w:color w:val="auto"/>
        </w:rPr>
        <w:t>. Except as disclosed in Registration Statement, the Statutory Prospectus and the Prospectus, under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laws and regulations of the Cayman Islands and any political subdivision thereof, all dividends and other distributions declared and payable on the Offered Securities may be paid by the Company to the holder thereof in United States dollars or Cayman Islands dollars that may be converted into foreign currency and freely transferred out of the Cayman Islands and all such payments made to holders thereof or therein who are non-residents of the Cayman Islands will not be subject to income, withholding or other taxes under laws and regulations of the Cayman Islands or any political subdivision or taxing authority thereof or therein and will otherwise be free and clear of any other tax, duty, withholding or deduction in the Cayman Islands or any political subdivision or taxing authority thereof or therein and without the necessity of obtaining any governmental authorization in the Cayman Islands or any political subdivision or taxing authority thereof or therein.</w:t>
      </w:r>
    </w:p>
    <w:p>
      <w:pPr>
        <w:spacing w:after="0" w:line="17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Any certificate signed by any officer or director of the Company and delivered to the Representative or counsel for the Underwriters in connection with the Offering shall be deemed a representation and warranty by the Company, as to matters covered thereby, to each Underwriter.</w:t>
      </w:r>
    </w:p>
    <w:p>
      <w:pPr>
        <w:spacing w:after="0" w:line="147" w:lineRule="exact"/>
        <w:rPr>
          <w:sz w:val="20"/>
          <w:szCs w:val="20"/>
          <w:color w:val="auto"/>
        </w:rPr>
      </w:pPr>
    </w:p>
    <w:p>
      <w:pPr>
        <w:ind w:left="1100" w:hanging="444"/>
        <w:spacing w:after="0"/>
        <w:tabs>
          <w:tab w:leader="none" w:pos="11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Purchase and Sale</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8" w:name="page199"/>
    <w:bookmarkEnd w:id="198"/>
    <w:p>
      <w:pPr>
        <w:ind w:right="80" w:firstLine="656"/>
        <w:spacing w:after="0" w:line="264" w:lineRule="auto"/>
        <w:tabs>
          <w:tab w:leader="none" w:pos="16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$9.800 per Unit, the amount of the Firm Securities set forth opposite such Underwriter’s name in Schedule I hereto.</w:t>
      </w:r>
    </w:p>
    <w:p>
      <w:pPr>
        <w:spacing w:after="0" w:line="181" w:lineRule="exact"/>
        <w:rPr>
          <w:rFonts w:ascii="Arial" w:cs="Arial" w:eastAsia="Arial" w:hAnsi="Arial"/>
          <w:sz w:val="18"/>
          <w:szCs w:val="18"/>
          <w:color w:val="auto"/>
        </w:rPr>
      </w:pPr>
    </w:p>
    <w:p>
      <w:pPr>
        <w:ind w:right="80" w:firstLine="656"/>
        <w:spacing w:after="0" w:line="271" w:lineRule="auto"/>
        <w:tabs>
          <w:tab w:leader="none" w:pos="157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herein set forth, the Company hereby grants an option to the several Underwriters to purchase, severally and not jointly, up to 3,750,000 Optional Securities at the same purchase price per Unit as the Underwriters shall pay for the Firm Securities. Said option may be exercised only to cover over-allotments in the sale of the Firm Securities by the Underwriters. Said option may be exercised in whole or in part at any time on or before the 45th day after the date of the Prospectus upon written notice by the Representative to the Company setting forth the number of Optional Securities as to which the several Underwriters are exercising the option and the settlement date. The number of Optional Securities to be purchased by each Underwriter shall be based upon the same percentage of the total number of the Optional Securities to be purchased by the several Underwriters as such Underwriter is purchasing of the Firm Securities, subject to such adjustments as the Representative in its absolute discretion shall make to eliminate any fractional shares.</w:t>
      </w:r>
    </w:p>
    <w:p>
      <w:pPr>
        <w:spacing w:after="0" w:line="178" w:lineRule="exact"/>
        <w:rPr>
          <w:rFonts w:ascii="Arial" w:cs="Arial" w:eastAsia="Arial" w:hAnsi="Arial"/>
          <w:sz w:val="17"/>
          <w:szCs w:val="17"/>
          <w:color w:val="auto"/>
        </w:rPr>
      </w:pPr>
    </w:p>
    <w:p>
      <w:pPr>
        <w:ind w:firstLine="656"/>
        <w:spacing w:after="0" w:line="271" w:lineRule="auto"/>
        <w:tabs>
          <w:tab w:leader="none" w:pos="161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addition to the discount from the public offering price represented by the purchase price set forth in the first sentence of Section 3(a) of this Agreement, the Company hereby agrees to pay to the Underwriters a deferred discount of $0.350 per Unit (including both Firm Securities and Optional Securities) purchased hereunder (the “</w:t>
      </w:r>
      <w:r>
        <w:rPr>
          <w:rFonts w:ascii="Arial" w:cs="Arial" w:eastAsia="Arial" w:hAnsi="Arial"/>
          <w:sz w:val="17"/>
          <w:szCs w:val="17"/>
          <w:u w:val="single" w:color="auto"/>
          <w:color w:val="auto"/>
        </w:rPr>
        <w:t>Deferred Discount</w:t>
      </w:r>
      <w:r>
        <w:rPr>
          <w:rFonts w:ascii="Arial" w:cs="Arial" w:eastAsia="Arial" w:hAnsi="Arial"/>
          <w:sz w:val="17"/>
          <w:szCs w:val="17"/>
          <w:color w:val="auto"/>
        </w:rPr>
        <w:t>”). The Deferred Discount will be paid directly to the Representative, on behalf of the Underwriters, by the Trustee from amounts on deposit in the Trust Account by wire transfer payable in same-day funds if and when the Company consummates its initial Business Combination. The Underwriters hereby agree that if no Business Combination is consummated within the time period provided in the Trust Agreement and the funds held under the Trust Agreement are distributed to the holders of the Ordinary Shares included in the Offered Securities sold pursuant to this Agreement (the “</w:t>
      </w:r>
      <w:r>
        <w:rPr>
          <w:rFonts w:ascii="Arial" w:cs="Arial" w:eastAsia="Arial" w:hAnsi="Arial"/>
          <w:sz w:val="17"/>
          <w:szCs w:val="17"/>
          <w:u w:val="single" w:color="auto"/>
          <w:color w:val="auto"/>
        </w:rPr>
        <w:t>Public Shareholders</w:t>
      </w:r>
      <w:r>
        <w:rPr>
          <w:rFonts w:ascii="Arial" w:cs="Arial" w:eastAsia="Arial" w:hAnsi="Arial"/>
          <w:sz w:val="17"/>
          <w:szCs w:val="17"/>
          <w:color w:val="auto"/>
        </w:rPr>
        <w:t>”), (i) the Underwriters will forfeit any rights or claims to the Deferred Discount and (ii) the Trustee under the Trust Agreement is authorized to distribute the Deferred Discount to the Public Shareholders on a pro rata basis.</w:t>
      </w:r>
    </w:p>
    <w:p>
      <w:pPr>
        <w:spacing w:after="0" w:line="179" w:lineRule="exact"/>
        <w:rPr>
          <w:sz w:val="20"/>
          <w:szCs w:val="20"/>
          <w:color w:val="auto"/>
        </w:rPr>
      </w:pPr>
    </w:p>
    <w:p>
      <w:pPr>
        <w:ind w:right="120" w:firstLine="656"/>
        <w:spacing w:after="0" w:line="270" w:lineRule="auto"/>
        <w:tabs>
          <w:tab w:leader="none" w:pos="1098"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Delivery and Payment</w:t>
      </w:r>
      <w:r>
        <w:rPr>
          <w:rFonts w:ascii="Arial" w:cs="Arial" w:eastAsia="Arial" w:hAnsi="Arial"/>
          <w:sz w:val="17"/>
          <w:szCs w:val="17"/>
          <w:color w:val="auto"/>
        </w:rPr>
        <w:t>. Delivery of and payment for the Firm Securities and the Optional Securities (if the option provided for in Section 3</w:t>
      </w:r>
      <w:r>
        <w:rPr>
          <w:rFonts w:ascii="Arial" w:cs="Arial" w:eastAsia="Arial" w:hAnsi="Arial"/>
          <w:sz w:val="17"/>
          <w:szCs w:val="17"/>
          <w:i w:val="1"/>
          <w:iCs w:val="1"/>
          <w:color w:val="auto"/>
        </w:rPr>
        <w:t xml:space="preserve"> </w:t>
      </w:r>
      <w:r>
        <w:rPr>
          <w:rFonts w:ascii="Arial" w:cs="Arial" w:eastAsia="Arial" w:hAnsi="Arial"/>
          <w:sz w:val="17"/>
          <w:szCs w:val="17"/>
          <w:color w:val="auto"/>
        </w:rPr>
        <w:t>hereof shall have been exercised on or before the second Business Day prior to the Closing Date) shall be made at 10:00 a.m., New York City time, on [·], or at such time on such later date not more than three (3) Business Days after the foregoing date as the Representative shall designate, which date and time may be postponed by agreement between the Representative and the Company or as provided in Section 9 hereof (such date and time of delivery and payment for the Offered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Offered Securities shall be made to the Representative for the respective accounts of the several Underwriters against payment by the several Underwriters through the Representative of the purchase price thereof by wire transfer payable in same-day funds to an account specified by the Company and to the Trust Account as described below in this Section 4. Delivery of the Firm Securities and the Optional Securities shall be made through the facilities of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unless the Representative shall otherwise instruct.</w:t>
      </w:r>
    </w:p>
    <w:p>
      <w:pPr>
        <w:spacing w:after="0" w:line="182" w:lineRule="exact"/>
        <w:rPr>
          <w:sz w:val="20"/>
          <w:szCs w:val="20"/>
          <w:color w:val="auto"/>
        </w:rPr>
      </w:pPr>
    </w:p>
    <w:p>
      <w:pPr>
        <w:ind w:left="1620" w:hanging="964"/>
        <w:spacing w:after="0"/>
        <w:tabs>
          <w:tab w:leader="none" w:pos="1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Payment for the Firm Securities shall be made as follows: $245,000,000 of the net proceeds for the Firm Securities (including</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$8,750,000 of Deferred Discount) shall be deposited in the Trust Account pursuant to the terms of the Trust Agreement along with such portion of the gross proceeds from the sale of the Private Placement Warrants in order for the Trust Account to equal the product of the number of Units sold and the public offering price per Unit as set forth on the cover of the Prospectus upon delivery to the Representative of the Firm Securities through the facilities of DTC or, if the Representative has otherwise instructed, upon delivery to the Representative of certificates (in form and substance satisfactory to the Representative) representing the Firm Securities, in each case for the account of the Underwriters. The Firm Securities shall be registered in such name or names and in such authorized denominations as the Representative may request in writing at least two (2) Business Days prior to the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9" w:name="page200"/>
    <w:bookmarkEnd w:id="199"/>
    <w:p>
      <w:pPr>
        <w:jc w:val="both"/>
        <w:ind w:right="40"/>
        <w:spacing w:after="0" w:line="264" w:lineRule="auto"/>
        <w:rPr>
          <w:sz w:val="20"/>
          <w:szCs w:val="20"/>
          <w:color w:val="auto"/>
        </w:rPr>
      </w:pPr>
      <w:r>
        <w:rPr>
          <w:rFonts w:ascii="Arial" w:cs="Arial" w:eastAsia="Arial" w:hAnsi="Arial"/>
          <w:sz w:val="18"/>
          <w:szCs w:val="18"/>
          <w:color w:val="auto"/>
        </w:rPr>
        <w:t>Closing Date. If delivery is not made through the facilities of DTC, the Company will permit the Representative to examine and package the Firm Securities for delivery, at least one Business Day prior to the Closing Date. The Company shall not be obligated to sell or deliver the Firm Securities except upon tender of payment by the Representative for all the Firm Securities.</w:t>
      </w:r>
    </w:p>
    <w:p>
      <w:pPr>
        <w:spacing w:after="0" w:line="181" w:lineRule="exact"/>
        <w:rPr>
          <w:sz w:val="20"/>
          <w:szCs w:val="20"/>
          <w:color w:val="auto"/>
        </w:rPr>
      </w:pPr>
    </w:p>
    <w:p>
      <w:pPr>
        <w:ind w:firstLine="656"/>
        <w:spacing w:after="0" w:line="288" w:lineRule="auto"/>
        <w:tabs>
          <w:tab w:leader="none" w:pos="157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Payment for the Optional Securities shall be made as follows: $9.800 per Optional Security (including $0.350 per Optional Security of Deferred Discount) shall be deposited in the Trust Account pursuant to the terms of the Trust Agreement along with such portion of the gross proceeds from the sale of the Private Placement Warrants in order for the amount deposited in the Trust Account to equal the product of the number of Units sold and the public offering price per Unit as set forth on the cover of the Prospectus upon delivery to the Representative of the Optional Securities through the facilities of DTC or, if the Representative has otherwise instructed, upon delivery to the Representative of certificates (in form and substance satisfactory to the Representative) representing the Optional Securities (or through the facilities of DTC) for the account of the Underwriters. The Optional Securities shall be registered in such name or names and in such authorized denominations as the Representative may request in writing at least two (2) Business Days prior to the settlement date of such Optional Securities. If delivery is not made through the facilities of DTC, the Company will permit the Representative to examine and package the Optional Securities for delivery, at least one Business Day prior to settlement date of such Optional Securities. The Company shall not be obligated to sell or deliver the Optional Securities except upon tender of payment by the Representative for all the Optional Securities.</w:t>
      </w:r>
    </w:p>
    <w:p>
      <w:pPr>
        <w:spacing w:after="0" w:line="169" w:lineRule="exact"/>
        <w:rPr>
          <w:rFonts w:ascii="Arial" w:cs="Arial" w:eastAsia="Arial" w:hAnsi="Arial"/>
          <w:sz w:val="16"/>
          <w:szCs w:val="16"/>
          <w:color w:val="auto"/>
        </w:rPr>
      </w:pPr>
    </w:p>
    <w:p>
      <w:pPr>
        <w:ind w:right="80" w:firstLine="656"/>
        <w:spacing w:after="0" w:line="271" w:lineRule="auto"/>
        <w:tabs>
          <w:tab w:leader="none" w:pos="161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the option provided for in Section 3 hereof is exercised after the second Business Day prior to the Closing Date, the Company will deliver the Optional Securities (at the expense of the Company) to the Representative, at Credit Suisse Securities (USA) LLC, Eleven Madison Avenue, New York, N.Y. 10010-3629, Attention: IBCM-Legal, on the date specified by the Representative (which shall be at least two (2) Business Days after exercise of said option) for the respective accounts of the several Underwriters, against payment by the several Underwriters through the Representative of the purchase price thereof to the Trust Account as described above in Section 4(b). If settlement for the Optional Securities occurs after the Closing Date, the Company will deliver to the Representative on the settlement date for such Optional Securities, and the obligation of the Underwriters to purchase such Optional Securities shall be conditioned upon receipt of, supplemental opinions, certificates and letters confirming as of such date the opinions, certificates and letters delivered on the Closing Date pursuant to Section 7 hereof.</w:t>
      </w:r>
    </w:p>
    <w:p>
      <w:pPr>
        <w:spacing w:after="0" w:line="179" w:lineRule="exact"/>
        <w:rPr>
          <w:sz w:val="20"/>
          <w:szCs w:val="20"/>
          <w:color w:val="auto"/>
        </w:rPr>
      </w:pPr>
    </w:p>
    <w:p>
      <w:pPr>
        <w:ind w:right="340" w:firstLine="656"/>
        <w:spacing w:after="0" w:line="277" w:lineRule="auto"/>
        <w:tabs>
          <w:tab w:leader="none" w:pos="109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Offered Securities for sale to the public as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Prospectus (the “</w:t>
      </w:r>
      <w:r>
        <w:rPr>
          <w:rFonts w:ascii="Arial" w:cs="Arial" w:eastAsia="Arial" w:hAnsi="Arial"/>
          <w:sz w:val="18"/>
          <w:szCs w:val="18"/>
          <w:u w:val="single" w:color="auto"/>
          <w:color w:val="auto"/>
        </w:rPr>
        <w:t>Offering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Certain Agreements of the Company</w:t>
      </w:r>
      <w:r>
        <w:rPr>
          <w:rFonts w:ascii="Arial" w:cs="Arial" w:eastAsia="Arial" w:hAnsi="Arial"/>
          <w:sz w:val="18"/>
          <w:szCs w:val="18"/>
          <w:color w:val="auto"/>
        </w:rPr>
        <w:t>. The Company agrees with the several Underwriters that:</w:t>
      </w:r>
    </w:p>
    <w:p>
      <w:pPr>
        <w:spacing w:after="0" w:line="225" w:lineRule="exact"/>
        <w:rPr>
          <w:sz w:val="20"/>
          <w:szCs w:val="20"/>
          <w:color w:val="auto"/>
        </w:rPr>
      </w:pPr>
    </w:p>
    <w:p>
      <w:pPr>
        <w:ind w:right="20" w:firstLine="656"/>
        <w:spacing w:after="0" w:line="285" w:lineRule="auto"/>
        <w:tabs>
          <w:tab w:leader="none" w:pos="161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Prior to the termination of the Offering, the Company will not file any amendment of the Registration Statement or supplement to the Prospectus or any Rule 462(b) Registration Statement unless the Company has furnished the Representative with a copy for its review prior to filing and will not file any such proposed amendment, supplement or Rule 462(b) Registration Statement to which the Representative reasonably objects. The Company will cause the Prospectus, properly completed, and any supplement thereto to be filed in a form approved by the Representative with the Commission pursuant to the applicable paragraph of Rule 424(b) within the time period prescribed and will provide evidence satisfactory to the Representative of such timely filing.</w:t>
      </w:r>
    </w:p>
    <w:p>
      <w:pPr>
        <w:spacing w:after="0" w:line="2" w:lineRule="exact"/>
        <w:rPr>
          <w:rFonts w:ascii="Arial" w:cs="Arial" w:eastAsia="Arial" w:hAnsi="Arial"/>
          <w:sz w:val="16"/>
          <w:szCs w:val="16"/>
          <w:color w:val="auto"/>
        </w:rPr>
      </w:pP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The Company will promptly advise the Representative (i) when the Prospectus, and any supplement thereto, shall have been filed (if required) with the Commission pursuant to Rule 424(b) or when any Rule 462(b) Registration Statement or any Written Testing-the-Waters Communication shall have been filed with the Commission, (ii) when, prior to termination of the Offering, any amendment to the Registration Statement shall have been filed or become effective, (iii) of any request by the Commission or its staff for any amendment of the Registration Statement, any Rule 462(b) Registration Statement or any Written Testing-the-Waters Communication or for any supplement to the Prospectus or for any additional information, (iv) of the issuance by the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0" w:name="page201"/>
    <w:bookmarkEnd w:id="200"/>
    <w:p>
      <w:pPr>
        <w:ind w:right="120"/>
        <w:spacing w:after="0" w:line="271" w:lineRule="auto"/>
        <w:rPr>
          <w:sz w:val="20"/>
          <w:szCs w:val="20"/>
          <w:color w:val="auto"/>
        </w:rPr>
      </w:pPr>
      <w:r>
        <w:rPr>
          <w:rFonts w:ascii="Arial" w:cs="Arial" w:eastAsia="Arial" w:hAnsi="Arial"/>
          <w:sz w:val="17"/>
          <w:szCs w:val="17"/>
          <w:color w:val="auto"/>
        </w:rPr>
        <w:t>Commission of any stop order suspending the effectiveness of the Registration Statement or any order preventing or suspending the use of the Preliminary Prospectus, the Prospectus or any Written Testing-the-Waters Communication, or of the institution of any proceedings for that purpose or pursuant to Section 8A of the Act and (v) of the receipt by the Company of any notification with respect to the suspension of the qualification of the Offered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179" w:lineRule="exact"/>
        <w:rPr>
          <w:sz w:val="20"/>
          <w:szCs w:val="20"/>
          <w:color w:val="auto"/>
        </w:rPr>
      </w:pPr>
    </w:p>
    <w:p>
      <w:pPr>
        <w:ind w:right="100" w:firstLine="656"/>
        <w:spacing w:after="0" w:line="297" w:lineRule="auto"/>
        <w:tabs>
          <w:tab w:leader="none" w:pos="15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any event or development occurs as a result of which the Statutory Prospectus would include any untrue statement of a material fact or omit to state any material fact necessary to make the statements therein in the light of the circumstances under which they were made at such time not misleading, the Company will (i) notify promptly the Representative so that any use of the Statutory Prospectus may cease until it is amended or supplemented; (ii) amend or supplement the Statutory Prospectus to correct such statement or omission; and (iii) supply any amendment or supplement to the Representative in such quantities as the Representative may reasonably request.</w:t>
      </w:r>
    </w:p>
    <w:p>
      <w:pPr>
        <w:spacing w:after="0" w:line="158" w:lineRule="exact"/>
        <w:rPr>
          <w:rFonts w:ascii="Arial" w:cs="Arial" w:eastAsia="Arial" w:hAnsi="Arial"/>
          <w:sz w:val="16"/>
          <w:szCs w:val="16"/>
          <w:color w:val="auto"/>
        </w:rPr>
      </w:pPr>
    </w:p>
    <w:p>
      <w:pPr>
        <w:ind w:firstLine="656"/>
        <w:spacing w:after="0" w:line="254" w:lineRule="auto"/>
        <w:tabs>
          <w:tab w:leader="none" w:pos="161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at any time when a prospectus relating to the Offered Securities is required to be delivered under the Act (including in circumstances where such requirement may be satisfied pursuant to Rule 172), any event or development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Prospectus to comply with the Act or the rules thereunder, the Company promptly will (i) notify the Representative of any such event; (ii) prepare and file with the Commission, subject to the second sentence of paragraph (a) of this Section 6, an amendment or supplement that will correct such statement or omission or effect such compliance; and (iii) supply any supplemented Prospectus to the Representative in such quantities as the Representative may reasonably request.</w:t>
      </w:r>
    </w:p>
    <w:p>
      <w:pPr>
        <w:spacing w:after="0" w:line="192" w:lineRule="exact"/>
        <w:rPr>
          <w:rFonts w:ascii="Arial" w:cs="Arial" w:eastAsia="Arial" w:hAnsi="Arial"/>
          <w:sz w:val="18"/>
          <w:szCs w:val="18"/>
          <w:color w:val="auto"/>
        </w:rPr>
      </w:pPr>
    </w:p>
    <w:p>
      <w:pPr>
        <w:ind w:right="620" w:firstLine="656"/>
        <w:spacing w:after="0" w:line="308" w:lineRule="auto"/>
        <w:tabs>
          <w:tab w:leader="none" w:pos="157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soon as practicable, the Company will make generally available to its security holders and to the Representative an earnings statement or statements of the Company and its subsidiaries that will satisfy the provisions of Section 11(a) of the Act and Rule 158.</w:t>
      </w:r>
    </w:p>
    <w:p>
      <w:pPr>
        <w:spacing w:after="0" w:line="146" w:lineRule="exact"/>
        <w:rPr>
          <w:rFonts w:ascii="Arial" w:cs="Arial" w:eastAsia="Arial" w:hAnsi="Arial"/>
          <w:sz w:val="17"/>
          <w:szCs w:val="17"/>
          <w:color w:val="auto"/>
        </w:rPr>
      </w:pPr>
    </w:p>
    <w:p>
      <w:pPr>
        <w:ind w:firstLine="656"/>
        <w:spacing w:after="0" w:line="342" w:lineRule="auto"/>
        <w:tabs>
          <w:tab w:leader="none" w:pos="161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will not make any offer relating to the Units or the securities contained therein that constitutes or would constitute a Free Writing Prospectus or a portion thereof required to be filed by the Company with the Commission or retained by the Company under Rule 433 of the Act.</w:t>
      </w:r>
    </w:p>
    <w:p>
      <w:pPr>
        <w:spacing w:after="0" w:line="123" w:lineRule="exact"/>
        <w:rPr>
          <w:rFonts w:ascii="Arial" w:cs="Arial" w:eastAsia="Arial" w:hAnsi="Arial"/>
          <w:sz w:val="16"/>
          <w:szCs w:val="16"/>
          <w:color w:val="auto"/>
        </w:rPr>
      </w:pPr>
    </w:p>
    <w:p>
      <w:pPr>
        <w:ind w:right="140" w:firstLine="656"/>
        <w:spacing w:after="0" w:line="276" w:lineRule="auto"/>
        <w:tabs>
          <w:tab w:leader="none" w:pos="163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any supplement thereto as the Representative may reasonably request. The Company will pay the expenses of printing or other production of all documents relating to the Offering.</w:t>
      </w:r>
    </w:p>
    <w:p>
      <w:pPr>
        <w:spacing w:after="0" w:line="172" w:lineRule="exact"/>
        <w:rPr>
          <w:rFonts w:ascii="Arial" w:cs="Arial" w:eastAsia="Arial" w:hAnsi="Arial"/>
          <w:sz w:val="17"/>
          <w:szCs w:val="17"/>
          <w:color w:val="auto"/>
        </w:rPr>
      </w:pPr>
    </w:p>
    <w:p>
      <w:pPr>
        <w:jc w:val="both"/>
        <w:ind w:right="180" w:firstLine="656"/>
        <w:spacing w:after="0" w:line="259" w:lineRule="auto"/>
        <w:tabs>
          <w:tab w:leader="none" w:pos="15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will indemnify and hold harmless the Underwriters against any documentary, stamp or similar issue tax, including any interest and penalties, on the creation, issue and sale of the Offered Securities and on the initial resale thereof by the Underwriters and on the execution and delivery of this Agreement. All payments to be made by the Company hereunder shall be made without withholding or deduction for or on account of any present or future taxes, duties or governmental charges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1" w:name="page202"/>
    <w:bookmarkEnd w:id="201"/>
    <w:p>
      <w:pPr>
        <w:ind w:right="40"/>
        <w:spacing w:after="0" w:line="264" w:lineRule="auto"/>
        <w:rPr>
          <w:sz w:val="20"/>
          <w:szCs w:val="20"/>
          <w:color w:val="auto"/>
        </w:rPr>
      </w:pPr>
      <w:r>
        <w:rPr>
          <w:rFonts w:ascii="Arial" w:cs="Arial" w:eastAsia="Arial" w:hAnsi="Arial"/>
          <w:sz w:val="18"/>
          <w:szCs w:val="18"/>
          <w:color w:val="auto"/>
        </w:rPr>
        <w:t>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w:t>
      </w:r>
    </w:p>
    <w:p>
      <w:pPr>
        <w:spacing w:after="0" w:line="181" w:lineRule="exact"/>
        <w:rPr>
          <w:sz w:val="20"/>
          <w:szCs w:val="20"/>
          <w:color w:val="auto"/>
        </w:rPr>
      </w:pPr>
    </w:p>
    <w:p>
      <w:pPr>
        <w:ind w:right="20" w:firstLine="656"/>
        <w:spacing w:after="0" w:line="269" w:lineRule="auto"/>
        <w:tabs>
          <w:tab w:leader="none" w:pos="157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The Company will not, without the prior written consent of the Representative, (x) offer, sell, 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other Units, Ordinary Shares, Warrants or any securities convertible into, or exercisable, or exchangeable for, Ordinary Shares or publicly announce an intention to effect any such transaction during the period commencing on the date hereof and ending 180 days after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shall not apply to the forfeiture of a portion of the Founder Shares pursuant to their terms and the Company may (1) issue and sell the Private Placement Warrants, (2) issue and sell the Optional Securities on exercise of the option provided for in Section 3 hereof, (3) register with the Commission pursuant to the Registration Rights Agreement, in accordance with the terms of the Registration Rights Agreement, the resale of the securities covered thereby, and (4) issue securities in connection with an initial Business Combination, or (y) release the Sponsor or any officer, director or director nominee from the 180-day lock-up contained in the Insider Letter.</w:t>
      </w:r>
    </w:p>
    <w:p>
      <w:pPr>
        <w:spacing w:after="0" w:line="179" w:lineRule="exact"/>
        <w:rPr>
          <w:rFonts w:ascii="Arial" w:cs="Arial" w:eastAsia="Arial" w:hAnsi="Arial"/>
          <w:sz w:val="17"/>
          <w:szCs w:val="17"/>
          <w:color w:val="auto"/>
        </w:rPr>
      </w:pPr>
    </w:p>
    <w:p>
      <w:pPr>
        <w:ind w:right="100" w:firstLine="656"/>
        <w:spacing w:after="0" w:line="264" w:lineRule="auto"/>
        <w:tabs>
          <w:tab w:leader="none" w:pos="162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Offered Securities.</w:t>
      </w:r>
    </w:p>
    <w:p>
      <w:pPr>
        <w:spacing w:after="0" w:line="181" w:lineRule="exact"/>
        <w:rPr>
          <w:rFonts w:ascii="Arial" w:cs="Arial" w:eastAsia="Arial" w:hAnsi="Arial"/>
          <w:sz w:val="18"/>
          <w:szCs w:val="18"/>
          <w:color w:val="auto"/>
        </w:rPr>
      </w:pPr>
    </w:p>
    <w:p>
      <w:pPr>
        <w:ind w:firstLine="656"/>
        <w:spacing w:after="0" w:line="286" w:lineRule="auto"/>
        <w:tabs>
          <w:tab w:leader="none" w:pos="162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amendment or supplement to any of them; (ii) the printing (or reproduction) and delivery (including postage, air freight charges and charges for counting and packaging) of such copies of the Registration Statement, each Preliminary Prospectus, the Prospectus and all amendments or supplements to any of them, as may, in each case, be reasonably requested for use in connection with the offering and sale of the Offered Securities; (iii) the preparation, printing, authentication, issuance and delivery of certificates for the Offered Securities, including any stamp or transfer taxes in connection with the original issuance and sale of the Offered Securities; (iv) the printing (or reproduction) and delivery of this Agreement and all other agreements or documents printed (or reproduced) and delivered in connection with the Offering; (v) the registration of the Offered Securities under the Exchange Act and the listing of the Offered Securities on the Nasdaq Capital Market; (vi) the printing and delivery of a preliminary blue sky memorandum, any registration or qualification of the Offered Securities for offer and sale under the securities or blue sky laws of the several states and any filings required to be made with FINRA (including filing fees and the reasonable and documented fees and expenses of counsel for the Underwriters relating to such filings, memorandum, registration and qualification in an aggregate amount up to $25,000); (vii) the transportation and other expenses incurred by or on behalf of the Company (and not those incurred by or on behalf of the Underwriters) in connection with presentations to prospective purchasers of the Offered Securities; (ix) the fees and expenses of the Company’s accountants and the fees and expenses of counsel (including U.S. and Cayman Islands counsel) for the Company; and (x) all other costs and expenses incident to the performance by the Company of its obligations hereunder.</w:t>
      </w:r>
    </w:p>
    <w:p>
      <w:pPr>
        <w:spacing w:after="0" w:line="168" w:lineRule="exact"/>
        <w:rPr>
          <w:rFonts w:ascii="Arial" w:cs="Arial" w:eastAsia="Arial" w:hAnsi="Arial"/>
          <w:sz w:val="16"/>
          <w:szCs w:val="16"/>
          <w:color w:val="auto"/>
        </w:rPr>
      </w:pPr>
    </w:p>
    <w:p>
      <w:pPr>
        <w:ind w:right="840" w:firstLine="656"/>
        <w:spacing w:after="0" w:line="277" w:lineRule="auto"/>
        <w:tabs>
          <w:tab w:leader="none" w:pos="157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a period commencing on the Effective Date and ending five (5) years from the date of the consummation of the Business Combination or until such earlier time at which the Liquidation occurs,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2" w:name="page203"/>
    <w:bookmarkEnd w:id="202"/>
    <w:p>
      <w:pPr>
        <w:ind w:right="40"/>
        <w:spacing w:after="0" w:line="259" w:lineRule="auto"/>
        <w:rPr>
          <w:sz w:val="20"/>
          <w:szCs w:val="20"/>
          <w:color w:val="auto"/>
        </w:rPr>
      </w:pPr>
      <w:r>
        <w:rPr>
          <w:rFonts w:ascii="Arial" w:cs="Arial" w:eastAsia="Arial" w:hAnsi="Arial"/>
          <w:sz w:val="18"/>
          <w:szCs w:val="18"/>
          <w:color w:val="auto"/>
        </w:rPr>
        <w:t>the Company will use its best efforts to maintain the registration of the Units, Ordinary Shares and Warrants under the provisions of the Exchange Act, except after giving effect to a going private transaction after the completion of an initial Business Combination. During such period, the Company will not deregister the Units, Ordinary Shares or Warrants under the Exchange Act (except in connection with a going private transaction after the completion of an initial Business Combination) without the prior written consent of the Representative.</w:t>
      </w:r>
    </w:p>
    <w:p>
      <w:pPr>
        <w:spacing w:after="0" w:line="187" w:lineRule="exact"/>
        <w:rPr>
          <w:sz w:val="20"/>
          <w:szCs w:val="20"/>
          <w:color w:val="auto"/>
        </w:rPr>
      </w:pPr>
    </w:p>
    <w:p>
      <w:pPr>
        <w:ind w:right="20" w:firstLine="656"/>
        <w:spacing w:after="0" w:line="271" w:lineRule="auto"/>
        <w:tabs>
          <w:tab w:leader="none" w:pos="162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shall, on the date hereof, retain its independent registered public accounting firm to audit the balance sheet of the Company as of the Closing Date (the “</w:t>
      </w:r>
      <w:r>
        <w:rPr>
          <w:rFonts w:ascii="Arial" w:cs="Arial" w:eastAsia="Arial" w:hAnsi="Arial"/>
          <w:sz w:val="17"/>
          <w:szCs w:val="17"/>
          <w:u w:val="single" w:color="auto"/>
          <w:color w:val="auto"/>
        </w:rPr>
        <w:t>Audited Balance Sheet</w:t>
      </w:r>
      <w:r>
        <w:rPr>
          <w:rFonts w:ascii="Arial" w:cs="Arial" w:eastAsia="Arial" w:hAnsi="Arial"/>
          <w:sz w:val="17"/>
          <w:szCs w:val="17"/>
          <w:color w:val="auto"/>
        </w:rPr>
        <w:t>”) reflecting the receipt by the Company of the proceeds of the Offering on the Closing Date. As soon as the Audited Balance Sheet becomes available, the Company shall promptly, but not later than four (4) Business Days after the Closing Date, file a Current Report on Form 8-K with the Commission, which Current Report shall contain the Company’s Audited Balance Sheet. Additionally, upon the Company’s receipt of the proceeds from the exercise of all or any portion of the option provided for in Section 3 hereof, the Company shall promptly, but not later than four (4) Business Days after the receipt of such proceeds, file a Current Report on Form 8-K with the Commission, which report shall disclose the Company’s sale of the Optional Securities and its receipt of the proceeds therefrom, unless the receipt of such proceeds are reflected in the Current Report on Form 8-K referenced in the immediately prior sentence.</w:t>
      </w:r>
    </w:p>
    <w:p>
      <w:pPr>
        <w:spacing w:after="0" w:line="178" w:lineRule="exact"/>
        <w:rPr>
          <w:rFonts w:ascii="Arial" w:cs="Arial" w:eastAsia="Arial" w:hAnsi="Arial"/>
          <w:sz w:val="17"/>
          <w:szCs w:val="17"/>
          <w:color w:val="auto"/>
        </w:rPr>
      </w:pPr>
    </w:p>
    <w:p>
      <w:pPr>
        <w:ind w:firstLine="656"/>
        <w:spacing w:after="0" w:line="257" w:lineRule="auto"/>
        <w:tabs>
          <w:tab w:leader="none" w:pos="158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a period commencing on the Effective Date and ending five (5) years from the date of the consummation of the Business Combination or until such earlier time at which the Liquidation occurs or the Ordinary Shares and Warrants cease to be publicly traded, the Company, at its expense, shall cause its regularly engaged independent registered public accounting firm to review (but not audit) the Company’s financial statements for each of the first three (3) fiscal quarters prior to the announcement of quarterly financial information, the filing of the Company’s Form 10-Q quarterly report and the mailing, if any, of quarterly financial information to shareholders.</w:t>
      </w:r>
    </w:p>
    <w:p>
      <w:pPr>
        <w:spacing w:after="0" w:line="188" w:lineRule="exact"/>
        <w:rPr>
          <w:rFonts w:ascii="Arial" w:cs="Arial" w:eastAsia="Arial" w:hAnsi="Arial"/>
          <w:sz w:val="18"/>
          <w:szCs w:val="18"/>
          <w:color w:val="auto"/>
        </w:rPr>
      </w:pPr>
    </w:p>
    <w:p>
      <w:pPr>
        <w:ind w:right="100" w:firstLine="656"/>
        <w:spacing w:after="0" w:line="269" w:lineRule="auto"/>
        <w:tabs>
          <w:tab w:leader="none" w:pos="157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For a period commencing on the Effective Date and ending five (5) years from the date of the consummation of the Business Combination or until such earlier time at which the Liquidation occurs, the Company shall, to the extent such information or documents are not otherwise publicly available, upon written request from the Representative, furnish to the Representative copies of such financial statements and other periodic and special reports as the Company from time to time furnishes generally to holders of any class of securities, and, to the extent such information or documents are not otherwise publicly available, upon written request from the Representative, promptly furnish to the Representative: (i) a copy of such registration statements, financial statements and periodic and special reports as the Company shall be required to file with the Commission and from time to time furnishes generally to holders of any such class of its securities in their capacities as such; and (ii) such additional documents and information with respect to the Company and the affairs of any future subsidiaries of the Company as the Representative may from time to time reasonably request, all subject to the execution of a satisfactory confidentiality agreement. Any registration statements, financial statements, periodic and special reports or other additional documents referred to in the preceding sentence filed or furnished on the Commission’s EDGAR website and publicly available will be considered furnished for the purposes of this Section 6.</w:t>
      </w:r>
    </w:p>
    <w:p>
      <w:pPr>
        <w:spacing w:after="0" w:line="182" w:lineRule="exact"/>
        <w:rPr>
          <w:rFonts w:ascii="Arial" w:cs="Arial" w:eastAsia="Arial" w:hAnsi="Arial"/>
          <w:sz w:val="17"/>
          <w:szCs w:val="17"/>
          <w:color w:val="auto"/>
        </w:rPr>
      </w:pPr>
    </w:p>
    <w:p>
      <w:pPr>
        <w:ind w:right="260" w:firstLine="656"/>
        <w:spacing w:after="0" w:line="264" w:lineRule="auto"/>
        <w:tabs>
          <w:tab w:leader="none" w:pos="157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a period commencing on the Effective Date and ending five (5) years from the date of the consummation of the Business Combination or until such earlier time at which the Liquidation occurs or the Ordinary Shares and Warrants cease to be publicly traded, the Company shall retain a transfer and warrant agent.</w:t>
      </w:r>
    </w:p>
    <w:p>
      <w:pPr>
        <w:spacing w:after="0" w:line="181" w:lineRule="exact"/>
        <w:rPr>
          <w:rFonts w:ascii="Arial" w:cs="Arial" w:eastAsia="Arial" w:hAnsi="Arial"/>
          <w:sz w:val="18"/>
          <w:szCs w:val="18"/>
          <w:color w:val="auto"/>
        </w:rPr>
      </w:pPr>
    </w:p>
    <w:p>
      <w:pPr>
        <w:ind w:right="60" w:firstLine="656"/>
        <w:spacing w:after="0" w:line="302" w:lineRule="auto"/>
        <w:tabs>
          <w:tab w:leader="none" w:pos="157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will not consummate an initial Business Combination with any entity that is affiliated with the Sponsor or any of the Company’s officers or directors unless it obtains an opinion from an independent investment banking firm, or from an independent accounting firm, that such Business Combination is fair to the Company from a financial point of view. Other than as set forth in this Section 6(p), or as otherwise contemplated in the proxy statement related to its initial Business Combination, the Company shall not pay the Sponsor or its affiliates or any of the Company’s executive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3" w:name="page204"/>
    <w:bookmarkEnd w:id="203"/>
    <w:p>
      <w:pPr>
        <w:ind w:right="120"/>
        <w:spacing w:after="0" w:line="293" w:lineRule="auto"/>
        <w:rPr>
          <w:sz w:val="20"/>
          <w:szCs w:val="20"/>
          <w:color w:val="auto"/>
        </w:rPr>
      </w:pPr>
      <w:r>
        <w:rPr>
          <w:rFonts w:ascii="Arial" w:cs="Arial" w:eastAsia="Arial" w:hAnsi="Arial"/>
          <w:sz w:val="16"/>
          <w:szCs w:val="16"/>
          <w:color w:val="auto"/>
        </w:rPr>
        <w:t xml:space="preserve">officers, directors or any of their respective affiliates any fees or compensation of any kind for services rendered to the Company prior to, or in connection with, the consummation of an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such officers, directors and affiliates (i) may receive reimbursement for out-of-pocket expenses incurred by them in connection with activities on the Company’s behalf related to identifying, investigating and completing an initial Business Combination and (ii) may be repaid loans as described in the Registration Statement, the Statutory Prospectus and the Prospectus and (y) the Sponsor or its affiliates may receive up to $20,000 per month for office space and administrative and support services provided to the Company, none of which payments described in (x) or (y) will be made from the proceeds held in the Trust Account prior to completion of the initial Business Combination.</w:t>
      </w:r>
    </w:p>
    <w:p>
      <w:pPr>
        <w:spacing w:after="0" w:line="165" w:lineRule="exact"/>
        <w:rPr>
          <w:sz w:val="20"/>
          <w:szCs w:val="20"/>
          <w:color w:val="auto"/>
        </w:rPr>
      </w:pPr>
    </w:p>
    <w:p>
      <w:pPr>
        <w:ind w:right="160" w:firstLine="656"/>
        <w:spacing w:after="0" w:line="342" w:lineRule="auto"/>
        <w:tabs>
          <w:tab w:leader="none" w:pos="15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will apply the net proceeds from the Offering and the sale of the Private Placement Warrants received by it in a manner consistent in all material respects with the applications described under the caption “Use of Proceeds” in the Statutory Prospectus and the Prospectus.</w:t>
      </w:r>
    </w:p>
    <w:p>
      <w:pPr>
        <w:spacing w:after="0" w:line="123" w:lineRule="exact"/>
        <w:rPr>
          <w:rFonts w:ascii="Arial" w:cs="Arial" w:eastAsia="Arial" w:hAnsi="Arial"/>
          <w:sz w:val="16"/>
          <w:szCs w:val="16"/>
          <w:color w:val="auto"/>
        </w:rPr>
      </w:pPr>
    </w:p>
    <w:p>
      <w:pPr>
        <w:ind w:right="100" w:firstLine="656"/>
        <w:spacing w:after="0" w:line="289" w:lineRule="auto"/>
        <w:tabs>
          <w:tab w:leader="none" w:pos="163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For a period of 90 days following the Effective Date,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shareholders or for soliciting shareholder approval, as applicable.</w:t>
      </w:r>
    </w:p>
    <w:p>
      <w:pPr>
        <w:spacing w:after="0" w:line="166" w:lineRule="exact"/>
        <w:rPr>
          <w:rFonts w:ascii="Arial" w:cs="Arial" w:eastAsia="Arial" w:hAnsi="Arial"/>
          <w:sz w:val="16"/>
          <w:szCs w:val="16"/>
          <w:color w:val="auto"/>
        </w:rPr>
      </w:pPr>
    </w:p>
    <w:p>
      <w:pPr>
        <w:ind w:right="80" w:firstLine="656"/>
        <w:spacing w:after="0" w:line="277" w:lineRule="auto"/>
        <w:tabs>
          <w:tab w:leader="none" w:pos="160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advise FINRA, the Representative and its counsel if it is aware that any 5% or greater shareholder of the Company becomes an affiliate or associated person of a Member participating in the distribution of the Offered Securities.</w:t>
      </w:r>
    </w:p>
    <w:p>
      <w:pPr>
        <w:spacing w:after="0" w:line="170" w:lineRule="exact"/>
        <w:rPr>
          <w:rFonts w:ascii="Arial" w:cs="Arial" w:eastAsia="Arial" w:hAnsi="Arial"/>
          <w:sz w:val="18"/>
          <w:szCs w:val="18"/>
          <w:color w:val="auto"/>
        </w:rPr>
      </w:pPr>
    </w:p>
    <w:p>
      <w:pPr>
        <w:ind w:firstLine="656"/>
        <w:spacing w:after="0" w:line="297" w:lineRule="auto"/>
        <w:tabs>
          <w:tab w:leader="none" w:pos="162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shall cause the proceeds of the Offering and the sale of the Private Placement Warrants to be held in the Trust Account to be invested only in United States government treasury bills with a maturity of 180 days or less or in money market funds meeting certain conditions under Rule 2a-7 under the Investment Company Act as set forth in the Trust Agreement and disclosed in the Statutory Prospectus and the Prospectus. The Company will otherwise conduct its business in a manner so that it will not become subject to the Investment Company Act. Furthermore, once the Company consummates a Business Combination, it will not be required to register as an investment company under the Investment Company Act.</w:t>
      </w:r>
    </w:p>
    <w:p>
      <w:pPr>
        <w:spacing w:after="0" w:line="158" w:lineRule="exact"/>
        <w:rPr>
          <w:rFonts w:ascii="Arial" w:cs="Arial" w:eastAsia="Arial" w:hAnsi="Arial"/>
          <w:sz w:val="16"/>
          <w:szCs w:val="16"/>
          <w:color w:val="auto"/>
        </w:rPr>
      </w:pPr>
    </w:p>
    <w:p>
      <w:pPr>
        <w:ind w:right="60" w:firstLine="656"/>
        <w:spacing w:after="0" w:line="289" w:lineRule="auto"/>
        <w:tabs>
          <w:tab w:leader="none" w:pos="15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During the period prior to the Company’s initial Business Combination or Liquidation, the Company may instruct the Trustee under the Trust Agreement to release from the Trust Account, (i) solely from interest income earned on the funds held in the Trust Account, the amounts necessary to pay taxes, if any, and (ii) to pay Public Shareholders who properly redeem their Ordinary Shares in connection with a shareholder vote to approve an amendment to the Company’s Amended and Restated Memorandum and Articles of Association (x) to modify the substance or timing of the Company’s obligation to redeem 100% of the outstanding Public Shares (as defined below) if the Company does not consummate an initial Business Combination within 24 months from the closing of the Offering or (y) with respect to any other provision relating to the Public Shareholders’ rights or pre-initial Business Combination activity.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and the Liquidation;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of the Liquidation, up to $100,000 of interest income may be released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4" w:name="page205"/>
    <w:bookmarkEnd w:id="204"/>
    <w:p>
      <w:pPr>
        <w:spacing w:after="0" w:line="277" w:lineRule="auto"/>
        <w:rPr>
          <w:sz w:val="20"/>
          <w:szCs w:val="20"/>
          <w:color w:val="auto"/>
        </w:rPr>
      </w:pPr>
      <w:r>
        <w:rPr>
          <w:rFonts w:ascii="Arial" w:cs="Arial" w:eastAsia="Arial" w:hAnsi="Arial"/>
          <w:sz w:val="18"/>
          <w:szCs w:val="18"/>
          <w:color w:val="auto"/>
        </w:rPr>
        <w:t>to the Company if the proceeds of the Offering held by the Company outside of the Trust Account are not sufficient to cover the costs and expenses associated with implementing the Company’s plan of dissolution.</w:t>
      </w:r>
    </w:p>
    <w:p>
      <w:pPr>
        <w:spacing w:after="0" w:line="170" w:lineRule="exact"/>
        <w:rPr>
          <w:sz w:val="20"/>
          <w:szCs w:val="20"/>
          <w:color w:val="auto"/>
        </w:rPr>
      </w:pPr>
    </w:p>
    <w:p>
      <w:pPr>
        <w:ind w:right="360" w:firstLine="656"/>
        <w:spacing w:after="0" w:line="342" w:lineRule="auto"/>
        <w:tabs>
          <w:tab w:leader="none" w:pos="157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Company will reserve and keep available that maximum number of its authorized but unissued securities that are issuable upon exercise of the Warrants and Private Placement Warrants, and upon conversion of the Founder Shares, outstanding from time to time.</w:t>
      </w:r>
    </w:p>
    <w:p>
      <w:pPr>
        <w:spacing w:after="0" w:line="123" w:lineRule="exact"/>
        <w:rPr>
          <w:rFonts w:ascii="Arial" w:cs="Arial" w:eastAsia="Arial" w:hAnsi="Arial"/>
          <w:sz w:val="16"/>
          <w:szCs w:val="16"/>
          <w:color w:val="auto"/>
        </w:rPr>
      </w:pPr>
    </w:p>
    <w:p>
      <w:pPr>
        <w:ind w:right="20" w:firstLine="656"/>
        <w:spacing w:after="0" w:line="297" w:lineRule="auto"/>
        <w:tabs>
          <w:tab w:leader="none" w:pos="157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Prior to the earlier of the consummation of a Business Combination and the Liquidation, the Company shall not issue (other than in replacement for lost, stolen or mutilated certificates) any Ordinary Shares, Warrants or any options or other securities convertible into Ordinary Shares, or any preferred shares, in each case, that (1) receive funds from the Trust Account or (2) vote as a class with the Public Shares (a) on any initial Business Combination or (b) to approve an amendment to the Company’s Amended and Restated Memorandum and Articles of Association to (i) extend the time the Company has to consummate a Business Combination beyond 24 months from the Closing Date or (ii) amend the foregoing provisions.</w:t>
      </w:r>
    </w:p>
    <w:p>
      <w:pPr>
        <w:spacing w:after="0" w:line="158" w:lineRule="exact"/>
        <w:rPr>
          <w:rFonts w:ascii="Arial" w:cs="Arial" w:eastAsia="Arial" w:hAnsi="Arial"/>
          <w:sz w:val="16"/>
          <w:szCs w:val="16"/>
          <w:color w:val="auto"/>
        </w:rPr>
      </w:pPr>
    </w:p>
    <w:p>
      <w:pPr>
        <w:ind w:right="240" w:firstLine="656"/>
        <w:spacing w:after="0" w:line="264" w:lineRule="auto"/>
        <w:tabs>
          <w:tab w:leader="none" w:pos="157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Prior to the earlier of the consummation of an initial Business Combination and the Liquidation, the Company’s audit committee will review on a quarterly basis all payments made to the Sponsor, to the Company’s officers or directors, or to the Company’s or any of such other persons’ respective affiliates.</w:t>
      </w:r>
    </w:p>
    <w:p>
      <w:pPr>
        <w:spacing w:after="0" w:line="181" w:lineRule="exact"/>
        <w:rPr>
          <w:rFonts w:ascii="Arial" w:cs="Arial" w:eastAsia="Arial" w:hAnsi="Arial"/>
          <w:sz w:val="18"/>
          <w:szCs w:val="18"/>
          <w:color w:val="auto"/>
        </w:rPr>
      </w:pPr>
    </w:p>
    <w:p>
      <w:pPr>
        <w:ind w:right="40" w:firstLine="656"/>
        <w:spacing w:after="0" w:line="286" w:lineRule="auto"/>
        <w:tabs>
          <w:tab w:leader="none" w:pos="1578"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Company agrees that it will use commercially reasonable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65" w:lineRule="exact"/>
        <w:rPr>
          <w:rFonts w:ascii="Arial" w:cs="Arial" w:eastAsia="Arial" w:hAnsi="Arial"/>
          <w:sz w:val="17"/>
          <w:szCs w:val="17"/>
          <w:color w:val="auto"/>
        </w:rPr>
      </w:pPr>
    </w:p>
    <w:p>
      <w:pPr>
        <w:ind w:right="80" w:firstLine="656"/>
        <w:spacing w:after="0" w:line="291" w:lineRule="auto"/>
        <w:tabs>
          <w:tab w:leader="none" w:pos="161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To the extent required by Rule 13a-15(e) under the Exchange Act, the Company will maintain “disclosure controls and procedures” (as defined under Rule 13a-15(e) under the Exchange Act) and a system of internal accounting controls sufficient to provide reasonable assurances that</w:t>
      </w:r>
    </w:p>
    <w:p>
      <w:pPr>
        <w:ind w:right="120" w:firstLine="8"/>
        <w:spacing w:after="0" w:line="254" w:lineRule="auto"/>
        <w:tabs>
          <w:tab w:leader="none" w:pos="2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9" w:lineRule="exact"/>
        <w:rPr>
          <w:rFonts w:ascii="Arial" w:cs="Arial" w:eastAsia="Arial" w:hAnsi="Arial"/>
          <w:sz w:val="18"/>
          <w:szCs w:val="18"/>
          <w:color w:val="auto"/>
        </w:rPr>
      </w:pPr>
    </w:p>
    <w:p>
      <w:pPr>
        <w:jc w:val="both"/>
        <w:ind w:right="20" w:firstLine="656"/>
        <w:spacing w:after="0" w:line="264" w:lineRule="auto"/>
        <w:tabs>
          <w:tab w:leader="none" w:pos="155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will use commercially reasonable efforts to effect and, for a period commencing on the Effective Date and ending five (5) years from the date of the consummation of the Business Combination or until such earlier time at which Liquidation occurs, maintain the listing of the Units, Ordinary Shares and Warrants on the Nasdaq Capital Market (or another national securities exchange).</w:t>
      </w:r>
    </w:p>
    <w:p>
      <w:pPr>
        <w:spacing w:after="0" w:line="181" w:lineRule="exact"/>
        <w:rPr>
          <w:rFonts w:ascii="Arial" w:cs="Arial" w:eastAsia="Arial" w:hAnsi="Arial"/>
          <w:sz w:val="18"/>
          <w:szCs w:val="18"/>
          <w:color w:val="auto"/>
        </w:rPr>
      </w:pPr>
    </w:p>
    <w:p>
      <w:pPr>
        <w:ind w:right="220" w:firstLine="656"/>
        <w:spacing w:after="0" w:line="264" w:lineRule="auto"/>
        <w:tabs>
          <w:tab w:leader="none" w:pos="153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As soon as legally required to do so, the Company and its directors and officers, in their capacities as such, have taken or shall take all actions necessary to comply with any applicable provisions of the Sarbanes-Oxley Act, including Section 402 related to loans and Sections 302 and 906 related to certifications, and to comply with the rules of Nasdaq.</w:t>
      </w:r>
    </w:p>
    <w:p>
      <w:pPr>
        <w:spacing w:after="0" w:line="181" w:lineRule="exact"/>
        <w:rPr>
          <w:rFonts w:ascii="Arial" w:cs="Arial" w:eastAsia="Arial" w:hAnsi="Arial"/>
          <w:sz w:val="18"/>
          <w:szCs w:val="18"/>
          <w:color w:val="auto"/>
        </w:rPr>
      </w:pPr>
    </w:p>
    <w:p>
      <w:pPr>
        <w:ind w:right="480" w:firstLine="656"/>
        <w:spacing w:after="0" w:line="277" w:lineRule="auto"/>
        <w:tabs>
          <w:tab w:leader="none" w:pos="155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shall not take any action or omit to take any action that would cause the Company to be in breach or violation of its Amended and Restated Memorandum and Articles of Association.</w:t>
      </w:r>
    </w:p>
    <w:p>
      <w:pPr>
        <w:spacing w:after="0" w:line="170" w:lineRule="exact"/>
        <w:rPr>
          <w:rFonts w:ascii="Arial" w:cs="Arial" w:eastAsia="Arial" w:hAnsi="Arial"/>
          <w:sz w:val="18"/>
          <w:szCs w:val="18"/>
          <w:color w:val="auto"/>
        </w:rPr>
      </w:pPr>
    </w:p>
    <w:p>
      <w:pPr>
        <w:ind w:right="500" w:firstLine="656"/>
        <w:spacing w:after="0" w:line="277" w:lineRule="auto"/>
        <w:tabs>
          <w:tab w:leader="none" w:pos="153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will seek to have all vendors, service providers (other than independent accountants), prospective target businesses, lenders or other entities with which it does business enter into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5" w:name="page206"/>
    <w:bookmarkEnd w:id="205"/>
    <w:p>
      <w:pPr>
        <w:jc w:val="both"/>
        <w:ind w:right="260"/>
        <w:spacing w:after="0" w:line="264" w:lineRule="auto"/>
        <w:rPr>
          <w:sz w:val="20"/>
          <w:szCs w:val="20"/>
          <w:color w:val="auto"/>
        </w:rPr>
      </w:pPr>
      <w:r>
        <w:rPr>
          <w:rFonts w:ascii="Arial" w:cs="Arial" w:eastAsia="Arial" w:hAnsi="Arial"/>
          <w:sz w:val="18"/>
          <w:szCs w:val="18"/>
          <w:color w:val="auto"/>
        </w:rPr>
        <w:t>an agreement waiving any right, title, interest or claim of any kind in or to any monies held in the Trust Account for the benefit of the Public Shareholders. The Company may forego obtaining such waivers only if the Company’s management shall have determined that such third party’s engagement would be significantly more beneficial to the Company than any alternative.</w:t>
      </w:r>
    </w:p>
    <w:p>
      <w:pPr>
        <w:spacing w:after="0" w:line="181" w:lineRule="exact"/>
        <w:rPr>
          <w:sz w:val="20"/>
          <w:szCs w:val="20"/>
          <w:color w:val="auto"/>
        </w:rPr>
      </w:pPr>
    </w:p>
    <w:p>
      <w:pPr>
        <w:ind w:firstLine="656"/>
        <w:spacing w:after="0" w:line="283" w:lineRule="auto"/>
        <w:tabs>
          <w:tab w:leader="none" w:pos="155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subject to any applicable provision of the Company’s Amended and Restated Memorandum and Articles of Association, may consummate the initial Business Combination and conduct redemptions of Ordinary Shares for cash upon consummation of such Business Combination without a shareholder vote pursuant to Rule 13e-4 and Regulation 14E under the Exchange Act, including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shareholder of the Company with the opportunity prior to the consummation of the initial Business Combination to redeem the Ordinary Shares held by such shareholder for an amount of cash equal to (A) the aggregate amount then on deposit in the Trust Account as of two (2) Business Days prior to the consummation of the initial Business Combination, representing (x) the proceeds held in the Trust Account from the Offering and the sale of the Private Placement Warrants and (y) any interest income earned on the funds held in the Trust Account (which interest shall be net of taxes payable), divided by (B) the total number of Ordinary Shares sold as part of the Units in the Offering (the “</w:t>
      </w:r>
      <w:r>
        <w:rPr>
          <w:rFonts w:ascii="Arial" w:cs="Arial" w:eastAsia="Arial" w:hAnsi="Arial"/>
          <w:sz w:val="16"/>
          <w:szCs w:val="16"/>
          <w:u w:val="single" w:color="auto"/>
          <w:color w:val="auto"/>
        </w:rPr>
        <w:t>Public Shares</w:t>
      </w:r>
      <w:r>
        <w:rPr>
          <w:rFonts w:ascii="Arial" w:cs="Arial" w:eastAsia="Arial" w:hAnsi="Arial"/>
          <w:sz w:val="16"/>
          <w:szCs w:val="16"/>
          <w:color w:val="auto"/>
        </w:rPr>
        <w:t>”) then outstanding. If, however, the Company elects not to file such tender offer documents, a shareholder vote is required by law or applicable stock exchange listing requirement in connection with the initial Business Combination, or the Company decides to hold a shareholder vote for business or other reasons, the Company will submit such Business Combination to the Company’s shareholders for their approval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Vote</w:t>
      </w:r>
      <w:r>
        <w:rPr>
          <w:rFonts w:ascii="Arial" w:cs="Arial" w:eastAsia="Arial" w:hAnsi="Arial"/>
          <w:sz w:val="16"/>
          <w:szCs w:val="16"/>
          <w:color w:val="auto"/>
        </w:rPr>
        <w:t>”). With respect to the initial Business Combination Vote, if any, the Sponsor has agreed to vote all of its Founder Shares and any other Ordinary Shares it may acquire during or after the Offering in favor of the Company’s initial Business Combination. If the Company seeks shareholder approval of the initial Business Combination, the Company will offer to each Public Shareholder holding Ordinary Shares the right to have its shares redeemed in conjunction with a proxy solicitation pursuant to the proxy rules of the Commission at a per share redemption price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equal to (I) the aggregate amount then on deposit in the Trust Account as of two (2) Business Days prior to the consummation of the initial Business Combination, representing (1) the proceeds held in the Trust Account from the Offering and the sale of the Private Placement Warrants and (2) any interest income earned on the funds held in the Trust Account (which interest shall be net of any taxes payable), divided by (II) the total number of Public Shares then outstanding. If the Company seeks shareholder approval of the initial Business Combination, the Company may proceed with such Business Combination only if the Company receives an “ordinary resolution” under Cayman Islands law, which requires the affirmative vote of a majority of the shareholders who attend and vote at a general meeting of the Company. If, after seeking and receiving such shareholder approval, the Company elects to so proceed, it will redeem shares, at the Redemption Price, from those Public Shareholders who validly and affirmatively requested such redemption. Only Public Shareholders holding Ordinary Shares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of ordinary shares of the Company in connection therewith. In the event that the Company does not effect a Business Combination by twenty-four (24) months from the closing of the Offering (or such later date as has been approved pursuant to a valid amendment to the Company’s Amended and Restated Memorandum and Articles of Association), the Company will (i) cease all operations except for the purpose of winding up, (ii) as promptly as reasonably possible but not more than ten (10) Business Days thereafter, redeem 100% of the Public Shares, at a per-share price, payable in cash, equal to the aggregate amount then on deposit in the Trust Account, including interest (which interest shall be net of taxes payable and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subject to the requirement that any refund of income taxes that were paid from the Trust Account that is received after the redemption shall be distributed to the former Public</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6" w:name="page207"/>
    <w:bookmarkEnd w:id="206"/>
    <w:p>
      <w:pPr>
        <w:ind w:right="60"/>
        <w:spacing w:after="0" w:line="253" w:lineRule="auto"/>
        <w:rPr>
          <w:sz w:val="20"/>
          <w:szCs w:val="20"/>
          <w:color w:val="auto"/>
        </w:rPr>
      </w:pPr>
      <w:r>
        <w:rPr>
          <w:rFonts w:ascii="Arial" w:cs="Arial" w:eastAsia="Arial" w:hAnsi="Arial"/>
          <w:sz w:val="18"/>
          <w:szCs w:val="18"/>
          <w:color w:val="auto"/>
        </w:rPr>
        <w:t>Shareholders,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the requirements of other applicable law. Only Public Shareholders holding Ordinary Shares included in the Offered Securities shall be entitled to receive such redemption amounts and the Company shall pay no such redemption amounts or any distributions in liquidation with respect to any other ordinary shares of the Company. The Company will not propose any amendment to its Amended and Restated Memorandum and Articles of Association (A) to modify the substance or timing of the Company’s obligation to redeem 100% of the outstanding Public Shares if the Company has not consummated a Business Combination within twenty-four (24) months from the closing of the Offering, as described in Article 49.6(b) of the Company’s Amended and Restated Memorandum and Articles of Association or (B) with respect to any other provision relating to the Public Shareholders’ rights or pre-initial Business Combination activity, unless the Company offers to the Public Shareholders the right to redeem their Public Shares in connection with such amendment.</w:t>
      </w:r>
    </w:p>
    <w:p>
      <w:pPr>
        <w:spacing w:after="0" w:line="195" w:lineRule="exact"/>
        <w:rPr>
          <w:sz w:val="20"/>
          <w:szCs w:val="20"/>
          <w:color w:val="auto"/>
        </w:rPr>
      </w:pPr>
    </w:p>
    <w:p>
      <w:pPr>
        <w:ind w:right="140" w:firstLine="656"/>
        <w:spacing w:after="0" w:line="293" w:lineRule="auto"/>
        <w:tabs>
          <w:tab w:leader="none" w:pos="155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the event that the Company desires or is required by an applicable law or regulation to cause an announcement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 Announcement</w:t>
      </w:r>
      <w:r>
        <w:rPr>
          <w:rFonts w:ascii="Arial" w:cs="Arial" w:eastAsia="Arial" w:hAnsi="Arial"/>
          <w:sz w:val="16"/>
          <w:szCs w:val="16"/>
          <w:color w:val="auto"/>
        </w:rPr>
        <w:t>”) to be placed in The Wall Street Journal, The New York Times or any other news or media publication or outlet or to be made via a public filing or submission with the Commission announcing the consummation of the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64" w:lineRule="exact"/>
        <w:rPr>
          <w:rFonts w:ascii="Arial" w:cs="Arial" w:eastAsia="Arial" w:hAnsi="Arial"/>
          <w:sz w:val="16"/>
          <w:szCs w:val="16"/>
          <w:color w:val="auto"/>
        </w:rPr>
      </w:pPr>
    </w:p>
    <w:p>
      <w:pPr>
        <w:ind w:firstLine="656"/>
        <w:spacing w:after="0" w:line="293" w:lineRule="auto"/>
        <w:tabs>
          <w:tab w:leader="none" w:pos="153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Upon the consummation of the initial Business Combination, the Company and the Representative will jointly direct the Trustee to pay the Representative, on behalf of the Underwriters, the Deferred Discount out of the proceeds of the Offering held in the Trust Account. The Underwriters shall have no claim to payment of any interest earned on the portion of the proceeds held in the Trust Account representing the Deferred Discount. If the Company fails to consummate its initial Business Combination within the time period required by its Amended and Restated Memorandum and Articles of Association, the Deferred Discount will not be paid to the Representative and will, instead, be included in the Liquidation distribution of the proceeds held in the Trust Account made to the Public Shareholders. In connection with any such Liquidation, the Underwriters forfeit any rights or claims to the Deferred Discount.</w:t>
      </w:r>
    </w:p>
    <w:p>
      <w:pPr>
        <w:spacing w:after="0" w:line="164" w:lineRule="exact"/>
        <w:rPr>
          <w:rFonts w:ascii="Arial" w:cs="Arial" w:eastAsia="Arial" w:hAnsi="Arial"/>
          <w:sz w:val="16"/>
          <w:szCs w:val="16"/>
          <w:color w:val="auto"/>
        </w:rPr>
      </w:pPr>
    </w:p>
    <w:p>
      <w:pPr>
        <w:ind w:right="60" w:firstLine="656"/>
        <w:spacing w:after="0" w:line="284" w:lineRule="auto"/>
        <w:tabs>
          <w:tab w:leader="none" w:pos="153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The Company will arrange, in cooperation with the Representative to qualify the Offered Securities for offering and sale under the securities laws of such jurisdictions as the Representative may designate and will maintain such qualifications in effect so long as required for the distribution of the Offered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qualification shall be required in any jurisdiction where, as a result thereof, the Company would be subject to service of general process or to taxation as a foreign corporation doing business in such jurisdiction, or would be required to qualify to do business in any jurisdiction where it is not now so qualified. Until the earliest of (i) the date on which all Underwriters shall have ceased to engage in market-making activities in respect of the Offered Securities, (ii) the date on which the Offered Securities are listed on the Nasdaq Capital Market (or any successor thereto),</w:t>
      </w:r>
    </w:p>
    <w:p>
      <w:pPr>
        <w:spacing w:after="0" w:line="4" w:lineRule="exact"/>
        <w:rPr>
          <w:rFonts w:ascii="Arial" w:cs="Arial" w:eastAsia="Arial" w:hAnsi="Arial"/>
          <w:sz w:val="16"/>
          <w:szCs w:val="16"/>
          <w:color w:val="auto"/>
        </w:rPr>
      </w:pPr>
    </w:p>
    <w:p>
      <w:pPr>
        <w:ind w:firstLine="8"/>
        <w:spacing w:after="0" w:line="254" w:lineRule="auto"/>
        <w:tabs>
          <w:tab w:leader="none" w:pos="3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going private transaction after the completion of a Business Combination, and (iv) the date of the liquidation of the Company,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to qualify the Offered Securities for offering and sale under the securities laws of such jurisdiction.</w:t>
      </w:r>
    </w:p>
    <w:p>
      <w:pPr>
        <w:spacing w:after="0" w:line="189" w:lineRule="exact"/>
        <w:rPr>
          <w:rFonts w:ascii="Arial" w:cs="Arial" w:eastAsia="Arial" w:hAnsi="Arial"/>
          <w:sz w:val="18"/>
          <w:szCs w:val="18"/>
          <w:color w:val="auto"/>
        </w:rPr>
      </w:pPr>
    </w:p>
    <w:p>
      <w:pPr>
        <w:ind w:right="520" w:firstLine="656"/>
        <w:spacing w:after="0" w:line="342" w:lineRule="auto"/>
        <w:tabs>
          <w:tab w:leader="none" w:pos="158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there occurred or occurs an event or development as a result of which such Written Testing-the-Waters Communication included or would include any untrue statement of a material fact 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7" w:name="page208"/>
    <w:bookmarkEnd w:id="207"/>
    <w:p>
      <w:pPr>
        <w:ind w:right="20"/>
        <w:spacing w:after="0" w:line="302" w:lineRule="auto"/>
        <w:rPr>
          <w:sz w:val="20"/>
          <w:szCs w:val="20"/>
          <w:color w:val="auto"/>
        </w:rPr>
      </w:pPr>
      <w:r>
        <w:rPr>
          <w:rFonts w:ascii="Arial" w:cs="Arial" w:eastAsia="Arial" w:hAnsi="Arial"/>
          <w:sz w:val="16"/>
          <w:szCs w:val="16"/>
          <w:color w:val="auto"/>
        </w:rPr>
        <w:t>omitted or would omit to state any material fact necessary to make the statements therein in the light of the circumstances existing at that subsequent time, not misleading, the Company will promptly (i) notify the Representative so that use of the Written Testing-the-Waters Communication may cease until it is amended or supplemented; (ii) amend or supplement, at its own expense, such Written Testing-the-Waters Communication to eliminate or correct such untrue statement or omission; and (iii) supply any amendment or supplement to the Representative in such quantities as may be reasonably requested.</w:t>
      </w:r>
    </w:p>
    <w:p>
      <w:pPr>
        <w:spacing w:after="0" w:line="154" w:lineRule="exact"/>
        <w:rPr>
          <w:sz w:val="20"/>
          <w:szCs w:val="20"/>
          <w:color w:val="auto"/>
        </w:rPr>
      </w:pPr>
    </w:p>
    <w:p>
      <w:pPr>
        <w:ind w:right="120" w:firstLine="656"/>
        <w:spacing w:after="0" w:line="264" w:lineRule="auto"/>
        <w:tabs>
          <w:tab w:leader="none" w:pos="158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 if the Company ceases to be an Emerging Growth Company at any time prior to the later of (i) completion of the distribution of the Offered Securities within the meaning of the Act and (ii) completion of the 180-day restricted period referred to in Section 6(h) hereof.</w:t>
      </w:r>
    </w:p>
    <w:p>
      <w:pPr>
        <w:spacing w:after="0" w:line="181" w:lineRule="exact"/>
        <w:rPr>
          <w:rFonts w:ascii="Arial" w:cs="Arial" w:eastAsia="Arial" w:hAnsi="Arial"/>
          <w:sz w:val="18"/>
          <w:szCs w:val="18"/>
          <w:color w:val="auto"/>
        </w:rPr>
      </w:pPr>
    </w:p>
    <w:p>
      <w:pPr>
        <w:ind w:firstLine="656"/>
        <w:spacing w:after="0" w:line="279" w:lineRule="auto"/>
        <w:tabs>
          <w:tab w:leader="none" w:pos="1533"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If the Representative, in its sole discretion, agrees to release or waive the transfer restrictions set forth in the Insider Letter for an officer or director of the Company and provides the Company with notice of the impending release or waiver at least three (3) Business Days before the effective date of the release or waiver, the Company agrees to announce the impending release or waiver by a press release substantially in the form of Exhibit A hereto through a major news service at least two (2) Business Days before the effective date of the release or waiver.</w:t>
      </w:r>
    </w:p>
    <w:p>
      <w:pPr>
        <w:spacing w:after="0" w:line="171" w:lineRule="exact"/>
        <w:rPr>
          <w:rFonts w:ascii="Arial" w:cs="Arial" w:eastAsia="Arial" w:hAnsi="Arial"/>
          <w:sz w:val="17"/>
          <w:szCs w:val="17"/>
          <w:color w:val="auto"/>
        </w:rPr>
      </w:pPr>
    </w:p>
    <w:p>
      <w:pPr>
        <w:ind w:right="40" w:firstLine="656"/>
        <w:spacing w:after="0" w:line="291" w:lineRule="auto"/>
        <w:tabs>
          <w:tab w:leader="none" w:pos="158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Upon the earlier to occur of the expiration and termination of the Underwriters’ over-allotment option, the Company shall cancel or otherwise effect the forfeiture of Founder Shares from the Sponsor, in an aggregate amount equal to the number of Founder Shares determined by multiplying</w:t>
      </w:r>
    </w:p>
    <w:p>
      <w:pPr>
        <w:ind w:right="140" w:firstLine="8"/>
        <w:spacing w:after="0" w:line="277" w:lineRule="auto"/>
        <w:tabs>
          <w:tab w:leader="none" w:pos="24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937,500 by (b) a fraction, (i) the numerator of which is 3,750,000 minus the number of Ordinary Shares purchased by the Underwriters upon the exercise of their over-allotment option, and (ii) the denominator of which is 3,750,000. For the avoidance of doubt, if the Underwriters exercise their over-allotment option in full, the Company shall not cancel or otherwise effect the forfeiture of the Founder Shares pursuant to this Section 6(ll).</w:t>
      </w:r>
    </w:p>
    <w:p>
      <w:pPr>
        <w:spacing w:after="0" w:line="173" w:lineRule="exact"/>
        <w:rPr>
          <w:rFonts w:ascii="Arial" w:cs="Arial" w:eastAsia="Arial" w:hAnsi="Arial"/>
          <w:sz w:val="17"/>
          <w:szCs w:val="17"/>
          <w:color w:val="auto"/>
        </w:rPr>
      </w:pPr>
    </w:p>
    <w:p>
      <w:pPr>
        <w:ind w:right="120" w:firstLine="656"/>
        <w:spacing w:after="0" w:line="279" w:lineRule="auto"/>
        <w:tabs>
          <w:tab w:leader="none" w:pos="145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Company shall not enter into a Business Combination with a target business in the cannabis industry unless the Company shall have determined that such target business is compliant with all applicable laws and regulations within the jurisdictions in which it is located or operates. The Company shall not invest in, or consummate a Business Combination with, a target business that the Company determines has been operating, or whose business plan is to operate, in violation of U.S. federal laws, including the U.S. Controlled Substances Act.</w:t>
      </w:r>
    </w:p>
    <w:p>
      <w:pPr>
        <w:spacing w:after="0" w:line="171" w:lineRule="exact"/>
        <w:rPr>
          <w:sz w:val="20"/>
          <w:szCs w:val="20"/>
          <w:color w:val="auto"/>
        </w:rPr>
      </w:pPr>
    </w:p>
    <w:p>
      <w:pPr>
        <w:ind w:right="300" w:firstLine="656"/>
        <w:spacing w:after="0" w:line="257" w:lineRule="auto"/>
        <w:tabs>
          <w:tab w:leader="none" w:pos="1098"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Conditions of the Obligations of the Underwriters</w:t>
      </w:r>
      <w:r>
        <w:rPr>
          <w:rFonts w:ascii="Arial" w:cs="Arial" w:eastAsia="Arial" w:hAnsi="Arial"/>
          <w:sz w:val="18"/>
          <w:szCs w:val="18"/>
          <w:color w:val="auto"/>
        </w:rPr>
        <w:t>. The obligations of the Underwriters to purchase the Firm Securities and the Optional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the case may be, shall be subject to the accuracy of the representations and warranties on the part of the Company contained herein as of the Execution Time, the Closing Date and any settlement date pursuant to Section 4 hereof, to the accuracy of the statements of the Company made in any certificates pursuant to the provisions hereof, to the performance by the Company of its obligations hereunder, including, if applicable, the last sentence of Section 4(c) hereof, and to the following additional conditions:</w:t>
      </w:r>
    </w:p>
    <w:p>
      <w:pPr>
        <w:spacing w:after="0" w:line="188" w:lineRule="exact"/>
        <w:rPr>
          <w:sz w:val="20"/>
          <w:szCs w:val="20"/>
          <w:color w:val="auto"/>
        </w:rPr>
      </w:pPr>
    </w:p>
    <w:p>
      <w:pPr>
        <w:ind w:right="100" w:firstLine="656"/>
        <w:spacing w:after="0" w:line="264" w:lineRule="auto"/>
        <w:tabs>
          <w:tab w:leader="none" w:pos="161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Prospectus, and any supplement thereto, have been filed in the manner and within the time period required by Rule 424(b); and no stop order suspending the effectiveness of the Registration Statement or any notice objecting to its use shall have been issued and no proceedings for that purpose shall have been instituted or threatened.</w:t>
      </w:r>
    </w:p>
    <w:p>
      <w:pPr>
        <w:spacing w:after="0" w:line="181" w:lineRule="exact"/>
        <w:rPr>
          <w:rFonts w:ascii="Arial" w:cs="Arial" w:eastAsia="Arial" w:hAnsi="Arial"/>
          <w:sz w:val="18"/>
          <w:szCs w:val="18"/>
          <w:color w:val="auto"/>
        </w:rPr>
      </w:pPr>
    </w:p>
    <w:p>
      <w:pPr>
        <w:ind w:right="680" w:firstLine="656"/>
        <w:spacing w:after="0" w:line="342" w:lineRule="auto"/>
        <w:tabs>
          <w:tab w:leader="none" w:pos="157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 shall have requested and caused Davis Polk &amp; Wardwell LLP, counsel for the Company, to have furnished to the Representative its opinions dated the Closing Date and addressed to the Representative, in a form reasonably acceptable to the Representative.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8" w:name="page209"/>
    <w:bookmarkEnd w:id="208"/>
    <w:p>
      <w:pPr>
        <w:ind w:left="-20" w:right="260" w:firstLine="656"/>
        <w:spacing w:after="0" w:line="342" w:lineRule="auto"/>
        <w:tabs>
          <w:tab w:leader="none" w:pos="159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shall have requested and caused Maples &amp; Calder, Cayman Islands counsel for the Company, to have furnished to the Representative its opinions dated the Closing Date and addressed to the Representative, in a form reasonably acceptable to the Representative.</w:t>
      </w:r>
    </w:p>
    <w:p>
      <w:pPr>
        <w:spacing w:after="0" w:line="123" w:lineRule="exact"/>
        <w:rPr>
          <w:rFonts w:ascii="Arial" w:cs="Arial" w:eastAsia="Arial" w:hAnsi="Arial"/>
          <w:sz w:val="16"/>
          <w:szCs w:val="16"/>
          <w:color w:val="auto"/>
        </w:rPr>
      </w:pPr>
    </w:p>
    <w:p>
      <w:pPr>
        <w:ind w:left="-20" w:firstLine="656"/>
        <w:spacing w:after="0" w:line="302" w:lineRule="auto"/>
        <w:tabs>
          <w:tab w:leader="none" w:pos="155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Representative shall have received from Skadden, Arps, Slate, Meagher &amp; Flom LLP, counsel for the Underwriters, such opinion or opinions, dated the Closing Date and addressed to the Representative, with respect to the issuance and sale of the Offered Securities, the Registration Statement, the Statutory Prospectus, the Prospectus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154" w:lineRule="exact"/>
        <w:rPr>
          <w:rFonts w:ascii="Arial" w:cs="Arial" w:eastAsia="Arial" w:hAnsi="Arial"/>
          <w:sz w:val="16"/>
          <w:szCs w:val="16"/>
          <w:color w:val="auto"/>
        </w:rPr>
      </w:pPr>
    </w:p>
    <w:p>
      <w:pPr>
        <w:ind w:left="-20" w:right="100" w:firstLine="656"/>
        <w:spacing w:after="0" w:line="279" w:lineRule="auto"/>
        <w:tabs>
          <w:tab w:leader="none" w:pos="159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Company shall have furnished to the Representative a certificate of the Company, signed by its Chief Executive Officer and the principal financial or accounting officer of the Company, dated the Closing Date, to the effect that the signers of such certificate have carefully examined the Registration Statement, each Preliminary Prospectus, the Prospectus and any amendment or supplement thereto, and each “road show” as defined in Rule 433(h) of the Act used in connection with the Offering, and this Agreement and that:</w:t>
      </w:r>
    </w:p>
    <w:p>
      <w:pPr>
        <w:spacing w:after="0" w:line="171" w:lineRule="exact"/>
        <w:rPr>
          <w:rFonts w:ascii="Arial" w:cs="Arial" w:eastAsia="Arial" w:hAnsi="Arial"/>
          <w:sz w:val="17"/>
          <w:szCs w:val="17"/>
          <w:color w:val="auto"/>
        </w:rPr>
      </w:pPr>
    </w:p>
    <w:p>
      <w:pPr>
        <w:ind w:left="500" w:firstLine="784"/>
        <w:spacing w:after="0" w:line="264" w:lineRule="auto"/>
        <w:tabs>
          <w:tab w:leader="none" w:pos="225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such date with the same effect as if made on such date and the Company has complied with all the agreements and satisfied all the conditions on its part to be performed or satisfied at or prior to such date;</w:t>
      </w:r>
    </w:p>
    <w:p>
      <w:pPr>
        <w:spacing w:after="0" w:line="181" w:lineRule="exact"/>
        <w:rPr>
          <w:rFonts w:ascii="Arial" w:cs="Arial" w:eastAsia="Arial" w:hAnsi="Arial"/>
          <w:sz w:val="18"/>
          <w:szCs w:val="18"/>
          <w:color w:val="auto"/>
        </w:rPr>
      </w:pPr>
    </w:p>
    <w:p>
      <w:pPr>
        <w:ind w:left="500" w:right="100" w:firstLine="784"/>
        <w:spacing w:after="0" w:line="277" w:lineRule="auto"/>
        <w:tabs>
          <w:tab w:leader="none" w:pos="221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ind w:left="500" w:right="80" w:firstLine="784"/>
        <w:spacing w:after="0" w:line="264" w:lineRule="auto"/>
        <w:tabs>
          <w:tab w:leader="none" w:pos="21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Statutory Prospectus and the Prospectus (exclusive of any supplement thereto), there has been no Material Adverse Effect, except as set forth in or contemplated in the Statutory Prospectus and the Prospectus (exclusive of any supplement thereto).</w:t>
      </w:r>
    </w:p>
    <w:p>
      <w:pPr>
        <w:spacing w:after="0" w:line="181" w:lineRule="exact"/>
        <w:rPr>
          <w:rFonts w:ascii="Arial" w:cs="Arial" w:eastAsia="Arial" w:hAnsi="Arial"/>
          <w:sz w:val="18"/>
          <w:szCs w:val="18"/>
          <w:color w:val="auto"/>
        </w:rPr>
      </w:pPr>
    </w:p>
    <w:p>
      <w:pPr>
        <w:ind w:left="-20" w:right="60" w:firstLine="656"/>
        <w:spacing w:after="0" w:line="276" w:lineRule="auto"/>
        <w:tabs>
          <w:tab w:leader="none" w:pos="161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Company shall have furnished to the Representative a certificate signed by the [Secretary or Assistant Secretary] of the Company, dated the Closing Date, certifying (i) that the Amended and Restated Memorandum and Articles of Association of the Company are true and complete, have not been modified and are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72" w:lineRule="exact"/>
        <w:rPr>
          <w:rFonts w:ascii="Arial" w:cs="Arial" w:eastAsia="Arial" w:hAnsi="Arial"/>
          <w:sz w:val="17"/>
          <w:szCs w:val="17"/>
          <w:color w:val="auto"/>
        </w:rPr>
      </w:pPr>
    </w:p>
    <w:p>
      <w:pPr>
        <w:jc w:val="both"/>
        <w:ind w:left="-20" w:right="500" w:firstLine="656"/>
        <w:spacing w:after="0" w:line="342" w:lineRule="auto"/>
        <w:tabs>
          <w:tab w:leader="none" w:pos="155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shall have requested and caused Marcum to have furnished to the Representative, at the Execution Time and at the Closing Date, letters, dated respectively as of the Execution Time and as of the Closing Date, in form and substance satisfactory to the Representative.</w:t>
      </w:r>
    </w:p>
    <w:p>
      <w:pPr>
        <w:spacing w:after="0" w:line="123" w:lineRule="exact"/>
        <w:rPr>
          <w:rFonts w:ascii="Arial" w:cs="Arial" w:eastAsia="Arial" w:hAnsi="Arial"/>
          <w:sz w:val="16"/>
          <w:szCs w:val="16"/>
          <w:color w:val="auto"/>
        </w:rPr>
      </w:pPr>
    </w:p>
    <w:p>
      <w:pPr>
        <w:ind w:left="-20" w:right="80" w:firstLine="656"/>
        <w:spacing w:after="0" w:line="259" w:lineRule="auto"/>
        <w:tabs>
          <w:tab w:leader="none" w:pos="15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Subsequent to the Execution Time or, if earlier, the dates as of which information is given in the Registration Statement (exclusive of any amendment thereof), the Statutory Prospectus and the Prospectus (exclusive of any supplement thereto), there shall not have been (i) any change or decrease specified in the letter or letters referred to in paragraph (g) of this Section or (ii) any change, or any development involving a prospective change, in or affecting the earnings, business, management,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209" w:name="page210"/>
    <w:bookmarkEnd w:id="209"/>
    <w:p>
      <w:pPr>
        <w:ind w:right="120"/>
        <w:spacing w:after="0" w:line="276" w:lineRule="auto"/>
        <w:rPr>
          <w:sz w:val="20"/>
          <w:szCs w:val="20"/>
          <w:color w:val="auto"/>
        </w:rPr>
      </w:pPr>
      <w:r>
        <w:rPr>
          <w:rFonts w:ascii="Arial" w:cs="Arial" w:eastAsia="Arial" w:hAnsi="Arial"/>
          <w:sz w:val="17"/>
          <w:szCs w:val="17"/>
          <w:color w:val="auto"/>
        </w:rPr>
        <w:t>properties, assets, rights, operations, condition (financial or otherwise) or prospects of the Company, whether or not arising from transactions in the ordinary course of business, except as set forth in or contemplated in the Statutory Prospectus and the Prospectus (exclusive of any supplement thereto) the effect of which, in any case referred to in clause (i) or (ii) above, is, in the sole judgment of the Representative, so material and adverse as to make it impractical or inadvisable to proceed with the offering or delivery of the Offered Securities as contemplated by the Registration Statement (exclusive of any amendment thereof), the Statutory Prospectus and the Prospectus (exclusive of any supplement thereto).</w:t>
      </w:r>
    </w:p>
    <w:p>
      <w:pPr>
        <w:spacing w:after="0" w:line="173" w:lineRule="exact"/>
        <w:rPr>
          <w:sz w:val="20"/>
          <w:szCs w:val="20"/>
          <w:color w:val="auto"/>
        </w:rPr>
      </w:pPr>
    </w:p>
    <w:p>
      <w:pPr>
        <w:ind w:right="40" w:firstLine="656"/>
        <w:spacing w:after="0" w:line="277" w:lineRule="auto"/>
        <w:tabs>
          <w:tab w:leader="none" w:pos="16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 such further information, certificates and documents as the Representative may reasonably request.</w:t>
      </w:r>
    </w:p>
    <w:p>
      <w:pPr>
        <w:spacing w:after="0" w:line="170" w:lineRule="exact"/>
        <w:rPr>
          <w:rFonts w:ascii="Arial" w:cs="Arial" w:eastAsia="Arial" w:hAnsi="Arial"/>
          <w:sz w:val="18"/>
          <w:szCs w:val="18"/>
          <w:color w:val="auto"/>
        </w:rPr>
      </w:pPr>
    </w:p>
    <w:p>
      <w:pPr>
        <w:ind w:right="140" w:firstLine="656"/>
        <w:spacing w:after="0" w:line="277" w:lineRule="auto"/>
        <w:tabs>
          <w:tab w:leader="none" w:pos="16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transactions contemplated hereby.</w:t>
      </w:r>
    </w:p>
    <w:p>
      <w:pPr>
        <w:spacing w:after="0" w:line="170" w:lineRule="exact"/>
        <w:rPr>
          <w:rFonts w:ascii="Arial" w:cs="Arial" w:eastAsia="Arial" w:hAnsi="Arial"/>
          <w:sz w:val="18"/>
          <w:szCs w:val="18"/>
          <w:color w:val="auto"/>
        </w:rPr>
      </w:pPr>
    </w:p>
    <w:p>
      <w:pPr>
        <w:ind w:right="220" w:firstLine="656"/>
        <w:spacing w:after="0" w:line="277" w:lineRule="auto"/>
        <w:tabs>
          <w:tab w:leader="none" w:pos="157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Offered Securities shall be duly listed subject to notice of issuance on the Nasdaq Capital Market, satisfactory evidence of which shall have been provided to the Representative.</w:t>
      </w:r>
    </w:p>
    <w:p>
      <w:pPr>
        <w:spacing w:after="0" w:line="170" w:lineRule="exact"/>
        <w:rPr>
          <w:rFonts w:ascii="Arial" w:cs="Arial" w:eastAsia="Arial" w:hAnsi="Arial"/>
          <w:sz w:val="18"/>
          <w:szCs w:val="18"/>
          <w:color w:val="auto"/>
        </w:rPr>
      </w:pPr>
    </w:p>
    <w:p>
      <w:pPr>
        <w:ind w:right="240" w:firstLine="656"/>
        <w:spacing w:after="0" w:line="342" w:lineRule="auto"/>
        <w:tabs>
          <w:tab w:leader="none" w:pos="162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On the Effective Date, the Company shall have delivered to the Representative executed copies of the Trust Agreement, the Warrant Agreement, the Founder’s Purchase Agreement, the Warrant Subscription Agreement, the Insider Letter and the Registration Rights Agreement.</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5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least one Business Day prior to the Closing Date or the settlement date, as applicable, the Company shall have caused proceeds from the sale of the Private Placement Warrants to be deposited into the Trust Account such that the cumulative amount deposited into the Trust Account as of such Closing Date or settlement date shall equal the product of the number of Units sold in the public offering as of such Closing Date or settlement date and the public offering price per Unit as set forth on the cover of the Prospectus.</w:t>
      </w:r>
    </w:p>
    <w:p>
      <w:pPr>
        <w:spacing w:after="0" w:line="186" w:lineRule="exact"/>
        <w:rPr>
          <w:rFonts w:ascii="Arial" w:cs="Arial" w:eastAsia="Arial" w:hAnsi="Arial"/>
          <w:sz w:val="18"/>
          <w:szCs w:val="18"/>
          <w:color w:val="auto"/>
        </w:rPr>
      </w:pPr>
    </w:p>
    <w:p>
      <w:pPr>
        <w:ind w:right="180" w:firstLine="656"/>
        <w:spacing w:after="0" w:line="342" w:lineRule="auto"/>
        <w:tabs>
          <w:tab w:leader="none" w:pos="15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 order preventing or suspending the sale of the Units in any jurisdiction designated by the Representative pursuant to Section 6(hh) hereof shall have been issued as of the Closing Date, and no proceedings for that purpose shall have been instituted or shall have been threatened.</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any of the conditions specified in this Section 7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canceled at, or at any time prior to, the Closing Date by the Representative. Notice of such cancellation shall be given to the Company in writing or by telephone or facsimile confirmed in writing.</w:t>
      </w:r>
    </w:p>
    <w:p>
      <w:pPr>
        <w:spacing w:after="0" w:line="171"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The documents required to be delivered by this Section 7 and, if applicable, the last sentence of Section 4(c), shall be delivered at the office of Skadden, Arps, Slate, Meagher &amp; Flom LLP, counsel for the Underwriters, at 300 South Grand Avenue, Suite 3400, Los Angeles, California, 90071, Attention: Gregg A. Noel and Jonathan Ko, unless otherwise indicated herein, on the Closing Date or the applicable settlement date, as applicable.</w:t>
      </w:r>
    </w:p>
    <w:p>
      <w:pPr>
        <w:spacing w:after="0" w:line="147" w:lineRule="exact"/>
        <w:rPr>
          <w:sz w:val="20"/>
          <w:szCs w:val="20"/>
          <w:color w:val="auto"/>
        </w:rPr>
      </w:pPr>
    </w:p>
    <w:p>
      <w:pPr>
        <w:ind w:left="1100" w:hanging="444"/>
        <w:spacing w:after="0"/>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59" w:lineRule="auto"/>
        <w:tabs>
          <w:tab w:leader="none" w:pos="1613"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will indemnify and hold harmless each Underwriter, its partners, members,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employees, agents, affiliates and each person, if any, who controls such Underwriter within the meaning of Section 15 of the Act or Section 20 of the Exchange Act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against any and all losses, claims, damages or liabilities, joint or several, to which such Indemnified Party may become subject, under the Act, the Exchange Act, other</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0" w:name="page211"/>
    <w:bookmarkEnd w:id="210"/>
    <w:p>
      <w:pPr>
        <w:ind w:right="100"/>
        <w:spacing w:after="0" w:line="287" w:lineRule="auto"/>
        <w:rPr>
          <w:sz w:val="20"/>
          <w:szCs w:val="20"/>
          <w:color w:val="auto"/>
        </w:rPr>
      </w:pPr>
      <w:r>
        <w:rPr>
          <w:rFonts w:ascii="Arial" w:cs="Arial" w:eastAsia="Arial" w:hAnsi="Arial"/>
          <w:sz w:val="16"/>
          <w:szCs w:val="16"/>
          <w:color w:val="auto"/>
        </w:rPr>
        <w:t xml:space="preserve">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or in any Preliminary Prospectus, any Statutory Prospectus, the Prospectus, any “road show” as defined in Rule 433(h) of the Act or any Written Testing-the-Waters Communication or in any amendment thereof or supplement thereto,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or on behalf of any Underwriter through the Representative specifically for use therein, it being understood and agreed that the only such information furnished by any Underwriter consists of the information described as such in subsection 8(b) below.</w:t>
      </w:r>
    </w:p>
    <w:p>
      <w:pPr>
        <w:spacing w:after="0" w:line="169" w:lineRule="exact"/>
        <w:rPr>
          <w:sz w:val="20"/>
          <w:szCs w:val="20"/>
          <w:color w:val="auto"/>
        </w:rPr>
      </w:pPr>
    </w:p>
    <w:p>
      <w:pPr>
        <w:ind w:firstLine="656"/>
        <w:spacing w:after="0" w:line="285" w:lineRule="auto"/>
        <w:tabs>
          <w:tab w:leader="none" w:pos="1578" w:val="left"/>
        </w:tabs>
        <w:numPr>
          <w:ilvl w:val="1"/>
          <w:numId w:val="133"/>
        </w:numPr>
        <w:rPr>
          <w:rFonts w:ascii="Arial" w:cs="Arial" w:eastAsia="Arial" w:hAnsi="Arial"/>
          <w:sz w:val="16"/>
          <w:szCs w:val="16"/>
          <w:color w:val="auto"/>
        </w:rPr>
      </w:pPr>
      <w:r>
        <w:rPr>
          <w:rFonts w:ascii="Arial" w:cs="Arial" w:eastAsia="Arial" w:hAnsi="Arial"/>
          <w:sz w:val="16"/>
          <w:szCs w:val="16"/>
          <w:i w:val="1"/>
          <w:iCs w:val="1"/>
          <w:color w:val="auto"/>
        </w:rPr>
        <w:t>Indemnification of Company</w:t>
      </w:r>
      <w:r>
        <w:rPr>
          <w:rFonts w:ascii="Arial" w:cs="Arial" w:eastAsia="Arial" w:hAnsi="Arial"/>
          <w:sz w:val="16"/>
          <w:szCs w:val="16"/>
          <w:color w:val="auto"/>
        </w:rPr>
        <w:t>. Each Underwriter will severally and not jointly indemnify and hold harmless the Company, each of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each 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u w:val="single" w:color="auto"/>
          <w:color w:val="auto"/>
        </w:rPr>
        <w:t>Underwriter Indemnified Party</w:t>
      </w:r>
      <w:r>
        <w:rPr>
          <w:rFonts w:ascii="Arial" w:cs="Arial" w:eastAsia="Arial" w:hAnsi="Arial"/>
          <w:sz w:val="16"/>
          <w:szCs w:val="16"/>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or in any Preliminary Prospectus, any Statutory Prospectus, the Prospectus, any “road show” as defined in Rule 433(h) of the Act or any Written Testing-the-Waters Communication or in any amendment thereof or supplement thereto,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or on behalf of such Underwriter through the Representative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or on behalf of any Underwriter consists of the statements set forth under the heading “Underwriting”: (x) the sentence related to the Underwriter’s intention not to make sales to discretionary accounts and (y) the paragraphs related to stabilization, syndicate covering transactions and penalty bids, in the Preliminary Prospectus, the Statutory Prospectus and the Prospectus constitute the only information furnished in writing by or on behalf of the several Underwriters for inclusion in the documents referred to in the foregoing indemnity.</w:t>
      </w:r>
    </w:p>
    <w:p>
      <w:pPr>
        <w:spacing w:after="0" w:line="391" w:lineRule="exact"/>
        <w:rPr>
          <w:rFonts w:ascii="Arial" w:cs="Arial" w:eastAsia="Arial" w:hAnsi="Arial"/>
          <w:sz w:val="16"/>
          <w:szCs w:val="16"/>
          <w:color w:val="auto"/>
        </w:rPr>
      </w:pPr>
    </w:p>
    <w:p>
      <w:pPr>
        <w:ind w:right="100" w:firstLine="656"/>
        <w:spacing w:after="0" w:line="291" w:lineRule="auto"/>
        <w:tabs>
          <w:tab w:leader="none" w:pos="1613" w:val="left"/>
        </w:tabs>
        <w:numPr>
          <w:ilvl w:val="1"/>
          <w:numId w:val="133"/>
        </w:numPr>
        <w:rPr>
          <w:rFonts w:ascii="Arial" w:cs="Arial" w:eastAsia="Arial" w:hAnsi="Arial"/>
          <w:sz w:val="16"/>
          <w:szCs w:val="16"/>
          <w:color w:val="auto"/>
        </w:rPr>
      </w:pPr>
      <w:r>
        <w:rPr>
          <w:rFonts w:ascii="Arial" w:cs="Arial" w:eastAsia="Arial" w:hAnsi="Arial"/>
          <w:sz w:val="16"/>
          <w:szCs w:val="16"/>
          <w:i w:val="1"/>
          <w:iCs w:val="1"/>
          <w:color w:val="auto"/>
        </w:rPr>
        <w:t>Actions against Parties</w:t>
      </w:r>
      <w:r>
        <w:rPr>
          <w:rFonts w:ascii="Arial" w:cs="Arial" w:eastAsia="Arial" w:hAnsi="Arial"/>
          <w:sz w:val="16"/>
          <w:szCs w:val="16"/>
          <w:color w:val="auto"/>
        </w:rPr>
        <w:t>;</w:t>
      </w:r>
      <w:r>
        <w:rPr>
          <w:rFonts w:ascii="Arial" w:cs="Arial" w:eastAsia="Arial" w:hAnsi="Arial"/>
          <w:sz w:val="16"/>
          <w:szCs w:val="16"/>
          <w:i w:val="1"/>
          <w:iCs w:val="1"/>
          <w:color w:val="auto"/>
        </w:rPr>
        <w:t xml:space="preserve"> Notification</w:t>
      </w:r>
      <w:r>
        <w:rPr>
          <w:rFonts w:ascii="Arial" w:cs="Arial" w:eastAsia="Arial" w:hAnsi="Arial"/>
          <w:sz w:val="16"/>
          <w:szCs w:val="16"/>
          <w:color w:val="auto"/>
        </w:rPr>
        <w:t>. Promptly after receipt by an indemnified party under this Section 8 of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commencement of any action, such indemnified party will, if a claim in respect thereof is to be made against the indemnifying party under subsection 8(a) or</w:t>
      </w:r>
    </w:p>
    <w:p>
      <w:pPr>
        <w:ind w:right="40" w:firstLine="8"/>
        <w:spacing w:after="0" w:line="254"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above, notify the indemnifying party in writing of the commencement thereof; but the failure to notify the indemnifying party shall not relieve it from any liability that it may have under subsection 8(a) or (b) above except to the extent that it has been materially prejudiced (through the forfeiture of substantive rights or defenses) by such failure;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failure to notify the indemnifying party shall not relieve it from any liability that it may have to an indemnified party otherwise than under subsection 8(a) or (b) above. In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1" w:name="page212"/>
    <w:bookmarkEnd w:id="211"/>
    <w:p>
      <w:pPr>
        <w:ind w:right="20"/>
        <w:spacing w:after="0" w:line="270" w:lineRule="auto"/>
        <w:rPr>
          <w:sz w:val="20"/>
          <w:szCs w:val="20"/>
          <w:color w:val="auto"/>
        </w:rPr>
      </w:pPr>
      <w:r>
        <w:rPr>
          <w:rFonts w:ascii="Arial" w:cs="Arial" w:eastAsia="Arial" w:hAnsi="Arial"/>
          <w:sz w:val="17"/>
          <w:szCs w:val="17"/>
          <w:color w:val="auto"/>
        </w:rPr>
        <w:t>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8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78" w:lineRule="exact"/>
        <w:rPr>
          <w:sz w:val="20"/>
          <w:szCs w:val="20"/>
          <w:color w:val="auto"/>
        </w:rPr>
      </w:pPr>
    </w:p>
    <w:p>
      <w:pPr>
        <w:ind w:firstLine="656"/>
        <w:spacing w:after="0" w:line="267" w:lineRule="auto"/>
        <w:tabs>
          <w:tab w:leader="none" w:pos="1578"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Contribution</w:t>
      </w:r>
      <w:r>
        <w:rPr>
          <w:rFonts w:ascii="Arial" w:cs="Arial" w:eastAsia="Arial" w:hAnsi="Arial"/>
          <w:sz w:val="17"/>
          <w:szCs w:val="17"/>
          <w:color w:val="auto"/>
        </w:rPr>
        <w:t>. If the indemnification provided for in this Section 8 is unavailable or insufficient to hold harmless an indemnified party</w:t>
      </w:r>
      <w:r>
        <w:rPr>
          <w:rFonts w:ascii="Arial" w:cs="Arial" w:eastAsia="Arial" w:hAnsi="Arial"/>
          <w:sz w:val="17"/>
          <w:szCs w:val="17"/>
          <w:i w:val="1"/>
          <w:iCs w:val="1"/>
          <w:color w:val="auto"/>
        </w:rPr>
        <w:t xml:space="preserve"> </w:t>
      </w:r>
      <w:r>
        <w:rPr>
          <w:rFonts w:ascii="Arial" w:cs="Arial" w:eastAsia="Arial" w:hAnsi="Arial"/>
          <w:sz w:val="17"/>
          <w:szCs w:val="17"/>
          <w:color w:val="auto"/>
        </w:rPr>
        <w:t>under subsection 8(a) or (b) above, then each indemnifying party shall contribute to the amount paid or payable by such indemnified party as a result of the losses, claims, damages or liabilities referred to in subsection 8(a) or (b) above (i) in such proportion as is appropriate to reflect the relative benefits received by the Company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8(d) shall be deemed to include any legal or other expenses reasonably incurred by such indemnified party in connection with investigating or defending any action or claim which is the subject of this subsection 8(d). Notwithstanding the provisions of this subsection 8(d),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8(d)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186" w:lineRule="exact"/>
        <w:rPr>
          <w:sz w:val="20"/>
          <w:szCs w:val="20"/>
          <w:color w:val="auto"/>
        </w:rPr>
      </w:pPr>
    </w:p>
    <w:p>
      <w:pPr>
        <w:ind w:right="60" w:firstLine="656"/>
        <w:spacing w:after="0" w:line="257" w:lineRule="auto"/>
        <w:tabs>
          <w:tab w:leader="none" w:pos="1098"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Default of Underwriters</w:t>
      </w:r>
      <w:r>
        <w:rPr>
          <w:rFonts w:ascii="Arial" w:cs="Arial" w:eastAsia="Arial" w:hAnsi="Arial"/>
          <w:sz w:val="18"/>
          <w:szCs w:val="18"/>
          <w:color w:val="auto"/>
        </w:rPr>
        <w:t>. If any Underwriter or Underwriters default in their obligations to purchase Offered Securities agreed to be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by such Underwriter or Underwriters hereunder and the aggregate number of Offered Securities that such defaulting Underwriter or Underwriters agreed but failed to purchase does not exceed 10% of the total number of Offered Securities that the Underwriters are obligated to purchase on the Closing Date, the Representative may make arrangements satisfactory to the Company for the purchase of such Offered Securities by other persons, including any of the Underwriters,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2" w:name="page213"/>
    <w:bookmarkEnd w:id="212"/>
    <w:p>
      <w:pPr>
        <w:spacing w:after="0" w:line="270" w:lineRule="auto"/>
        <w:rPr>
          <w:sz w:val="20"/>
          <w:szCs w:val="20"/>
          <w:color w:val="auto"/>
        </w:rPr>
      </w:pPr>
      <w:r>
        <w:rPr>
          <w:rFonts w:ascii="Arial" w:cs="Arial" w:eastAsia="Arial" w:hAnsi="Arial"/>
          <w:sz w:val="17"/>
          <w:szCs w:val="17"/>
          <w:color w:val="auto"/>
        </w:rPr>
        <w:t>but if no such arrangements are made by the Closing Date, the non-defaulting Underwriters shall be obligated severally, in proportion to their respective commitments hereunder, to purchase the Offered Securities that such defaulting Underwriters agreed but failed to purchase on the Closing Date. If any Underwriter or Underwriters so default and the aggregate number of Offered Securities with respect to which such default or defaults occur exceeds 10% of the total number of Offered Securities that the Underwriters are obligated to purchase on the Closing Date and arrangements satisfactory to the Representative and the Company for the purchase of such Offered Securities by other persons are not made within 36 hours after such default, this Agreement will terminate without liability on the part of any non-defaulting Underwriter or the Company, except as provided in Section 11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default occurs with respect to Optional Securities after the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182" w:lineRule="exact"/>
        <w:rPr>
          <w:sz w:val="20"/>
          <w:szCs w:val="20"/>
          <w:color w:val="auto"/>
        </w:rPr>
      </w:pPr>
    </w:p>
    <w:p>
      <w:pPr>
        <w:ind w:right="80" w:firstLine="656"/>
        <w:spacing w:after="0" w:line="285" w:lineRule="auto"/>
        <w:tabs>
          <w:tab w:leader="none" w:pos="1053"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This Agreement shall be subject to termination in the absolute discretion of the Representative, by notice given to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delivery of and payment for the Offered Securities, if at any time prior to such delivery and payment (i) trading in the Company’s Units, Ordinary Shares or Warrants shall have been suspended by the Commission, or trading in securities generally on the New York Stock Exchange or the Nasdaq Capital Market shall have been suspended or limited or minimum prices shall have been established on such exchange or trading market, (ii) a banking moratorium shall have been declared either by Federal or New York State authorities, (iii) there shall have occurred a material disruption in commercial banking or securities settlement or clearance services, (iv) there shall have occurred any outbreak or escalation of hostilities, declaration by the United States of a national emergency or war, or other national or international calamity or crisis (including, without limitation, an act of terrorism) or change in economic or political conditions the effect of which on financial markets is such as to make it, in the sole judgment of the Representative, impractical or inadvisable to proceed with the offering or delivery of the Offered Securities as contemplated by the Statutory Prospectus or the Prospectus (exclusive of any supplement thereto), (v) since the respective dates as of which information is given in the Registration Statement, the Statutory Prospectus and the Prospectus, any material adverse change or any development involving a prospective material adverse change in or affecting the earnings, business, management, properties, assets, rights, operations, condition (financial or otherwise) or prospects of the Company, whether or not arising in the ordinary course of business, (vi) the enactment, publication, decree or other promulgation of any statute, regulation, rule or order of any court or other governmental authority which in the opinion of the Representative materially and adversely affects or may materially and adversely affect the business or operations of the Company,; or (vii) the taking of any action by any governmental body or agency in respect of its monetary or fiscal affairs which in the opinion of the Representative has a material adverse effect on the securities markets in the United States.</w:t>
      </w:r>
    </w:p>
    <w:p>
      <w:pPr>
        <w:spacing w:after="0" w:line="177" w:lineRule="exact"/>
        <w:rPr>
          <w:rFonts w:ascii="Arial" w:cs="Arial" w:eastAsia="Arial" w:hAnsi="Arial"/>
          <w:sz w:val="16"/>
          <w:szCs w:val="16"/>
          <w:color w:val="auto"/>
        </w:rPr>
      </w:pPr>
    </w:p>
    <w:p>
      <w:pPr>
        <w:ind w:right="80" w:firstLine="656"/>
        <w:spacing w:after="0" w:line="289" w:lineRule="auto"/>
        <w:tabs>
          <w:tab w:leader="none" w:pos="1046"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Survival of Certain Representations and Obligations</w:t>
      </w:r>
      <w:r>
        <w:rPr>
          <w:rFonts w:ascii="Arial" w:cs="Arial" w:eastAsia="Arial" w:hAnsi="Arial"/>
          <w:sz w:val="16"/>
          <w:szCs w:val="16"/>
          <w:color w:val="auto"/>
        </w:rPr>
        <w:t>. The respective indemnities, agreements, representations, warranties and other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or its officers, directors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Offered Securities. If the purchase of the Offered Securities by the Underwriters is not consummated for any reason other than solely because of the termination of this Agreement pursuant to Section 9 hereof, the Company will reimburse the Underwriters for all out-of-pocket expenses (including fees and disbursements of counsel) reasonably incurred by them in connection with the offering of the Offered Securities, and the respective obligations of the Company and the Underwriters pursuant to Section 8 hereof shall remain in effect notwithstanding any termination of this Agreement. In addition, if any Offered Securities have been purchased hereunder, the representations and warranties in Section 2 and all obligations under Section 6 shall also remain in effect.</w:t>
      </w:r>
    </w:p>
    <w:p>
      <w:pPr>
        <w:spacing w:after="0" w:line="166" w:lineRule="exact"/>
        <w:rPr>
          <w:rFonts w:ascii="Arial" w:cs="Arial" w:eastAsia="Arial" w:hAnsi="Arial"/>
          <w:sz w:val="16"/>
          <w:szCs w:val="16"/>
          <w:color w:val="auto"/>
        </w:rPr>
      </w:pPr>
    </w:p>
    <w:p>
      <w:pPr>
        <w:ind w:right="640" w:firstLine="656"/>
        <w:spacing w:after="0" w:line="277" w:lineRule="auto"/>
        <w:tabs>
          <w:tab w:leader="none" w:pos="1053"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will be in writing and, if sent to the Underwriters, will be mailed, delivered or telegraphed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confirmed to the Representative at: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3" w:name="page214"/>
    <w:bookmarkEnd w:id="213"/>
    <w:p>
      <w:pPr>
        <w:ind w:left="1300"/>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10010-3629,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LCD-IBD;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Underwriters’ counsel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Gregg A. Noel and Jonathan Ko;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if sent to the Company, will be mailed, delivered or telegraphed and confirmed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Silver Spike Acquisition Corp.</w:t>
      </w:r>
    </w:p>
    <w:p>
      <w:pPr>
        <w:ind w:left="1300"/>
        <w:spacing w:after="0" w:line="195" w:lineRule="auto"/>
        <w:rPr>
          <w:sz w:val="20"/>
          <w:szCs w:val="20"/>
          <w:color w:val="auto"/>
        </w:rPr>
      </w:pPr>
      <w:r>
        <w:rPr>
          <w:rFonts w:ascii="Arial" w:cs="Arial" w:eastAsia="Arial" w:hAnsi="Arial"/>
          <w:sz w:val="18"/>
          <w:szCs w:val="18"/>
          <w:color w:val="auto"/>
        </w:rPr>
        <w:t>1114 6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 41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Scott Gordon, Chief Executive Officer, and Gregory Gentile,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Deanna L. Kirkpatrick and Derek Dostal;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any notice to an Underwriter pursuant to Section 8 hereof will be mailed, delivered or telegraphed and confirmed to such Underwriter.</w:t>
      </w:r>
    </w:p>
    <w:p>
      <w:pPr>
        <w:spacing w:after="0" w:line="248" w:lineRule="exact"/>
        <w:rPr>
          <w:sz w:val="20"/>
          <w:szCs w:val="20"/>
          <w:color w:val="auto"/>
        </w:rPr>
      </w:pPr>
    </w:p>
    <w:p>
      <w:pPr>
        <w:ind w:right="160" w:firstLine="656"/>
        <w:spacing w:after="0" w:line="277" w:lineRule="auto"/>
        <w:tabs>
          <w:tab w:leader="none" w:pos="1053"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directors and controlling persons referred to in Section 8, and no other person will have any right or obligation hereunder.</w:t>
      </w:r>
    </w:p>
    <w:p>
      <w:pPr>
        <w:spacing w:after="0" w:line="170" w:lineRule="exact"/>
        <w:rPr>
          <w:rFonts w:ascii="Arial" w:cs="Arial" w:eastAsia="Arial" w:hAnsi="Arial"/>
          <w:sz w:val="18"/>
          <w:szCs w:val="18"/>
          <w:color w:val="auto"/>
        </w:rPr>
      </w:pPr>
    </w:p>
    <w:p>
      <w:pPr>
        <w:ind w:right="380" w:firstLine="656"/>
        <w:spacing w:after="0" w:line="277" w:lineRule="auto"/>
        <w:tabs>
          <w:tab w:leader="none" w:pos="1053"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Representation of Underwriters</w:t>
      </w:r>
      <w:r>
        <w:rPr>
          <w:rFonts w:ascii="Arial" w:cs="Arial" w:eastAsia="Arial" w:hAnsi="Arial"/>
          <w:sz w:val="18"/>
          <w:szCs w:val="18"/>
          <w:color w:val="auto"/>
        </w:rPr>
        <w:t>. The Representative will act for the several Underwriters in connection with this financing, and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taken by the Representative will be binding upon all the Underwriters.</w:t>
      </w:r>
    </w:p>
    <w:p>
      <w:pPr>
        <w:spacing w:after="0" w:line="170" w:lineRule="exact"/>
        <w:rPr>
          <w:rFonts w:ascii="Arial" w:cs="Arial" w:eastAsia="Arial" w:hAnsi="Arial"/>
          <w:sz w:val="18"/>
          <w:szCs w:val="18"/>
          <w:color w:val="auto"/>
        </w:rPr>
      </w:pPr>
    </w:p>
    <w:p>
      <w:pPr>
        <w:ind w:right="240" w:firstLine="656"/>
        <w:spacing w:after="0" w:line="277" w:lineRule="auto"/>
        <w:tabs>
          <w:tab w:leader="none" w:pos="1053"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Absence of Fiduciary Relationship</w:t>
      </w:r>
      <w:r>
        <w:rPr>
          <w:rFonts w:ascii="Arial" w:cs="Arial" w:eastAsia="Arial" w:hAnsi="Arial"/>
          <w:sz w:val="18"/>
          <w:szCs w:val="18"/>
          <w:color w:val="auto"/>
        </w:rPr>
        <w:t>. The Company acknowledges and agrees that:</w:t>
      </w:r>
    </w:p>
    <w:p>
      <w:pPr>
        <w:spacing w:after="0" w:line="225" w:lineRule="exact"/>
        <w:rPr>
          <w:sz w:val="20"/>
          <w:szCs w:val="20"/>
          <w:color w:val="auto"/>
        </w:rPr>
      </w:pPr>
    </w:p>
    <w:p>
      <w:pPr>
        <w:ind w:right="360" w:firstLine="656"/>
        <w:spacing w:after="0" w:line="259" w:lineRule="auto"/>
        <w:tabs>
          <w:tab w:leader="none" w:pos="1613"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No Other Relationship</w:t>
      </w:r>
      <w:r>
        <w:rPr>
          <w:rFonts w:ascii="Arial" w:cs="Arial" w:eastAsia="Arial" w:hAnsi="Arial"/>
          <w:sz w:val="18"/>
          <w:szCs w:val="18"/>
          <w:color w:val="auto"/>
        </w:rPr>
        <w:t>. The Underwriters have been retained solely to act as an underwriter in connection with the sale of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that no fiduciary, advisory or agency relationship between the Company and the Underwriters has been created in respect of any of the transactions contemplated by this Agreement or the Prospectus, irrespective of whether any Underwriter has advised or is advising the Company on other matters;</w:t>
      </w:r>
    </w:p>
    <w:p>
      <w:pPr>
        <w:spacing w:after="0" w:line="186" w:lineRule="exact"/>
        <w:rPr>
          <w:rFonts w:ascii="Arial" w:cs="Arial" w:eastAsia="Arial" w:hAnsi="Arial"/>
          <w:sz w:val="18"/>
          <w:szCs w:val="18"/>
          <w:color w:val="auto"/>
        </w:rPr>
      </w:pPr>
    </w:p>
    <w:p>
      <w:pPr>
        <w:ind w:right="160" w:firstLine="656"/>
        <w:spacing w:after="0" w:line="277" w:lineRule="auto"/>
        <w:tabs>
          <w:tab w:leader="none" w:pos="1578"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Arms’ Length Negotiations</w:t>
      </w:r>
      <w:r>
        <w:rPr>
          <w:rFonts w:ascii="Arial" w:cs="Arial" w:eastAsia="Arial" w:hAnsi="Arial"/>
          <w:sz w:val="18"/>
          <w:szCs w:val="18"/>
          <w:color w:val="auto"/>
        </w:rPr>
        <w:t>. The price of the Offered Securities set forth in this Agreement was established by the Company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and arms’ length negotiations with the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4" w:name="page215"/>
    <w:bookmarkEnd w:id="214"/>
    <w:p>
      <w:pPr>
        <w:ind w:right="200"/>
        <w:spacing w:after="0" w:line="277" w:lineRule="auto"/>
        <w:rPr>
          <w:sz w:val="20"/>
          <w:szCs w:val="20"/>
          <w:color w:val="auto"/>
        </w:rPr>
      </w:pPr>
      <w:r>
        <w:rPr>
          <w:rFonts w:ascii="Arial" w:cs="Arial" w:eastAsia="Arial" w:hAnsi="Arial"/>
          <w:sz w:val="18"/>
          <w:szCs w:val="18"/>
          <w:color w:val="auto"/>
        </w:rPr>
        <w:t>Representative and the Company is capable of evaluating and understanding and understands and accepts the terms, risks and conditions of the transactions contemplated by this Agreement;</w:t>
      </w:r>
    </w:p>
    <w:p>
      <w:pPr>
        <w:spacing w:after="0" w:line="170" w:lineRule="exact"/>
        <w:rPr>
          <w:sz w:val="20"/>
          <w:szCs w:val="20"/>
          <w:color w:val="auto"/>
        </w:rPr>
      </w:pPr>
    </w:p>
    <w:p>
      <w:pPr>
        <w:ind w:right="340" w:firstLine="656"/>
        <w:spacing w:after="0" w:line="264" w:lineRule="auto"/>
        <w:tabs>
          <w:tab w:leader="none" w:pos="1613"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Absence of Obligation to Disclose</w:t>
      </w:r>
      <w:r>
        <w:rPr>
          <w:rFonts w:ascii="Arial" w:cs="Arial" w:eastAsia="Arial" w:hAnsi="Arial"/>
          <w:sz w:val="18"/>
          <w:szCs w:val="18"/>
          <w:color w:val="auto"/>
        </w:rPr>
        <w:t>. The Company has been advised that the Underwriters and their affiliates are engaged in a broad</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transactions which may involve interests that differ from those of the Company and that the Underwriters have no obligation to disclose such interests and transactions to the Company by virtue of any fiduciary, advisory or agency relationship; and</w:t>
      </w:r>
    </w:p>
    <w:p>
      <w:pPr>
        <w:spacing w:after="0" w:line="181" w:lineRule="exact"/>
        <w:rPr>
          <w:rFonts w:ascii="Arial" w:cs="Arial" w:eastAsia="Arial" w:hAnsi="Arial"/>
          <w:sz w:val="18"/>
          <w:szCs w:val="18"/>
          <w:color w:val="auto"/>
        </w:rPr>
      </w:pPr>
    </w:p>
    <w:p>
      <w:pPr>
        <w:ind w:right="380" w:firstLine="656"/>
        <w:spacing w:after="0" w:line="259" w:lineRule="auto"/>
        <w:tabs>
          <w:tab w:leader="none" w:pos="1578"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The Company waives, to the fullest extent permitted by law, any claims it may have against the Underwriters for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duty or alleged breach of fiduciary duty and agrees that the Underwriters shall have no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187" w:lineRule="exact"/>
        <w:rPr>
          <w:sz w:val="20"/>
          <w:szCs w:val="20"/>
          <w:color w:val="auto"/>
        </w:rPr>
      </w:pPr>
    </w:p>
    <w:p>
      <w:pPr>
        <w:ind w:right="480" w:firstLine="656"/>
        <w:spacing w:after="0" w:line="277" w:lineRule="auto"/>
        <w:tabs>
          <w:tab w:leader="none" w:pos="1053"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Integration</w:t>
      </w:r>
      <w:r>
        <w:rPr>
          <w:rFonts w:ascii="Arial" w:cs="Arial" w:eastAsia="Arial" w:hAnsi="Arial"/>
          <w:sz w:val="18"/>
          <w:szCs w:val="18"/>
          <w:color w:val="auto"/>
        </w:rPr>
        <w:t>. This Agreement supersedes all prior agreements and understandings (whether written or oral) between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or any of them, with respect to the subject matter hereof.</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laws of the State of New York.</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and each Underwriter hereby submits to the non-exclusive jurisdiction of the Federal and state courts in the Borough of Manhattan in The City of New York in any suit or proceeding arising out of or relating to this Agreement or the transactions contemplated hereby. The Company and each Underwriter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189" w:lineRule="exact"/>
        <w:rPr>
          <w:sz w:val="20"/>
          <w:szCs w:val="20"/>
          <w:color w:val="auto"/>
        </w:rPr>
      </w:pPr>
    </w:p>
    <w:p>
      <w:pPr>
        <w:ind w:left="1060" w:hanging="404"/>
        <w:spacing w:after="0"/>
        <w:tabs>
          <w:tab w:leader="none" w:pos="10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JURY TRIAL</w:t>
      </w:r>
      <w:r>
        <w:rPr>
          <w:rFonts w:ascii="Arial" w:cs="Arial" w:eastAsia="Arial" w:hAnsi="Arial"/>
          <w:sz w:val="18"/>
          <w:szCs w:val="18"/>
          <w:b w:val="1"/>
          <w:bCs w:val="1"/>
          <w:color w:val="auto"/>
        </w:rPr>
        <w:t>.</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THE COMPANY AND EACH UNDERWRITER HEREBY IRREVOCABLY WAIVES, TO THE FULLEST EXTENT PERMITTED BY APPLICABLE LAW, ANY AND ALL RIGHT TO TRIAL BY JURY IN ANY LEGAL PROCEEDING ARISING OUT OF OR RELATING TO THIS AGREEMENT OR THE TRANSACTIONS CONTEMPLATED HEREBY.</w:t>
      </w:r>
    </w:p>
    <w:p>
      <w:pPr>
        <w:spacing w:after="0" w:line="180" w:lineRule="exact"/>
        <w:rPr>
          <w:sz w:val="20"/>
          <w:szCs w:val="20"/>
          <w:color w:val="auto"/>
        </w:rPr>
      </w:pPr>
    </w:p>
    <w:p>
      <w:pPr>
        <w:ind w:left="1060" w:hanging="404"/>
        <w:spacing w:after="0"/>
        <w:tabs>
          <w:tab w:leader="none" w:pos="10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59" w:lineRule="auto"/>
        <w:tabs>
          <w:tab w:leader="none" w:pos="161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right="100" w:firstLine="656"/>
        <w:spacing w:after="0" w:line="259" w:lineRule="auto"/>
        <w:tabs>
          <w:tab w:leader="none" w:pos="157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5" w:name="page216"/>
    <w:bookmarkEnd w:id="215"/>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The terms that follow, when used in this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[5:30 p.m.] (New York City time) on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200" w:hanging="896"/>
        <w:spacing w:after="0"/>
        <w:tabs>
          <w:tab w:leader="none" w:pos="22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Rights</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shall mean a free writing prospectus, as defined in Rule 405.</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shall mean the distributions of the Trust Account to the Public Shareholders in connection with the redemption of Ordinary Shares held by the Public Shareholders pursuant to the terms of the Company’s Amended and Restated Memorandum and Articles of Association, as amended, if the Company fails to consummate a Business Combination.</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shall mean any preliminary prospectus referred to in paragraph (s) of Section 2 above and any preliminary prospectus included in the Registration Statement at the Effective Date that omits Rule 430A Information.</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6" w:name="page217"/>
    <w:bookmarkEnd w:id="216"/>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shall mean the prospectus relating to the Offered Securities that is first filed pursuant to Rule 424(b) after the Execution Time.</w:t>
      </w:r>
    </w:p>
    <w:p>
      <w:pPr>
        <w:spacing w:after="0" w:line="23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mean the registration statements referred to in paragraph 2(a) above, including exhibits and financial statements and any prospectus and prospectus supplement relating to the Offered Securities that is filed with the Commission pursuant to Rule 424(b) and deemed part of such registration statement pursuant to Rule 430A, as amended at the Execution Time and, in the event any post-effective amendment thereto or any</w:t>
      </w:r>
    </w:p>
    <w:p>
      <w:pPr>
        <w:ind w:right="660"/>
        <w:spacing w:after="0" w:line="261" w:lineRule="auto"/>
        <w:rPr>
          <w:sz w:val="20"/>
          <w:szCs w:val="20"/>
          <w:color w:val="auto"/>
        </w:rPr>
      </w:pPr>
      <w:r>
        <w:rPr>
          <w:rFonts w:ascii="Arial" w:cs="Arial" w:eastAsia="Arial" w:hAnsi="Arial"/>
          <w:sz w:val="18"/>
          <w:szCs w:val="18"/>
          <w:color w:val="auto"/>
        </w:rPr>
        <w:t>Rule 462(b) Registration Statement becomes effective prior to the Closing Date, shall also mean such registration statement as so amended or such Rule 462(b) Registration Statement, as the case may be.</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419</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430A</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“Rule 433(h)” and “</w:t>
      </w:r>
      <w:r>
        <w:rPr>
          <w:rFonts w:ascii="Arial" w:cs="Arial" w:eastAsia="Arial" w:hAnsi="Arial"/>
          <w:sz w:val="18"/>
          <w:szCs w:val="18"/>
          <w:u w:val="single" w:color="auto"/>
          <w:color w:val="auto"/>
        </w:rPr>
        <w:t>Rule 462(b)</w:t>
      </w:r>
      <w:r>
        <w:rPr>
          <w:rFonts w:ascii="Arial" w:cs="Arial" w:eastAsia="Arial" w:hAnsi="Arial"/>
          <w:sz w:val="18"/>
          <w:szCs w:val="18"/>
          <w:color w:val="auto"/>
        </w:rPr>
        <w:t>” refer to such rules under the Act.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430A Information</w:t>
      </w:r>
      <w:r>
        <w:rPr>
          <w:rFonts w:ascii="Arial" w:cs="Arial" w:eastAsia="Arial" w:hAnsi="Arial"/>
          <w:sz w:val="18"/>
          <w:szCs w:val="18"/>
          <w:color w:val="auto"/>
        </w:rPr>
        <w:t>” shall mean information with respect to the Offered Securities and the offering thereof permitted to be omitted from the Registration Statement when it becomes effective pursuant to Rule 430A.</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2(a) hereof.</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shall mean (i) the Preliminary Prospectus dated [•], relating to the Offered Securities and (ii) the Time of Delivery Information, if any, set forth on Schedule II hereto.</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217" w:name="page218"/>
    <w:bookmarkEnd w:id="217"/>
    <w:p>
      <w:pPr>
        <w:ind w:firstLine="648"/>
        <w:spacing w:after="0" w:line="342" w:lineRule="auto"/>
        <w:rPr>
          <w:sz w:val="20"/>
          <w:szCs w:val="20"/>
          <w:color w:val="auto"/>
        </w:rPr>
      </w:pPr>
      <w:r>
        <w:rPr>
          <w:rFonts w:ascii="Arial" w:cs="Arial" w:eastAsia="Arial" w:hAnsi="Arial"/>
          <w:sz w:val="16"/>
          <w:szCs w:val="16"/>
          <w:color w:val="auto"/>
        </w:rPr>
        <w:t>If the foregoing is in accordance with the Representative’s understanding of our agreement, kindly sign and return to the Company one of the counterparts hereof, whereupon it will become a binding agreement between the Company and the several Underwriters in accordance with its terms.</w:t>
      </w:r>
    </w:p>
    <w:p>
      <w:pPr>
        <w:spacing w:after="0" w:line="12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ILVER</w:t>
      </w:r>
      <w:r>
        <w:rPr>
          <w:rFonts w:ascii="Arial" w:cs="Arial" w:eastAsia="Arial" w:hAnsi="Arial"/>
          <w:sz w:val="18"/>
          <w:szCs w:val="18"/>
          <w:color w:val="auto"/>
        </w:rPr>
        <w:t xml:space="preserve"> S</w:t>
      </w:r>
      <w:r>
        <w:rPr>
          <w:rFonts w:ascii="Arial" w:cs="Arial" w:eastAsia="Arial" w:hAnsi="Arial"/>
          <w:sz w:val="12"/>
          <w:szCs w:val="12"/>
          <w:color w:val="auto"/>
        </w:rPr>
        <w:t>PIKE</w:t>
      </w:r>
      <w:r>
        <w:rPr>
          <w:rFonts w:ascii="Arial" w:cs="Arial" w:eastAsia="Arial" w:hAnsi="Arial"/>
          <w:sz w:val="18"/>
          <w:szCs w:val="18"/>
          <w:color w:val="auto"/>
        </w:rPr>
        <w:t xml:space="preserve"> A</w:t>
      </w:r>
      <w:r>
        <w:rPr>
          <w:rFonts w:ascii="Arial" w:cs="Arial" w:eastAsia="Arial" w:hAnsi="Arial"/>
          <w:sz w:val="12"/>
          <w:szCs w:val="12"/>
          <w:color w:val="auto"/>
        </w:rPr>
        <w:t>CQUISITION</w:t>
      </w:r>
      <w:r>
        <w:rPr>
          <w:rFonts w:ascii="Arial" w:cs="Arial" w:eastAsia="Arial" w:hAnsi="Arial"/>
          <w:sz w:val="18"/>
          <w:szCs w:val="18"/>
          <w:color w:val="auto"/>
        </w:rPr>
        <w:t xml:space="preserve"> C</w:t>
      </w:r>
      <w:r>
        <w:rPr>
          <w:rFonts w:ascii="Arial" w:cs="Arial" w:eastAsia="Arial" w:hAnsi="Arial"/>
          <w:sz w:val="12"/>
          <w:szCs w:val="12"/>
          <w:color w:val="auto"/>
        </w:rPr>
        <w:t>ORP</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4631690</wp:posOffset>
            </wp:positionH>
            <wp:positionV relativeFrom="paragraph">
              <wp:posOffset>1905</wp:posOffset>
            </wp:positionV>
            <wp:extent cx="263271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2632710" cy="342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The foregoing Underwriting Agreement is hereby confirmed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accepted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4180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w:t>
      </w:r>
    </w:p>
    <w:p>
      <w:pPr>
        <w:spacing w:after="0" w:line="200" w:lineRule="exact"/>
        <w:rPr>
          <w:sz w:val="20"/>
          <w:szCs w:val="20"/>
          <w:color w:val="auto"/>
        </w:rPr>
      </w:pPr>
    </w:p>
    <w:p>
      <w:pPr>
        <w:spacing w:after="0" w:line="2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Acting on behalf of itself and as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Representative of the several Underwriters.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5220" w:type="dxa"/>
            <w:vAlign w:val="bottom"/>
            <w:gridSpan w:val="2"/>
          </w:tcPr>
          <w:p>
            <w:pPr>
              <w:ind w:left="900"/>
              <w:spacing w:after="0"/>
              <w:rPr>
                <w:sz w:val="20"/>
                <w:szCs w:val="20"/>
                <w:color w:val="auto"/>
              </w:rPr>
            </w:pPr>
            <w:r>
              <w:rPr>
                <w:rFonts w:ascii="Arial" w:cs="Arial" w:eastAsia="Arial" w:hAnsi="Arial"/>
                <w:sz w:val="18"/>
                <w:szCs w:val="18"/>
                <w:b w:val="1"/>
                <w:bCs w:val="1"/>
                <w:color w:val="auto"/>
              </w:rPr>
              <w:t>SCHEDULE I</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4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16"/>
                <w:szCs w:val="16"/>
                <w:color w:val="auto"/>
              </w:rPr>
            </w:pPr>
          </w:p>
        </w:tc>
        <w:tc>
          <w:tcPr>
            <w:tcW w:w="980" w:type="dxa"/>
            <w:vAlign w:val="bottom"/>
          </w:tcPr>
          <w:p>
            <w:pPr>
              <w:spacing w:after="0" w:line="194" w:lineRule="exact"/>
              <w:rPr>
                <w:sz w:val="20"/>
                <w:szCs w:val="20"/>
                <w:color w:val="auto"/>
              </w:rPr>
            </w:pPr>
            <w:r>
              <w:rPr>
                <w:rFonts w:ascii="Arial" w:cs="Arial" w:eastAsia="Arial" w:hAnsi="Arial"/>
                <w:sz w:val="18"/>
                <w:szCs w:val="18"/>
                <w:b w:val="1"/>
                <w:bCs w:val="1"/>
                <w:color w:val="auto"/>
                <w:w w:val="94"/>
              </w:rPr>
              <w:t>Underwriter</w:t>
            </w:r>
          </w:p>
        </w:tc>
        <w:tc>
          <w:tcPr>
            <w:tcW w:w="4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2"/>
          </w:tcPr>
          <w:p>
            <w:pPr>
              <w:jc w:val="center"/>
              <w:ind w:right="380"/>
              <w:spacing w:after="0" w:line="194" w:lineRule="exact"/>
              <w:rPr>
                <w:sz w:val="20"/>
                <w:szCs w:val="20"/>
                <w:color w:val="auto"/>
              </w:rPr>
            </w:pPr>
            <w:r>
              <w:rPr>
                <w:rFonts w:ascii="Arial" w:cs="Arial" w:eastAsia="Arial" w:hAnsi="Arial"/>
                <w:sz w:val="18"/>
                <w:szCs w:val="18"/>
                <w:b w:val="1"/>
                <w:bCs w:val="1"/>
                <w:color w:val="auto"/>
                <w:w w:val="90"/>
              </w:rPr>
              <w:t>Firm Securities</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9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80" w:type="dxa"/>
            <w:vAlign w:val="bottom"/>
            <w:vMerge w:val="restart"/>
          </w:tcPr>
          <w:p>
            <w:pPr>
              <w:spacing w:after="0"/>
              <w:rPr>
                <w:sz w:val="20"/>
                <w:szCs w:val="20"/>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21"/>
        </w:trPr>
        <w:tc>
          <w:tcPr>
            <w:tcW w:w="9480" w:type="dxa"/>
            <w:vAlign w:val="bottom"/>
            <w:gridSpan w:val="3"/>
          </w:tcPr>
          <w:p>
            <w:pPr>
              <w:ind w:left="13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20" w:name="page221"/>
    <w:bookmarkEnd w:id="220"/>
    <w:p>
      <w:pPr>
        <w:jc w:val="center"/>
        <w:ind w:right="-39"/>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TIME OF DELIVERY INFORMATION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Silver Spike Acquisition Corp. priced 25,000,000 Units at $10.00 per Unit plus an additional 3,750,000 Units if the underwriters exercise their over-allotment option in full.</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underwriting discounts and commissions shall be $0.550 per Unit, including $0.350 per Unit in the aggregate payable to the Underwriters for deferred underwriting commissions to be placed into the Trust Account and released to the Underwriters upon completion of the initial Business Combination in accordance with the Trust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Units will be issued pursuant to an effective registration statement that has been previously filed with the Securities and Exchange Commission.</w:t>
      </w:r>
    </w:p>
    <w:p>
      <w:pPr>
        <w:spacing w:after="0" w:line="24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any offer to buy, nor shall there be any sale of the securities in any state or jurisdiction in which such offer, solicitation or sale would be unlawful prior to the registration or qualification under the securities law of any such state or jurisdiction.</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Copies of the prospectus related to this offering may be obtained from Credit Suisse Prospectus Department, One Madison Avenue, New York, NY 10010; tel: 1-800-221-1037, e-mail: usa.prospectus@credit-suisse.com.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1" w:name="page222"/>
    <w:bookmarkEnd w:id="221"/>
    <w:p>
      <w:pPr>
        <w:jc w:val="center"/>
        <w:ind w:right="-339"/>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is made to the materials used in the testing the waters presentation made to potential investors by the Company, to the extent such materials are deemed to be a “written communication” within the meaning of Rule 405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121" w:right="579" w:bottom="1440" w:gutter="0" w:footer="0" w:header="0"/>
        </w:sectPr>
      </w:pPr>
    </w:p>
    <w:bookmarkStart w:id="222" w:name="page223"/>
    <w:bookmarkEnd w:id="222"/>
    <w:p>
      <w:pPr>
        <w:jc w:val="center"/>
        <w:ind w:right="-15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Silver Spike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announced today that Credit Suisse, the lead book-running manager in the Company’s recent public sale of Units, is [waiving] [releasing] a lock-up restriction with respect to the Company’s [Class A Ordinary Shares] [Warrants] [Units] held by [certain officers or directors] [an officer or director] of the Company. The [waiver] [release] will take effect on [Date], and the securities may be sold on or after such date.</w:t>
      </w:r>
    </w:p>
    <w:p>
      <w:pPr>
        <w:spacing w:after="0" w:line="143"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223" w:name="page224"/>
    <w:bookmarkEnd w:id="223"/>
    <w:p>
      <w:pPr>
        <w:jc w:val="right"/>
        <w:spacing w:after="0"/>
        <w:rPr>
          <w:sz w:val="20"/>
          <w:szCs w:val="20"/>
          <w:color w:val="auto"/>
        </w:rPr>
      </w:pPr>
      <w:r>
        <w:rPr>
          <w:rFonts w:ascii="Arial" w:cs="Arial" w:eastAsia="Arial" w:hAnsi="Arial"/>
          <w:sz w:val="22"/>
          <w:szCs w:val="22"/>
          <w:b w:val="1"/>
          <w:bCs w:val="1"/>
          <w:color w:val="auto"/>
        </w:rPr>
        <w:t>Exhibit 3.2</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COMPANIES LAW (2018 REVISION)</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THE CAYMAN ISLANDS</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SILVER SPIKE ACQUISITION CORP.</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(ADOPTED BY SPECIAL RESOLUTION DATED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370840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THE COMPANIES LAW (2018 REVISION)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 DATED [DATE])</w:t>
      </w:r>
    </w:p>
    <w:p>
      <w:pPr>
        <w:spacing w:after="0" w:line="220"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name of the Company is Silver Spike Acquisition Corp.</w:t>
      </w:r>
    </w:p>
    <w:p>
      <w:pPr>
        <w:spacing w:after="0" w:line="198" w:lineRule="exact"/>
        <w:rPr>
          <w:sz w:val="20"/>
          <w:szCs w:val="20"/>
          <w:color w:val="auto"/>
        </w:rPr>
      </w:pPr>
    </w:p>
    <w:p>
      <w:pPr>
        <w:ind w:left="660" w:hanging="652"/>
        <w:spacing w:after="0" w:line="246"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83" w:lineRule="exact"/>
        <w:rPr>
          <w:sz w:val="20"/>
          <w:szCs w:val="20"/>
          <w:color w:val="auto"/>
        </w:rPr>
      </w:pPr>
    </w:p>
    <w:p>
      <w:pPr>
        <w:ind w:left="660" w:right="20" w:hanging="652"/>
        <w:spacing w:after="0" w:line="246"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183"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198" w:lineRule="exact"/>
        <w:rPr>
          <w:sz w:val="20"/>
          <w:szCs w:val="20"/>
          <w:color w:val="auto"/>
        </w:rPr>
      </w:pPr>
    </w:p>
    <w:p>
      <w:pPr>
        <w:jc w:val="both"/>
        <w:ind w:left="660" w:hanging="652"/>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share capital of the Company is US$22,100 divided into 200,000,000 Class A ordinary shares of a par value of US$0.0001 each, 20,000,000 Class B ordinary shares of a par value of US$0.0001 each and 1,000,000 Preference Shares of a par value of US$0.0001 each.</w:t>
      </w:r>
    </w:p>
    <w:p>
      <w:pPr>
        <w:spacing w:after="0" w:line="189" w:lineRule="exact"/>
        <w:rPr>
          <w:sz w:val="20"/>
          <w:szCs w:val="20"/>
          <w:color w:val="auto"/>
        </w:rPr>
      </w:pPr>
    </w:p>
    <w:p>
      <w:pPr>
        <w:ind w:left="660" w:hanging="652"/>
        <w:spacing w:after="0" w:line="246"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83" w:lineRule="exact"/>
        <w:rPr>
          <w:sz w:val="20"/>
          <w:szCs w:val="20"/>
          <w:color w:val="auto"/>
        </w:rPr>
      </w:pPr>
    </w:p>
    <w:p>
      <w:pPr>
        <w:ind w:left="660" w:hanging="652"/>
        <w:spacing w:after="0" w:line="246"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THE COMPANIES LAW (2018 REVISION)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 DATED [Date])</w:t>
      </w:r>
    </w:p>
    <w:p>
      <w:pPr>
        <w:spacing w:after="0" w:line="193"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229"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tc>
        <w:tc>
          <w:tcPr>
            <w:tcW w:w="8160" w:type="dxa"/>
            <w:vAlign w:val="bottom"/>
          </w:tcPr>
          <w:p>
            <w:pPr>
              <w:ind w:left="520"/>
              <w:spacing w:after="0"/>
              <w:rPr>
                <w:sz w:val="20"/>
                <w:szCs w:val="20"/>
                <w:color w:val="auto"/>
              </w:rPr>
            </w:pPr>
            <w:r>
              <w:rPr>
                <w:rFonts w:ascii="Arial" w:cs="Arial" w:eastAsia="Arial" w:hAnsi="Arial"/>
                <w:sz w:val="18"/>
                <w:szCs w:val="18"/>
                <w:color w:val="auto"/>
              </w:rPr>
              <w:t>means these articles of association of the Company.</w:t>
            </w:r>
          </w:p>
        </w:tc>
      </w:tr>
      <w:tr>
        <w:trPr>
          <w:trHeight w:val="391"/>
        </w:trPr>
        <w:tc>
          <w:tcPr>
            <w:tcW w:w="32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Committee</w:t>
            </w:r>
            <w:r>
              <w:rPr>
                <w:rFonts w:ascii="Arial" w:cs="Arial" w:eastAsia="Arial" w:hAnsi="Arial"/>
                <w:sz w:val="18"/>
                <w:szCs w:val="18"/>
                <w:color w:val="auto"/>
              </w:rPr>
              <w:t>"</w:t>
            </w:r>
          </w:p>
        </w:tc>
        <w:tc>
          <w:tcPr>
            <w:tcW w:w="8160" w:type="dxa"/>
            <w:vAlign w:val="bottom"/>
          </w:tcPr>
          <w:p>
            <w:pPr>
              <w:ind w:left="520"/>
              <w:spacing w:after="0"/>
              <w:rPr>
                <w:sz w:val="20"/>
                <w:szCs w:val="20"/>
                <w:color w:val="auto"/>
              </w:rPr>
            </w:pPr>
            <w:r>
              <w:rPr>
                <w:rFonts w:ascii="Arial" w:cs="Arial" w:eastAsia="Arial" w:hAnsi="Arial"/>
                <w:sz w:val="18"/>
                <w:szCs w:val="18"/>
                <w:color w:val="auto"/>
              </w:rPr>
              <w:t>means the audit committee of the Company formed pursuant to the Articles, or any successor</w:t>
            </w:r>
          </w:p>
        </w:tc>
      </w:tr>
      <w:tr>
        <w:trPr>
          <w:trHeight w:val="217"/>
        </w:trPr>
        <w:tc>
          <w:tcPr>
            <w:tcW w:w="326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audit committee.</w:t>
            </w:r>
          </w:p>
        </w:tc>
      </w:tr>
      <w:tr>
        <w:trPr>
          <w:trHeight w:val="405"/>
        </w:trPr>
        <w:tc>
          <w:tcPr>
            <w:tcW w:w="32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tc>
        <w:tc>
          <w:tcPr>
            <w:tcW w:w="8160" w:type="dxa"/>
            <w:vAlign w:val="bottom"/>
          </w:tcPr>
          <w:p>
            <w:pPr>
              <w:ind w:left="520"/>
              <w:spacing w:after="0"/>
              <w:rPr>
                <w:sz w:val="20"/>
                <w:szCs w:val="20"/>
                <w:color w:val="auto"/>
              </w:rPr>
            </w:pPr>
            <w:r>
              <w:rPr>
                <w:rFonts w:ascii="Arial" w:cs="Arial" w:eastAsia="Arial" w:hAnsi="Arial"/>
                <w:sz w:val="18"/>
                <w:szCs w:val="18"/>
                <w:color w:val="auto"/>
              </w:rPr>
              <w:t>means the person for the time being performing the duties of auditor of the Company (if any).</w:t>
            </w:r>
          </w:p>
        </w:tc>
      </w:tr>
      <w:tr>
        <w:trPr>
          <w:trHeight w:val="391"/>
        </w:trPr>
        <w:tc>
          <w:tcPr>
            <w:tcW w:w="32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w:t>
            </w:r>
          </w:p>
        </w:tc>
        <w:tc>
          <w:tcPr>
            <w:tcW w:w="8160" w:type="dxa"/>
            <w:vAlign w:val="bottom"/>
          </w:tcPr>
          <w:p>
            <w:pPr>
              <w:ind w:left="520"/>
              <w:spacing w:after="0"/>
              <w:rPr>
                <w:sz w:val="20"/>
                <w:szCs w:val="20"/>
                <w:color w:val="auto"/>
              </w:rPr>
            </w:pPr>
            <w:r>
              <w:rPr>
                <w:rFonts w:ascii="Arial" w:cs="Arial" w:eastAsia="Arial" w:hAnsi="Arial"/>
                <w:sz w:val="18"/>
                <w:szCs w:val="18"/>
                <w:color w:val="auto"/>
              </w:rPr>
              <w:t>means  a  merger,  amalgamation,  share  exchange,  asset  acquisition,  share  purchase,</w:t>
            </w:r>
          </w:p>
        </w:tc>
      </w:tr>
      <w:tr>
        <w:trPr>
          <w:trHeight w:val="181"/>
        </w:trPr>
        <w:tc>
          <w:tcPr>
            <w:tcW w:w="3260" w:type="dxa"/>
            <w:vAlign w:val="bottom"/>
          </w:tcPr>
          <w:p>
            <w:pPr>
              <w:spacing w:after="0"/>
              <w:rPr>
                <w:sz w:val="15"/>
                <w:szCs w:val="15"/>
                <w:color w:val="auto"/>
              </w:rPr>
            </w:pPr>
          </w:p>
        </w:tc>
        <w:tc>
          <w:tcPr>
            <w:tcW w:w="8160" w:type="dxa"/>
            <w:vAlign w:val="bottom"/>
          </w:tcPr>
          <w:p>
            <w:pPr>
              <w:ind w:left="520"/>
              <w:spacing w:after="0" w:line="181" w:lineRule="exact"/>
              <w:rPr>
                <w:sz w:val="20"/>
                <w:szCs w:val="20"/>
                <w:color w:val="auto"/>
              </w:rPr>
            </w:pPr>
            <w:r>
              <w:rPr>
                <w:rFonts w:ascii="Arial" w:cs="Arial" w:eastAsia="Arial" w:hAnsi="Arial"/>
                <w:sz w:val="18"/>
                <w:szCs w:val="18"/>
                <w:color w:val="auto"/>
              </w:rPr>
              <w:t>reorganisation or similar business combination involving the Company, with one or more</w:t>
            </w:r>
          </w:p>
        </w:tc>
      </w:tr>
      <w:tr>
        <w:trPr>
          <w:trHeight w:val="225"/>
        </w:trPr>
        <w:tc>
          <w:tcPr>
            <w:tcW w:w="326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businesses or entities (the "</w:t>
            </w:r>
            <w:r>
              <w:rPr>
                <w:rFonts w:ascii="Arial" w:cs="Arial" w:eastAsia="Arial" w:hAnsi="Arial"/>
                <w:sz w:val="18"/>
                <w:szCs w:val="18"/>
                <w:b w:val="1"/>
                <w:bCs w:val="1"/>
                <w:color w:val="auto"/>
              </w:rPr>
              <w:t>target business</w:t>
            </w:r>
            <w:r>
              <w:rPr>
                <w:rFonts w:ascii="Arial" w:cs="Arial" w:eastAsia="Arial" w:hAnsi="Arial"/>
                <w:sz w:val="18"/>
                <w:szCs w:val="18"/>
                <w:color w:val="auto"/>
              </w:rPr>
              <w:t>"), which Business Combination: (a) must occur</w:t>
            </w:r>
          </w:p>
        </w:tc>
      </w:tr>
      <w:tr>
        <w:trPr>
          <w:trHeight w:val="203"/>
        </w:trPr>
        <w:tc>
          <w:tcPr>
            <w:tcW w:w="3260" w:type="dxa"/>
            <w:vAlign w:val="bottom"/>
          </w:tcPr>
          <w:p>
            <w:pPr>
              <w:spacing w:after="0"/>
              <w:rPr>
                <w:sz w:val="17"/>
                <w:szCs w:val="17"/>
                <w:color w:val="auto"/>
              </w:rPr>
            </w:pPr>
          </w:p>
        </w:tc>
        <w:tc>
          <w:tcPr>
            <w:tcW w:w="8160" w:type="dxa"/>
            <w:vAlign w:val="bottom"/>
          </w:tcPr>
          <w:p>
            <w:pPr>
              <w:ind w:left="520"/>
              <w:spacing w:after="0" w:line="202" w:lineRule="exact"/>
              <w:rPr>
                <w:sz w:val="20"/>
                <w:szCs w:val="20"/>
                <w:color w:val="auto"/>
              </w:rPr>
            </w:pPr>
            <w:r>
              <w:rPr>
                <w:rFonts w:ascii="Arial" w:cs="Arial" w:eastAsia="Arial" w:hAnsi="Arial"/>
                <w:sz w:val="18"/>
                <w:szCs w:val="18"/>
                <w:color w:val="auto"/>
                <w:w w:val="99"/>
              </w:rPr>
              <w:t>with one or more target businesses that together have an aggregate fair market value of at least</w:t>
            </w:r>
          </w:p>
        </w:tc>
      </w:tr>
      <w:tr>
        <w:trPr>
          <w:trHeight w:val="203"/>
        </w:trPr>
        <w:tc>
          <w:tcPr>
            <w:tcW w:w="3260" w:type="dxa"/>
            <w:vAlign w:val="bottom"/>
          </w:tcPr>
          <w:p>
            <w:pPr>
              <w:spacing w:after="0"/>
              <w:rPr>
                <w:sz w:val="17"/>
                <w:szCs w:val="17"/>
                <w:color w:val="auto"/>
              </w:rPr>
            </w:pPr>
          </w:p>
        </w:tc>
        <w:tc>
          <w:tcPr>
            <w:tcW w:w="8160" w:type="dxa"/>
            <w:vAlign w:val="bottom"/>
          </w:tcPr>
          <w:p>
            <w:pPr>
              <w:ind w:left="520"/>
              <w:spacing w:after="0" w:line="202" w:lineRule="exact"/>
              <w:rPr>
                <w:sz w:val="20"/>
                <w:szCs w:val="20"/>
                <w:color w:val="auto"/>
              </w:rPr>
            </w:pPr>
            <w:r>
              <w:rPr>
                <w:rFonts w:ascii="Arial" w:cs="Arial" w:eastAsia="Arial" w:hAnsi="Arial"/>
                <w:sz w:val="18"/>
                <w:szCs w:val="18"/>
                <w:color w:val="auto"/>
              </w:rPr>
              <w:t>80 per cent of the assets held in the Trust Fund (excluding the deferred underwriting</w:t>
            </w:r>
          </w:p>
        </w:tc>
      </w:tr>
      <w:tr>
        <w:trPr>
          <w:trHeight w:val="203"/>
        </w:trPr>
        <w:tc>
          <w:tcPr>
            <w:tcW w:w="3260" w:type="dxa"/>
            <w:vAlign w:val="bottom"/>
          </w:tcPr>
          <w:p>
            <w:pPr>
              <w:spacing w:after="0"/>
              <w:rPr>
                <w:sz w:val="17"/>
                <w:szCs w:val="17"/>
                <w:color w:val="auto"/>
              </w:rPr>
            </w:pPr>
          </w:p>
        </w:tc>
        <w:tc>
          <w:tcPr>
            <w:tcW w:w="8160" w:type="dxa"/>
            <w:vAlign w:val="bottom"/>
          </w:tcPr>
          <w:p>
            <w:pPr>
              <w:ind w:left="520"/>
              <w:spacing w:after="0" w:line="202" w:lineRule="exact"/>
              <w:rPr>
                <w:sz w:val="20"/>
                <w:szCs w:val="20"/>
                <w:color w:val="auto"/>
              </w:rPr>
            </w:pPr>
            <w:r>
              <w:rPr>
                <w:rFonts w:ascii="Arial" w:cs="Arial" w:eastAsia="Arial" w:hAnsi="Arial"/>
                <w:sz w:val="18"/>
                <w:szCs w:val="18"/>
                <w:color w:val="auto"/>
              </w:rPr>
              <w:t>commissions and taxes payable on the income earned on the Trust Fund) at the time of the</w:t>
            </w:r>
          </w:p>
        </w:tc>
      </w:tr>
      <w:tr>
        <w:trPr>
          <w:trHeight w:val="203"/>
        </w:trPr>
        <w:tc>
          <w:tcPr>
            <w:tcW w:w="3260" w:type="dxa"/>
            <w:vAlign w:val="bottom"/>
          </w:tcPr>
          <w:p>
            <w:pPr>
              <w:spacing w:after="0"/>
              <w:rPr>
                <w:sz w:val="17"/>
                <w:szCs w:val="17"/>
                <w:color w:val="auto"/>
              </w:rPr>
            </w:pPr>
          </w:p>
        </w:tc>
        <w:tc>
          <w:tcPr>
            <w:tcW w:w="8160" w:type="dxa"/>
            <w:vAlign w:val="bottom"/>
          </w:tcPr>
          <w:p>
            <w:pPr>
              <w:ind w:left="520"/>
              <w:spacing w:after="0" w:line="202" w:lineRule="exact"/>
              <w:rPr>
                <w:sz w:val="20"/>
                <w:szCs w:val="20"/>
                <w:color w:val="auto"/>
              </w:rPr>
            </w:pPr>
            <w:r>
              <w:rPr>
                <w:rFonts w:ascii="Arial" w:cs="Arial" w:eastAsia="Arial" w:hAnsi="Arial"/>
                <w:sz w:val="18"/>
                <w:szCs w:val="18"/>
                <w:color w:val="auto"/>
              </w:rPr>
              <w:t>agreement to enter into a Business Combination; and (b) must not be effectuated with another</w:t>
            </w:r>
          </w:p>
        </w:tc>
      </w:tr>
      <w:tr>
        <w:trPr>
          <w:trHeight w:val="217"/>
        </w:trPr>
        <w:tc>
          <w:tcPr>
            <w:tcW w:w="326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blank cheque company or a similar company with nominal operations.</w:t>
            </w:r>
          </w:p>
        </w:tc>
      </w:tr>
      <w:tr>
        <w:trPr>
          <w:trHeight w:val="391"/>
        </w:trPr>
        <w:tc>
          <w:tcPr>
            <w:tcW w:w="32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tc>
        <w:tc>
          <w:tcPr>
            <w:tcW w:w="8160" w:type="dxa"/>
            <w:vAlign w:val="bottom"/>
          </w:tcPr>
          <w:p>
            <w:pPr>
              <w:ind w:left="520"/>
              <w:spacing w:after="0"/>
              <w:rPr>
                <w:sz w:val="20"/>
                <w:szCs w:val="20"/>
                <w:color w:val="auto"/>
              </w:rPr>
            </w:pPr>
            <w:r>
              <w:rPr>
                <w:rFonts w:ascii="Arial" w:cs="Arial" w:eastAsia="Arial" w:hAnsi="Arial"/>
                <w:sz w:val="18"/>
                <w:szCs w:val="18"/>
                <w:color w:val="auto"/>
              </w:rPr>
              <w:t>means any day other than a Saturday, a Sunday or a legal holiday or a day on which banking</w:t>
            </w:r>
          </w:p>
        </w:tc>
      </w:tr>
      <w:tr>
        <w:trPr>
          <w:trHeight w:val="217"/>
        </w:trPr>
        <w:tc>
          <w:tcPr>
            <w:tcW w:w="326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institutions or trust companies are authorised or obligated by law to close in New York City.</w:t>
            </w:r>
          </w:p>
        </w:tc>
      </w:tr>
      <w:tr>
        <w:trPr>
          <w:trHeight w:val="500"/>
        </w:trPr>
        <w:tc>
          <w:tcPr>
            <w:tcW w:w="326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ind w:left="80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576"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clearing house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Stock Exchange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Record</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Electronic Transactions Law</w:t>
      </w: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Equity-linked Securities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Redemption</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clearing house recognised by the laws of the jurisdiction in which the Shares (or depositary receipts therefor) are listed or quoted on a stock exchange or interdealer quotation system in such jurisdiction.</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means a Class A ordinary share of a par value of US$0.0001 in the share capital of the Company.</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means a Class B ordinary share of a par value of US$0.0001 in the share capital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means the above named company.</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means any U.S. national securities exchange on which the securities of the Company are listed for trading, including the Nasdaq Capital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means the directors for the time being of the Company.</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means any dividend (whether interim or final) resolved to be paid on Shares pursuant to the Articles.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Electronic Transactions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means the Electronic Transactions Law (2003 Revision) of the Cayman Islands.</w:t>
      </w:r>
    </w:p>
    <w:p>
      <w:pPr>
        <w:spacing w:after="0" w:line="19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means any debt or equity securities that are convertible, exercisable or exchangeable for Class A Shares issued in a financing transaction in connection with the initial Business Combination, including but not limited to a private placement of equity or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means the United States Securities Exchange Act of 1934, as amended.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means all Members immediately prior to the consummation of the IPO.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Company's initial public offering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it in Article 49.5.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Statute.</w:t>
      </w:r>
    </w:p>
    <w:p>
      <w:pPr>
        <w:spacing w:after="0" w:line="30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-1905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560" w:space="560"/>
            <w:col w:w="7640"/>
          </w:cols>
          <w:pgMar w:left="900" w:top="576" w:right="2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39"/>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the memorandum of association of the Company.</w:t>
            </w:r>
          </w:p>
        </w:tc>
      </w:tr>
      <w:tr>
        <w:trPr>
          <w:trHeight w:val="391"/>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w w:val="99"/>
              </w:rPr>
              <w:t>means a resolution passed by a simple majority of the Members as, being entitled to do so, vote</w:t>
            </w:r>
          </w:p>
        </w:tc>
      </w:tr>
      <w:tr>
        <w:trPr>
          <w:trHeight w:val="203"/>
        </w:trPr>
        <w:tc>
          <w:tcPr>
            <w:tcW w:w="3240" w:type="dxa"/>
            <w:vAlign w:val="bottom"/>
          </w:tcPr>
          <w:p>
            <w:pPr>
              <w:spacing w:after="0"/>
              <w:rPr>
                <w:sz w:val="17"/>
                <w:szCs w:val="17"/>
                <w:color w:val="auto"/>
              </w:rPr>
            </w:pPr>
          </w:p>
        </w:tc>
        <w:tc>
          <w:tcPr>
            <w:tcW w:w="8180" w:type="dxa"/>
            <w:vAlign w:val="bottom"/>
          </w:tcPr>
          <w:p>
            <w:pPr>
              <w:ind w:left="540"/>
              <w:spacing w:after="0" w:line="202" w:lineRule="exact"/>
              <w:rPr>
                <w:sz w:val="20"/>
                <w:szCs w:val="20"/>
                <w:color w:val="auto"/>
              </w:rPr>
            </w:pPr>
            <w:r>
              <w:rPr>
                <w:rFonts w:ascii="Arial" w:cs="Arial" w:eastAsia="Arial" w:hAnsi="Arial"/>
                <w:sz w:val="18"/>
                <w:szCs w:val="18"/>
                <w:color w:val="auto"/>
              </w:rPr>
              <w:t>in person or, where proxies are allowed, by proxy at a general meeting, and includes a</w:t>
            </w:r>
          </w:p>
        </w:tc>
      </w:tr>
      <w:tr>
        <w:trPr>
          <w:trHeight w:val="203"/>
        </w:trPr>
        <w:tc>
          <w:tcPr>
            <w:tcW w:w="3240" w:type="dxa"/>
            <w:vAlign w:val="bottom"/>
          </w:tcPr>
          <w:p>
            <w:pPr>
              <w:spacing w:after="0"/>
              <w:rPr>
                <w:sz w:val="17"/>
                <w:szCs w:val="17"/>
                <w:color w:val="auto"/>
              </w:rPr>
            </w:pPr>
          </w:p>
        </w:tc>
        <w:tc>
          <w:tcPr>
            <w:tcW w:w="8180" w:type="dxa"/>
            <w:vAlign w:val="bottom"/>
          </w:tcPr>
          <w:p>
            <w:pPr>
              <w:ind w:left="540"/>
              <w:spacing w:after="0" w:line="202" w:lineRule="exact"/>
              <w:rPr>
                <w:sz w:val="20"/>
                <w:szCs w:val="20"/>
                <w:color w:val="auto"/>
              </w:rPr>
            </w:pPr>
            <w:r>
              <w:rPr>
                <w:rFonts w:ascii="Arial" w:cs="Arial" w:eastAsia="Arial" w:hAnsi="Arial"/>
                <w:sz w:val="18"/>
                <w:szCs w:val="18"/>
                <w:color w:val="auto"/>
              </w:rPr>
              <w:t>unanimous written resolution. In computing the majority when a poll is demanded regard shall</w:t>
            </w:r>
          </w:p>
        </w:tc>
      </w:tr>
      <w:tr>
        <w:trPr>
          <w:trHeight w:val="217"/>
        </w:trPr>
        <w:tc>
          <w:tcPr>
            <w:tcW w:w="3240" w:type="dxa"/>
            <w:vAlign w:val="bottom"/>
          </w:tcPr>
          <w:p>
            <w:pPr>
              <w:spacing w:after="0"/>
              <w:rPr>
                <w:sz w:val="18"/>
                <w:szCs w:val="18"/>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rPr>
              <w:t>be had to the number of votes to which each Member is entitled by the Articles.</w:t>
            </w:r>
          </w:p>
        </w:tc>
      </w:tr>
      <w:tr>
        <w:trPr>
          <w:trHeight w:val="391"/>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Over-Allotment Option</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the option of the Underwriters to purchase up to an additional 15 per cent of the firm</w:t>
            </w:r>
          </w:p>
        </w:tc>
      </w:tr>
      <w:tr>
        <w:trPr>
          <w:trHeight w:val="203"/>
        </w:trPr>
        <w:tc>
          <w:tcPr>
            <w:tcW w:w="3240" w:type="dxa"/>
            <w:vAlign w:val="bottom"/>
          </w:tcPr>
          <w:p>
            <w:pPr>
              <w:spacing w:after="0"/>
              <w:rPr>
                <w:sz w:val="17"/>
                <w:szCs w:val="17"/>
                <w:color w:val="auto"/>
              </w:rPr>
            </w:pPr>
          </w:p>
        </w:tc>
        <w:tc>
          <w:tcPr>
            <w:tcW w:w="8180" w:type="dxa"/>
            <w:vAlign w:val="bottom"/>
          </w:tcPr>
          <w:p>
            <w:pPr>
              <w:ind w:left="540"/>
              <w:spacing w:after="0" w:line="202" w:lineRule="exact"/>
              <w:rPr>
                <w:sz w:val="20"/>
                <w:szCs w:val="20"/>
                <w:color w:val="auto"/>
              </w:rPr>
            </w:pPr>
            <w:r>
              <w:rPr>
                <w:rFonts w:ascii="Arial" w:cs="Arial" w:eastAsia="Arial" w:hAnsi="Arial"/>
                <w:sz w:val="18"/>
                <w:szCs w:val="18"/>
                <w:color w:val="auto"/>
              </w:rPr>
              <w:t>units (as described in the Articles) sold in the IPO at a price equal to US$10.00 per unit, less</w:t>
            </w:r>
          </w:p>
        </w:tc>
      </w:tr>
      <w:tr>
        <w:trPr>
          <w:trHeight w:val="217"/>
        </w:trPr>
        <w:tc>
          <w:tcPr>
            <w:tcW w:w="3240" w:type="dxa"/>
            <w:vAlign w:val="bottom"/>
          </w:tcPr>
          <w:p>
            <w:pPr>
              <w:spacing w:after="0"/>
              <w:rPr>
                <w:sz w:val="18"/>
                <w:szCs w:val="18"/>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rPr>
              <w:t>underwriting discounts and commissions.</w:t>
            </w:r>
          </w:p>
        </w:tc>
      </w:tr>
      <w:tr>
        <w:trPr>
          <w:trHeight w:val="405"/>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a preference share of a par value of US$0.0001 in the share capital of the Company.</w:t>
            </w:r>
          </w:p>
        </w:tc>
      </w:tr>
      <w:tr>
        <w:trPr>
          <w:trHeight w:val="391"/>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a Class A Share issued as part of the units (as described in the Articles) issued in the</w:t>
            </w:r>
          </w:p>
        </w:tc>
      </w:tr>
      <w:tr>
        <w:trPr>
          <w:trHeight w:val="217"/>
        </w:trPr>
        <w:tc>
          <w:tcPr>
            <w:tcW w:w="3240" w:type="dxa"/>
            <w:vAlign w:val="bottom"/>
          </w:tcPr>
          <w:p>
            <w:pPr>
              <w:spacing w:after="0"/>
              <w:rPr>
                <w:sz w:val="18"/>
                <w:szCs w:val="18"/>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rPr>
              <w:t>IPO.</w:t>
            </w:r>
          </w:p>
        </w:tc>
      </w:tr>
      <w:tr>
        <w:trPr>
          <w:trHeight w:val="405"/>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has the meaning given to it in Article 49.5.</w:t>
            </w:r>
          </w:p>
        </w:tc>
      </w:tr>
      <w:tr>
        <w:trPr>
          <w:trHeight w:val="391"/>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the register of Members maintained in accordance with the Statute and includes (except</w:t>
            </w:r>
          </w:p>
        </w:tc>
      </w:tr>
      <w:tr>
        <w:trPr>
          <w:trHeight w:val="217"/>
        </w:trPr>
        <w:tc>
          <w:tcPr>
            <w:tcW w:w="3240" w:type="dxa"/>
            <w:vAlign w:val="bottom"/>
          </w:tcPr>
          <w:p>
            <w:pPr>
              <w:spacing w:after="0"/>
              <w:rPr>
                <w:sz w:val="18"/>
                <w:szCs w:val="18"/>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rPr>
              <w:t>where otherwise stated) any branch or duplicate register of Members.</w:t>
            </w:r>
          </w:p>
        </w:tc>
      </w:tr>
      <w:tr>
        <w:trPr>
          <w:trHeight w:val="405"/>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the registered office for the time being of the Company.</w:t>
            </w:r>
          </w:p>
        </w:tc>
      </w:tr>
      <w:tr>
        <w:trPr>
          <w:trHeight w:val="405"/>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the common seal of the Company and includes every duplicate seal.</w:t>
            </w:r>
          </w:p>
        </w:tc>
      </w:tr>
      <w:tr>
        <w:trPr>
          <w:trHeight w:val="405"/>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the United States Securities and Exchange Commission.</w:t>
            </w:r>
          </w:p>
        </w:tc>
      </w:tr>
      <w:tr>
        <w:trPr>
          <w:trHeight w:val="391"/>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a Class A Share, a Class B Share, or a Preference Share and includes a fraction of a</w:t>
            </w:r>
          </w:p>
        </w:tc>
      </w:tr>
      <w:tr>
        <w:trPr>
          <w:trHeight w:val="217"/>
        </w:trPr>
        <w:tc>
          <w:tcPr>
            <w:tcW w:w="3240" w:type="dxa"/>
            <w:vAlign w:val="bottom"/>
          </w:tcPr>
          <w:p>
            <w:pPr>
              <w:spacing w:after="0"/>
              <w:rPr>
                <w:sz w:val="18"/>
                <w:szCs w:val="18"/>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rPr>
              <w:t>share in the Company.</w:t>
            </w:r>
          </w:p>
        </w:tc>
      </w:tr>
      <w:tr>
        <w:trPr>
          <w:trHeight w:val="391"/>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subject to Article 29.4, has the same meaning as in the Statute, and includes a unanimous</w:t>
            </w:r>
          </w:p>
        </w:tc>
      </w:tr>
      <w:tr>
        <w:trPr>
          <w:trHeight w:val="217"/>
        </w:trPr>
        <w:tc>
          <w:tcPr>
            <w:tcW w:w="3240" w:type="dxa"/>
            <w:vAlign w:val="bottom"/>
          </w:tcPr>
          <w:p>
            <w:pPr>
              <w:spacing w:after="0"/>
              <w:rPr>
                <w:sz w:val="18"/>
                <w:szCs w:val="18"/>
                <w:color w:val="auto"/>
              </w:rPr>
            </w:pPr>
          </w:p>
        </w:tc>
        <w:tc>
          <w:tcPr>
            <w:tcW w:w="8180" w:type="dxa"/>
            <w:vAlign w:val="bottom"/>
          </w:tcPr>
          <w:p>
            <w:pPr>
              <w:ind w:left="540"/>
              <w:spacing w:after="0"/>
              <w:rPr>
                <w:sz w:val="20"/>
                <w:szCs w:val="20"/>
                <w:color w:val="auto"/>
              </w:rPr>
            </w:pPr>
            <w:r>
              <w:rPr>
                <w:rFonts w:ascii="Arial" w:cs="Arial" w:eastAsia="Arial" w:hAnsi="Arial"/>
                <w:sz w:val="18"/>
                <w:szCs w:val="18"/>
                <w:color w:val="auto"/>
              </w:rPr>
              <w:t>written resolution.</w:t>
            </w:r>
          </w:p>
        </w:tc>
      </w:tr>
      <w:tr>
        <w:trPr>
          <w:trHeight w:val="405"/>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w:t>
            </w:r>
          </w:p>
        </w:tc>
        <w:tc>
          <w:tcPr>
            <w:tcW w:w="8180" w:type="dxa"/>
            <w:vAlign w:val="bottom"/>
          </w:tcPr>
          <w:p>
            <w:pPr>
              <w:ind w:left="540"/>
              <w:spacing w:after="0"/>
              <w:rPr>
                <w:sz w:val="20"/>
                <w:szCs w:val="20"/>
                <w:color w:val="auto"/>
              </w:rPr>
            </w:pPr>
            <w:r>
              <w:rPr>
                <w:rFonts w:ascii="Arial" w:cs="Arial" w:eastAsia="Arial" w:hAnsi="Arial"/>
                <w:sz w:val="18"/>
                <w:szCs w:val="18"/>
                <w:color w:val="auto"/>
              </w:rPr>
              <w:t>means Silver Spike Sponsor LLC, a Delaware limited liability company.</w:t>
            </w:r>
          </w:p>
        </w:tc>
      </w:tr>
      <w:tr>
        <w:trPr>
          <w:trHeight w:val="500"/>
        </w:trPr>
        <w:tc>
          <w:tcPr>
            <w:tcW w:w="324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80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576" w:right="239" w:bottom="1440" w:gutter="0" w:footer="0" w:header="0"/>
        </w:sectPr>
      </w:pPr>
    </w:p>
    <w:bookmarkStart w:id="228" w:name="page229"/>
    <w:bookmarkEnd w:id="2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Statute</w:t>
            </w:r>
            <w:r>
              <w:rPr>
                <w:rFonts w:ascii="Arial" w:cs="Arial" w:eastAsia="Arial" w:hAnsi="Arial"/>
                <w:sz w:val="18"/>
                <w:szCs w:val="18"/>
                <w:color w:val="auto"/>
              </w:rPr>
              <w:t>"</w:t>
            </w:r>
          </w:p>
        </w:tc>
        <w:tc>
          <w:tcPr>
            <w:tcW w:w="7940" w:type="dxa"/>
            <w:vAlign w:val="bottom"/>
          </w:tcPr>
          <w:p>
            <w:pPr>
              <w:ind w:left="300"/>
              <w:spacing w:after="0"/>
              <w:rPr>
                <w:sz w:val="20"/>
                <w:szCs w:val="20"/>
                <w:color w:val="auto"/>
              </w:rPr>
            </w:pPr>
            <w:r>
              <w:rPr>
                <w:rFonts w:ascii="Arial" w:cs="Arial" w:eastAsia="Arial" w:hAnsi="Arial"/>
                <w:sz w:val="18"/>
                <w:szCs w:val="18"/>
                <w:color w:val="auto"/>
              </w:rPr>
              <w:t>means the Companies Law (2018 Revision) of the Cayman Islands.</w:t>
            </w:r>
          </w:p>
        </w:tc>
      </w:tr>
      <w:tr>
        <w:trPr>
          <w:trHeight w:val="391"/>
        </w:trPr>
        <w:tc>
          <w:tcPr>
            <w:tcW w:w="460" w:type="dxa"/>
            <w:vAlign w:val="bottom"/>
          </w:tcPr>
          <w:p>
            <w:pPr>
              <w:spacing w:after="0"/>
              <w:rPr>
                <w:sz w:val="24"/>
                <w:szCs w:val="24"/>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w:t>
            </w:r>
            <w:r>
              <w:rPr>
                <w:rFonts w:ascii="Arial" w:cs="Arial" w:eastAsia="Arial" w:hAnsi="Arial"/>
                <w:sz w:val="18"/>
                <w:szCs w:val="18"/>
                <w:color w:val="auto"/>
              </w:rPr>
              <w:t>"</w:t>
            </w:r>
          </w:p>
        </w:tc>
        <w:tc>
          <w:tcPr>
            <w:tcW w:w="7940" w:type="dxa"/>
            <w:vAlign w:val="bottom"/>
          </w:tcPr>
          <w:p>
            <w:pPr>
              <w:ind w:left="300"/>
              <w:spacing w:after="0"/>
              <w:rPr>
                <w:sz w:val="20"/>
                <w:szCs w:val="20"/>
                <w:color w:val="auto"/>
              </w:rPr>
            </w:pPr>
            <w:r>
              <w:rPr>
                <w:rFonts w:ascii="Arial" w:cs="Arial" w:eastAsia="Arial" w:hAnsi="Arial"/>
                <w:sz w:val="18"/>
                <w:szCs w:val="18"/>
                <w:color w:val="auto"/>
              </w:rPr>
              <w:t>means a Share held in the name of the Company as a treasury share in accordance with the</w:t>
            </w:r>
          </w:p>
        </w:tc>
      </w:tr>
      <w:tr>
        <w:trPr>
          <w:trHeight w:val="217"/>
        </w:trPr>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940" w:type="dxa"/>
            <w:vAlign w:val="bottom"/>
          </w:tcPr>
          <w:p>
            <w:pPr>
              <w:ind w:left="300"/>
              <w:spacing w:after="0"/>
              <w:rPr>
                <w:sz w:val="20"/>
                <w:szCs w:val="20"/>
                <w:color w:val="auto"/>
              </w:rPr>
            </w:pPr>
            <w:r>
              <w:rPr>
                <w:rFonts w:ascii="Arial" w:cs="Arial" w:eastAsia="Arial" w:hAnsi="Arial"/>
                <w:sz w:val="18"/>
                <w:szCs w:val="18"/>
                <w:color w:val="auto"/>
              </w:rPr>
              <w:t>Statute.</w:t>
            </w:r>
          </w:p>
        </w:tc>
      </w:tr>
      <w:tr>
        <w:trPr>
          <w:trHeight w:val="391"/>
        </w:trPr>
        <w:tc>
          <w:tcPr>
            <w:tcW w:w="460" w:type="dxa"/>
            <w:vAlign w:val="bottom"/>
          </w:tcPr>
          <w:p>
            <w:pPr>
              <w:spacing w:after="0"/>
              <w:rPr>
                <w:sz w:val="24"/>
                <w:szCs w:val="24"/>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Fund</w:t>
            </w:r>
            <w:r>
              <w:rPr>
                <w:rFonts w:ascii="Arial" w:cs="Arial" w:eastAsia="Arial" w:hAnsi="Arial"/>
                <w:sz w:val="18"/>
                <w:szCs w:val="18"/>
                <w:color w:val="auto"/>
              </w:rPr>
              <w:t>"</w:t>
            </w:r>
          </w:p>
        </w:tc>
        <w:tc>
          <w:tcPr>
            <w:tcW w:w="7940" w:type="dxa"/>
            <w:vAlign w:val="bottom"/>
          </w:tcPr>
          <w:p>
            <w:pPr>
              <w:ind w:left="300"/>
              <w:spacing w:after="0"/>
              <w:rPr>
                <w:sz w:val="20"/>
                <w:szCs w:val="20"/>
                <w:color w:val="auto"/>
              </w:rPr>
            </w:pPr>
            <w:r>
              <w:rPr>
                <w:rFonts w:ascii="Arial" w:cs="Arial" w:eastAsia="Arial" w:hAnsi="Arial"/>
                <w:sz w:val="18"/>
                <w:szCs w:val="18"/>
                <w:color w:val="auto"/>
              </w:rPr>
              <w:t>means the trust account established by the Company upon the consummation of its IPO and</w:t>
            </w:r>
          </w:p>
        </w:tc>
      </w:tr>
      <w:tr>
        <w:trPr>
          <w:trHeight w:val="203"/>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940" w:type="dxa"/>
            <w:vAlign w:val="bottom"/>
          </w:tcPr>
          <w:p>
            <w:pPr>
              <w:ind w:left="300"/>
              <w:spacing w:after="0" w:line="202" w:lineRule="exact"/>
              <w:rPr>
                <w:sz w:val="20"/>
                <w:szCs w:val="20"/>
                <w:color w:val="auto"/>
              </w:rPr>
            </w:pPr>
            <w:r>
              <w:rPr>
                <w:rFonts w:ascii="Arial" w:cs="Arial" w:eastAsia="Arial" w:hAnsi="Arial"/>
                <w:sz w:val="18"/>
                <w:szCs w:val="18"/>
                <w:color w:val="auto"/>
              </w:rPr>
              <w:t>into which a certain amount of the net proceeds of the IPO, together with a certain amount of</w:t>
            </w:r>
          </w:p>
        </w:tc>
      </w:tr>
      <w:tr>
        <w:trPr>
          <w:trHeight w:val="203"/>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940" w:type="dxa"/>
            <w:vAlign w:val="bottom"/>
          </w:tcPr>
          <w:p>
            <w:pPr>
              <w:ind w:left="300"/>
              <w:spacing w:after="0" w:line="202" w:lineRule="exact"/>
              <w:rPr>
                <w:sz w:val="20"/>
                <w:szCs w:val="20"/>
                <w:color w:val="auto"/>
              </w:rPr>
            </w:pPr>
            <w:r>
              <w:rPr>
                <w:rFonts w:ascii="Arial" w:cs="Arial" w:eastAsia="Arial" w:hAnsi="Arial"/>
                <w:sz w:val="18"/>
                <w:szCs w:val="18"/>
                <w:color w:val="auto"/>
                <w:w w:val="99"/>
              </w:rPr>
              <w:t>the proceeds of a private placement of warrants simultaneously with the closing date of the IPO,</w:t>
            </w:r>
          </w:p>
        </w:tc>
      </w:tr>
      <w:tr>
        <w:trPr>
          <w:trHeight w:val="217"/>
        </w:trPr>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940" w:type="dxa"/>
            <w:vAlign w:val="bottom"/>
          </w:tcPr>
          <w:p>
            <w:pPr>
              <w:ind w:left="300"/>
              <w:spacing w:after="0"/>
              <w:rPr>
                <w:sz w:val="20"/>
                <w:szCs w:val="20"/>
                <w:color w:val="auto"/>
              </w:rPr>
            </w:pPr>
            <w:r>
              <w:rPr>
                <w:rFonts w:ascii="Arial" w:cs="Arial" w:eastAsia="Arial" w:hAnsi="Arial"/>
                <w:sz w:val="18"/>
                <w:szCs w:val="18"/>
                <w:color w:val="auto"/>
              </w:rPr>
              <w:t>will be deposited.</w:t>
            </w:r>
          </w:p>
        </w:tc>
      </w:tr>
      <w:tr>
        <w:trPr>
          <w:trHeight w:val="405"/>
        </w:trPr>
        <w:tc>
          <w:tcPr>
            <w:tcW w:w="460" w:type="dxa"/>
            <w:vAlign w:val="bottom"/>
          </w:tcPr>
          <w:p>
            <w:pPr>
              <w:spacing w:after="0"/>
              <w:rPr>
                <w:sz w:val="24"/>
                <w:szCs w:val="24"/>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w:t>
            </w:r>
          </w:p>
        </w:tc>
        <w:tc>
          <w:tcPr>
            <w:tcW w:w="7940" w:type="dxa"/>
            <w:vAlign w:val="bottom"/>
          </w:tcPr>
          <w:p>
            <w:pPr>
              <w:ind w:left="300"/>
              <w:spacing w:after="0"/>
              <w:rPr>
                <w:sz w:val="20"/>
                <w:szCs w:val="20"/>
                <w:color w:val="auto"/>
              </w:rPr>
            </w:pPr>
            <w:r>
              <w:rPr>
                <w:rFonts w:ascii="Arial" w:cs="Arial" w:eastAsia="Arial" w:hAnsi="Arial"/>
                <w:sz w:val="18"/>
                <w:szCs w:val="18"/>
                <w:color w:val="auto"/>
              </w:rPr>
              <w:t>means an underwriter of the IPO from time to time and any successor or underwriter.</w:t>
            </w:r>
          </w:p>
        </w:tc>
      </w:tr>
      <w:tr>
        <w:trPr>
          <w:trHeight w:val="405"/>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1.2</w:t>
            </w: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In the Articles:</w:t>
            </w:r>
          </w:p>
        </w:tc>
        <w:tc>
          <w:tcPr>
            <w:tcW w:w="7940" w:type="dxa"/>
            <w:vAlign w:val="bottom"/>
          </w:tcPr>
          <w:p>
            <w:pPr>
              <w:spacing w:after="0"/>
              <w:rPr>
                <w:sz w:val="24"/>
                <w:szCs w:val="24"/>
                <w:color w:val="auto"/>
              </w:rPr>
            </w:pPr>
          </w:p>
        </w:tc>
      </w:tr>
      <w:tr>
        <w:trPr>
          <w:trHeight w:val="405"/>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(a)</w:t>
            </w: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405"/>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(b)</w:t>
            </w: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405"/>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(c)</w:t>
            </w: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words importing persons include corporations as well as any other legal or natural person;</w:t>
            </w:r>
          </w:p>
        </w:tc>
      </w:tr>
      <w:tr>
        <w:trPr>
          <w:trHeight w:val="391"/>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(d)</w:t>
            </w: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"written" and "in writing" include all modes of representing or reproducing words in visible form, including in the form of an</w:t>
            </w:r>
          </w:p>
        </w:tc>
      </w:tr>
      <w:tr>
        <w:trPr>
          <w:trHeight w:val="217"/>
        </w:trPr>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Electronic Record;</w:t>
            </w:r>
          </w:p>
        </w:tc>
        <w:tc>
          <w:tcPr>
            <w:tcW w:w="7940" w:type="dxa"/>
            <w:vAlign w:val="bottom"/>
          </w:tcPr>
          <w:p>
            <w:pPr>
              <w:spacing w:after="0"/>
              <w:rPr>
                <w:sz w:val="18"/>
                <w:szCs w:val="18"/>
                <w:color w:val="auto"/>
              </w:rPr>
            </w:pPr>
          </w:p>
        </w:tc>
      </w:tr>
      <w:tr>
        <w:trPr>
          <w:trHeight w:val="405"/>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(e)</w:t>
            </w: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"shall" shall be construed as imperative and "may" shall be construed as permissive;</w:t>
            </w:r>
          </w:p>
        </w:tc>
      </w:tr>
      <w:tr>
        <w:trPr>
          <w:trHeight w:val="391"/>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(f)</w:t>
            </w: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references to provisions of any law or regulation shall be construed as references to those provisions as amended, modified,</w:t>
            </w:r>
          </w:p>
        </w:tc>
      </w:tr>
      <w:tr>
        <w:trPr>
          <w:trHeight w:val="217"/>
        </w:trPr>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re-enacted or replaced;</w:t>
            </w:r>
          </w:p>
        </w:tc>
        <w:tc>
          <w:tcPr>
            <w:tcW w:w="7940" w:type="dxa"/>
            <w:vAlign w:val="bottom"/>
          </w:tcPr>
          <w:p>
            <w:pPr>
              <w:spacing w:after="0"/>
              <w:rPr>
                <w:sz w:val="18"/>
                <w:szCs w:val="18"/>
                <w:color w:val="auto"/>
              </w:rPr>
            </w:pPr>
          </w:p>
        </w:tc>
      </w:tr>
      <w:tr>
        <w:trPr>
          <w:trHeight w:val="391"/>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(g)</w:t>
            </w: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any phrase introduced by the terms "including", "include", "in particular" or any similar expression shall be construed as</w:t>
            </w:r>
          </w:p>
        </w:tc>
      </w:tr>
      <w:tr>
        <w:trPr>
          <w:trHeight w:val="217"/>
        </w:trPr>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illustrative and shall not limit the sense of the words preceding those terms;</w:t>
            </w:r>
          </w:p>
        </w:tc>
      </w:tr>
      <w:tr>
        <w:trPr>
          <w:trHeight w:val="391"/>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(h)</w:t>
            </w: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the term "and/or" is used herein to mean both "and" as well as "or." The use of "and/or" in certain contexts in no respects</w:t>
            </w:r>
          </w:p>
        </w:tc>
      </w:tr>
      <w:tr>
        <w:trPr>
          <w:trHeight w:val="203"/>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3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qualifies or modifies the use of the terms "and" or "or" in others. The term "or" shall not be interpreted to be exclusive and the</w:t>
            </w:r>
          </w:p>
        </w:tc>
      </w:tr>
      <w:tr>
        <w:trPr>
          <w:trHeight w:val="217"/>
        </w:trPr>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term "and" shall not be interpreted to require the conjunctive (in each case, unless the context otherwise requires);</w:t>
            </w:r>
          </w:p>
        </w:tc>
      </w:tr>
      <w:tr>
        <w:trPr>
          <w:trHeight w:val="405"/>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(i)</w:t>
            </w:r>
          </w:p>
        </w:tc>
        <w:tc>
          <w:tcPr>
            <w:tcW w:w="10320" w:type="dxa"/>
            <w:vAlign w:val="bottom"/>
            <w:gridSpan w:val="2"/>
          </w:tcPr>
          <w:p>
            <w:pPr>
              <w:ind w:left="200"/>
              <w:spacing w:after="0"/>
              <w:rPr>
                <w:sz w:val="20"/>
                <w:szCs w:val="20"/>
                <w:color w:val="auto"/>
              </w:rPr>
            </w:pPr>
            <w:r>
              <w:rPr>
                <w:rFonts w:ascii="Arial" w:cs="Arial" w:eastAsia="Arial" w:hAnsi="Arial"/>
                <w:sz w:val="18"/>
                <w:szCs w:val="18"/>
                <w:color w:val="auto"/>
              </w:rPr>
              <w:t>headings are inserted for reference only and shall be ignored in construing the Articles;</w:t>
            </w:r>
          </w:p>
        </w:tc>
      </w:tr>
      <w:tr>
        <w:trPr>
          <w:trHeight w:val="500"/>
        </w:trPr>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78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576" w:right="239" w:bottom="1440" w:gutter="0" w:footer="0" w:header="0"/>
        </w:sectPr>
      </w:pPr>
    </w:p>
    <w:bookmarkStart w:id="229" w:name="page230"/>
    <w:bookmarkEnd w:id="229"/>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Law;</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Law shall not apply;</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term "holder" in relation to a Share means a person whose name is entered in the Register of Members as the holder of such Share.</w:t>
      </w:r>
    </w:p>
    <w:p>
      <w:pPr>
        <w:spacing w:after="0" w:line="157"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business of the Company may be commenced as soon after incorporation of the Company as the Directors shall see fit.</w:t>
      </w:r>
    </w:p>
    <w:p>
      <w:pPr>
        <w:spacing w:after="0" w:line="198"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7"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Issue of Shares</w:t>
      </w:r>
    </w:p>
    <w:p>
      <w:pPr>
        <w:spacing w:after="0" w:line="22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Subject to the provisions, if any, in the Memorandum (and to any direction that may be given by the Company in general meeting) and, where applicable, the rules of the Designated Stock Exchange and/or any competent regulatory authority,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195"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2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30" w:name="page231"/>
    <w:bookmarkEnd w:id="230"/>
    <w:p>
      <w:pPr>
        <w:jc w:val="both"/>
        <w:ind w:left="660" w:hanging="647"/>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The Company shall not issue Shares to bearer.</w:t>
      </w:r>
    </w:p>
    <w:p>
      <w:pPr>
        <w:spacing w:after="0" w:line="171"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Company shall maintain or cause to be maintained the Register of Members in accordance with the Statute.</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63"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20"/>
          <w:szCs w:val="20"/>
          <w:b w:val="1"/>
          <w:bCs w:val="1"/>
          <w:color w:val="auto"/>
        </w:rPr>
      </w:pPr>
      <w:r>
        <w:rPr>
          <w:rFonts w:ascii="Arial" w:cs="Arial" w:eastAsia="Arial" w:hAnsi="Arial"/>
          <w:sz w:val="20"/>
          <w:szCs w:val="20"/>
          <w:b w:val="1"/>
          <w:bCs w:val="1"/>
          <w:color w:val="auto"/>
        </w:rPr>
        <w:t>Closing Register of Members or Fixing Record Date</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requirements of the Designated Stock Exchange, provide that the Register of Members shall be closed for transfers for a stated period which shall not in any case exceed forty days.</w:t>
      </w:r>
    </w:p>
    <w:p>
      <w:pPr>
        <w:spacing w:after="0" w:line="18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8"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2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31" w:name="page232"/>
    <w:bookmarkEnd w:id="231"/>
    <w:p>
      <w:pPr>
        <w:ind w:left="652" w:hanging="652"/>
        <w:spacing w:after="0"/>
        <w:tabs>
          <w:tab w:leader="none" w:pos="652"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Certificates for Shares</w:t>
      </w:r>
    </w:p>
    <w:p>
      <w:pPr>
        <w:spacing w:after="0" w:line="229" w:lineRule="exact"/>
        <w:rPr>
          <w:sz w:val="20"/>
          <w:szCs w:val="20"/>
          <w:color w:val="auto"/>
        </w:rPr>
      </w:pPr>
    </w:p>
    <w:p>
      <w:pPr>
        <w:jc w:val="both"/>
        <w:ind w:left="652" w:hanging="647"/>
        <w:spacing w:after="0" w:line="237" w:lineRule="auto"/>
        <w:tabs>
          <w:tab w:leader="none" w:pos="6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90"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83" w:lineRule="exact"/>
        <w:rPr>
          <w:sz w:val="20"/>
          <w:szCs w:val="20"/>
          <w:color w:val="auto"/>
        </w:rPr>
      </w:pPr>
    </w:p>
    <w:p>
      <w:pPr>
        <w:jc w:val="both"/>
        <w:ind w:left="652" w:hanging="647"/>
        <w:spacing w:after="0"/>
        <w:tabs>
          <w:tab w:leader="none" w:pos="6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89" w:lineRule="exact"/>
        <w:rPr>
          <w:sz w:val="20"/>
          <w:szCs w:val="20"/>
          <w:color w:val="auto"/>
        </w:rPr>
      </w:pPr>
    </w:p>
    <w:p>
      <w:pPr>
        <w:jc w:val="both"/>
        <w:ind w:left="652" w:right="20" w:hanging="647"/>
        <w:spacing w:after="0" w:line="246" w:lineRule="auto"/>
        <w:tabs>
          <w:tab w:leader="none" w:pos="6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83"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Share certificates shall be issued within the relevant time limit as prescribed by the Statute, if applicable, or as the Designated Stock Exchange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162" w:lineRule="exact"/>
        <w:rPr>
          <w:sz w:val="20"/>
          <w:szCs w:val="20"/>
          <w:color w:val="auto"/>
        </w:rPr>
      </w:pPr>
    </w:p>
    <w:p>
      <w:pPr>
        <w:ind w:left="652" w:hanging="652"/>
        <w:spacing w:after="0"/>
        <w:tabs>
          <w:tab w:leader="none" w:pos="652"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color w:val="auto"/>
        </w:rPr>
        <w:t>Transfer of Shares</w:t>
      </w:r>
    </w:p>
    <w:p>
      <w:pPr>
        <w:spacing w:after="0" w:line="229"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the terms of the Articles, any Member may transfer all or any of his Shares by an instrument of transfer provided that such transfer complies with applicable rules of the SEC and federal and state securities laws of the United States.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option or warrant.</w:t>
      </w:r>
    </w:p>
    <w:p>
      <w:pPr>
        <w:spacing w:after="0" w:line="189"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instrument of transfer of any Share shall be in writing in the usual or common form or in a form prescribed by the Designated Stock Exchange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w:t>
      </w:r>
    </w:p>
    <w:p>
      <w:pPr>
        <w:spacing w:after="0" w:line="296" w:lineRule="exact"/>
        <w:rPr>
          <w:sz w:val="20"/>
          <w:szCs w:val="20"/>
          <w:color w:val="auto"/>
        </w:rPr>
      </w:pPr>
    </w:p>
    <w:p>
      <w:pPr>
        <w:ind w:left="1127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71" w:right="239" w:bottom="1440" w:gutter="0" w:footer="0" w:header="0"/>
        </w:sectPr>
      </w:pPr>
    </w:p>
    <w:bookmarkStart w:id="232" w:name="page233"/>
    <w:bookmarkEnd w:id="232"/>
    <w:p>
      <w:pPr>
        <w:ind w:left="660"/>
        <w:spacing w:after="0" w:line="246" w:lineRule="auto"/>
        <w:rPr>
          <w:sz w:val="20"/>
          <w:szCs w:val="20"/>
          <w:color w:val="auto"/>
        </w:rPr>
      </w:pPr>
      <w:r>
        <w:rPr>
          <w:rFonts w:ascii="Arial" w:cs="Arial" w:eastAsia="Arial" w:hAnsi="Arial"/>
          <w:sz w:val="18"/>
          <w:szCs w:val="18"/>
          <w:color w:val="auto"/>
        </w:rPr>
        <w:t>manner of execution as the Directors may approve from time to time. The transferor shall be deemed to remain the holder of a Share until the name of the transferee is entered in the Register of Members.</w:t>
      </w:r>
    </w:p>
    <w:p>
      <w:pPr>
        <w:spacing w:after="0" w:line="157"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color w:val="auto"/>
        </w:rPr>
        <w:t>Redemption, Repurchase and Surrender of Shares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and, where applicable, the rules of the Designated Stock Exchange and/or any competent regulatory authority, the Company may issue Shares that are to be redeemed or are liable to be redeemed at the option of the Member or the Company. The redemption of such Shares, except Public Shares, shall be effected in such manner and upon such other terms as the Company may, by Special Resolution, determine before the issue of such Shares. With respect to redeeming or repurchasing the Shares:</w:t>
      </w:r>
    </w:p>
    <w:p>
      <w:pPr>
        <w:spacing w:after="0" w:line="189" w:lineRule="exact"/>
        <w:rPr>
          <w:sz w:val="20"/>
          <w:szCs w:val="20"/>
          <w:color w:val="auto"/>
        </w:rPr>
      </w:pPr>
    </w:p>
    <w:p>
      <w:pPr>
        <w:ind w:left="1300" w:hanging="644"/>
        <w:spacing w:after="0" w:line="246"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Members who hold Public Shares are entitled to request the redemption of such Shares in the circumstances described in the Business Combination Article hereof;</w:t>
      </w:r>
    </w:p>
    <w:p>
      <w:pPr>
        <w:spacing w:after="0" w:line="183" w:lineRule="exact"/>
        <w:rPr>
          <w:rFonts w:ascii="Arial" w:cs="Arial" w:eastAsia="Arial" w:hAnsi="Arial"/>
          <w:sz w:val="18"/>
          <w:szCs w:val="18"/>
          <w:color w:val="auto"/>
        </w:rPr>
      </w:pPr>
    </w:p>
    <w:p>
      <w:pPr>
        <w:jc w:val="both"/>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Class B Shares held by the Founders shall be surrendered by the Founders on a pro rata basis for no consideration to the extent that the Over-Allotment Option is not exercised in full so that the Class B Shares will represent 20 per cent of the Company's issued Shares after the IPO; and</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Public Shares shall be repurchased by way of tender offer in the circumstances set out in the Business Combination Article hereof.</w:t>
      </w:r>
    </w:p>
    <w:p>
      <w:pPr>
        <w:spacing w:after="0" w:line="18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and, where applicable, the rules of the Designated Stock Exchange and/or any competent regulatory authority, the Company may purchase its own Shares (including any redeemable Shares) in such manner and on such other terms as the Directors may agree with the relevant Member. For the avoidance of doubt, redemptions and repurchases of Shares in the circumstances described at Articles 8.1(a), 8.1(b) and 8.1(c) above shall not require further approval of the Members.</w:t>
      </w:r>
    </w:p>
    <w:p>
      <w:pPr>
        <w:spacing w:after="0" w:line="188"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The Directors may accept the surrender for no consideration of any fully paid Share.</w:t>
      </w:r>
    </w:p>
    <w:p>
      <w:pPr>
        <w:spacing w:after="0" w:line="171"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color w:val="auto"/>
        </w:rPr>
        <w:t>Treasury Shares</w:t>
      </w:r>
    </w:p>
    <w:p>
      <w:pPr>
        <w:spacing w:after="0" w:line="229"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Directors may, prior to the purchase, redemption or surrender of any Share, determine that such Share shall be held as a Treasury Share.</w:t>
      </w:r>
    </w:p>
    <w:p>
      <w:pPr>
        <w:spacing w:after="0" w:line="183"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29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33" w:name="page234"/>
    <w:bookmarkEnd w:id="233"/>
    <w:p>
      <w:pPr>
        <w:spacing w:after="0"/>
        <w:tabs>
          <w:tab w:leader="none" w:pos="6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Variation of Rights of Shares</w:t>
      </w:r>
    </w:p>
    <w:p>
      <w:pPr>
        <w:spacing w:after="0" w:line="22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(other than with respect to a waiver of the provisions of the Class B Share Conversion Article hereof, which as stated therein shall only require the consent in writing of the holders of a majority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except that the necessary quorum shall be one person holding or representing by proxy at least one third of the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the class and that any holder of Shares of the class present in person or by proxy may demand a poll.</w:t>
      </w:r>
    </w:p>
    <w:p>
      <w:pPr>
        <w:spacing w:after="0" w:line="19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163"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color w:val="auto"/>
        </w:rPr>
        <w:t>Commission on Sale of Shares</w:t>
      </w:r>
    </w:p>
    <w:p>
      <w:pPr>
        <w:spacing w:after="0" w:line="228" w:lineRule="exact"/>
        <w:rPr>
          <w:rFonts w:ascii="Arial" w:cs="Arial" w:eastAsia="Arial" w:hAnsi="Arial"/>
          <w:sz w:val="20"/>
          <w:szCs w:val="20"/>
          <w:b w:val="1"/>
          <w:bCs w:val="1"/>
          <w:color w:val="auto"/>
        </w:rPr>
      </w:pPr>
    </w:p>
    <w:p>
      <w:pPr>
        <w:jc w:val="both"/>
        <w:ind w:left="660"/>
        <w:spacing w:after="0" w:line="239" w:lineRule="auto"/>
        <w:rPr>
          <w:rFonts w:ascii="Arial" w:cs="Arial" w:eastAsia="Arial" w:hAnsi="Arial"/>
          <w:sz w:val="20"/>
          <w:szCs w:val="20"/>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61" w:lineRule="exact"/>
        <w:rPr>
          <w:rFonts w:ascii="Arial" w:cs="Arial" w:eastAsia="Arial" w:hAnsi="Arial"/>
          <w:sz w:val="20"/>
          <w:szCs w:val="20"/>
          <w:b w:val="1"/>
          <w:bCs w:val="1"/>
          <w:color w:val="auto"/>
        </w:rPr>
      </w:pPr>
    </w:p>
    <w:p>
      <w:pPr>
        <w:ind w:left="660" w:hanging="652"/>
        <w:spacing w:after="0"/>
        <w:tabs>
          <w:tab w:leader="none" w:pos="660"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color w:val="auto"/>
        </w:rPr>
        <w:t>Non Recognition of Trusts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4" w:name="page235"/>
    <w:bookmarkEnd w:id="234"/>
    <w:p>
      <w:pPr>
        <w:spacing w:after="0"/>
        <w:tabs>
          <w:tab w:leader="none" w:pos="6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Lien on Shares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92"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8"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Call on Shares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A call shall be deemed to have been made at the time when the resolution of the Directors authorising such call was passed.</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color w:val="auto"/>
        </w:rPr>
        <w:t>The joint holders of a Share shall be jointly and severally liable to pay all calls in respect thereof.</w:t>
      </w:r>
    </w:p>
    <w:p>
      <w:pPr>
        <w:spacing w:after="0" w:line="30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5" w:name="page236"/>
    <w:bookmarkEnd w:id="235"/>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8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7"/>
          <w:szCs w:val="17"/>
          <w:color w:val="auto"/>
        </w:rPr>
        <w:t>The Directors may issue Shares with different terms as to the amount and times of payment of calls, or the interest to be paid.</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89"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b w:val="1"/>
          <w:bCs w:val="1"/>
          <w:color w:val="auto"/>
        </w:rPr>
        <w:t>Forfeiture of Shares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9" w:lineRule="exact"/>
        <w:rPr>
          <w:sz w:val="20"/>
          <w:szCs w:val="20"/>
          <w:color w:val="auto"/>
        </w:rPr>
      </w:pPr>
    </w:p>
    <w:p>
      <w:pPr>
        <w:jc w:val="both"/>
        <w:ind w:left="660" w:right="20" w:hanging="647"/>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8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A person any of whose Shares have been forfeited shall cease to be a Member in respect of them and shall surrender to the Company for cancellation the certificate for the Shares forfeited</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36" w:name="page237"/>
    <w:bookmarkEnd w:id="236"/>
    <w:p>
      <w:pPr>
        <w:jc w:val="both"/>
        <w:ind w:left="660"/>
        <w:spacing w:after="0"/>
        <w:rPr>
          <w:sz w:val="20"/>
          <w:szCs w:val="20"/>
          <w:color w:val="auto"/>
        </w:rPr>
      </w:pPr>
      <w:r>
        <w:rPr>
          <w:rFonts w:ascii="Arial" w:cs="Arial" w:eastAsia="Arial" w:hAnsi="Arial"/>
          <w:sz w:val="18"/>
          <w:szCs w:val="18"/>
          <w:color w:val="auto"/>
        </w:rPr>
        <w:t>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20"/>
          <w:szCs w:val="20"/>
          <w:b w:val="1"/>
          <w:bCs w:val="1"/>
          <w:color w:val="auto"/>
        </w:rPr>
        <w:t>Transmission of Shares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190"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w:t>
      </w:r>
    </w:p>
    <w:p>
      <w:pPr>
        <w:spacing w:after="0" w:line="303"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37" w:name="page238"/>
    <w:bookmarkEnd w:id="237"/>
    <w:p>
      <w:pPr>
        <w:jc w:val="both"/>
        <w:ind w:left="660"/>
        <w:spacing w:after="0"/>
        <w:rPr>
          <w:sz w:val="20"/>
          <w:szCs w:val="20"/>
          <w:color w:val="auto"/>
        </w:rPr>
      </w:pPr>
      <w:r>
        <w:rPr>
          <w:rFonts w:ascii="Arial" w:cs="Arial" w:eastAsia="Arial" w:hAnsi="Arial"/>
          <w:sz w:val="18"/>
          <w:szCs w:val="18"/>
          <w:color w:val="auto"/>
        </w:rPr>
        <w:t>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20"/>
          <w:szCs w:val="20"/>
          <w:b w:val="1"/>
          <w:bCs w:val="1"/>
          <w:color w:val="auto"/>
        </w:rPr>
        <w:t>Class B Share Conversion</w:t>
      </w:r>
    </w:p>
    <w:p>
      <w:pPr>
        <w:spacing w:after="0" w:line="211"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 xml:space="preserve">The rights attaching to all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and the Class A Shares and Class B Shares shall vote together as a single class on all matters (subject to the Variation of Rights of Shares Article, the Appointment and Removal of Directors Article, and the Business Combination Article hereof) with the exception that the holder of a Class B Share shall have the Conversion Rights referred to in this Article.</w:t>
      </w:r>
    </w:p>
    <w:p>
      <w:pPr>
        <w:spacing w:after="0" w:line="164"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Class B Shares shall automatically convert into Class A Shares on a one-for-one basis (the "</w:t>
      </w:r>
      <w:r>
        <w:rPr>
          <w:rFonts w:ascii="Arial" w:cs="Arial" w:eastAsia="Arial" w:hAnsi="Arial"/>
          <w:sz w:val="18"/>
          <w:szCs w:val="18"/>
          <w:b w:val="1"/>
          <w:bCs w:val="1"/>
          <w:color w:val="auto"/>
        </w:rPr>
        <w:t>Initial Conversion Ratio</w:t>
      </w:r>
      <w:r>
        <w:rPr>
          <w:rFonts w:ascii="Arial" w:cs="Arial" w:eastAsia="Arial" w:hAnsi="Arial"/>
          <w:sz w:val="18"/>
          <w:szCs w:val="18"/>
          <w:color w:val="auto"/>
        </w:rPr>
        <w:t>") on the first business day following the closing of a Business Combination.</w:t>
      </w:r>
    </w:p>
    <w:p>
      <w:pPr>
        <w:spacing w:after="0" w:line="162"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Notwithstanding the Initial Conversion Ratio, in the case that additional Class A Shares or any other Equity-linked Securities convertible or exercisable for Class A Shares, are issued or deemed issued in excess of the amounts issued in the IPO and related to the closing of a Business Combination, the ratio at which Class B Shares shall convert into Class A Shares will be adjusted (unless the holders of a majority of the Class B Shares in issue agree to waive such adjustment) so that the number of Class A Shares issuable upon conversion of all Class B Shares will equal, in the aggregate, on an as-converted basis, 20 per cent of the sum of all Class A Shares and Class B Shares issue upon completion of the IPO plus the number of Class A Shares and Equity-linked Securities issued or deemed issued in connection with a Business Combination (net of redemptions pursuant to Article 49 hereof), excluding any Class A Shares or Equity-linked Securities issued, or to be issued, to any seller in a Business Combination and any private placement warrants issued to the Sponsor, affiliates of the Sponsor, or any of the officers of the Company or Directors.</w:t>
      </w:r>
    </w:p>
    <w:p>
      <w:pPr>
        <w:spacing w:after="0" w:line="194"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188"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38" w:name="page239"/>
    <w:bookmarkEnd w:id="238"/>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167"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References in this Article to "</w:t>
      </w:r>
      <w:r>
        <w:rPr>
          <w:rFonts w:ascii="Arial" w:cs="Arial" w:eastAsia="Arial" w:hAnsi="Arial"/>
          <w:sz w:val="18"/>
          <w:szCs w:val="18"/>
          <w:b w:val="1"/>
          <w:bCs w:val="1"/>
          <w:color w:val="auto"/>
        </w:rPr>
        <w:t>converted</w:t>
      </w:r>
      <w:r>
        <w:rPr>
          <w:rFonts w:ascii="Arial" w:cs="Arial" w:eastAsia="Arial" w:hAnsi="Arial"/>
          <w:sz w:val="18"/>
          <w:szCs w:val="18"/>
          <w:color w:val="auto"/>
        </w:rPr>
        <w:t>", "</w:t>
      </w:r>
      <w:r>
        <w:rPr>
          <w:rFonts w:ascii="Arial" w:cs="Arial" w:eastAsia="Arial" w:hAnsi="Arial"/>
          <w:sz w:val="18"/>
          <w:szCs w:val="18"/>
          <w:b w:val="1"/>
          <w:bCs w:val="1"/>
          <w:color w:val="auto"/>
        </w:rPr>
        <w:t>conversion</w:t>
      </w:r>
      <w:r>
        <w:rPr>
          <w:rFonts w:ascii="Arial" w:cs="Arial" w:eastAsia="Arial" w:hAnsi="Arial"/>
          <w:sz w:val="18"/>
          <w:szCs w:val="18"/>
          <w:color w:val="auto"/>
        </w:rPr>
        <w:t>" or "</w:t>
      </w:r>
      <w:r>
        <w:rPr>
          <w:rFonts w:ascii="Arial" w:cs="Arial" w:eastAsia="Arial" w:hAnsi="Arial"/>
          <w:sz w:val="18"/>
          <w:szCs w:val="18"/>
          <w:b w:val="1"/>
          <w:bCs w:val="1"/>
          <w:color w:val="auto"/>
        </w:rPr>
        <w:t>exchange</w:t>
      </w:r>
      <w:r>
        <w:rPr>
          <w:rFonts w:ascii="Arial" w:cs="Arial" w:eastAsia="Arial" w:hAnsi="Arial"/>
          <w:sz w:val="18"/>
          <w:szCs w:val="18"/>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8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Notwithstanding anything to the contrary in this Article, in no event may any Class B Share convert into Class A Shares at a ratio that is less than one-for-one.</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The Company may by Ordinary Resolution:</w:t>
      </w:r>
    </w:p>
    <w:p>
      <w:pPr>
        <w:spacing w:after="0" w:line="198" w:lineRule="exact"/>
        <w:rPr>
          <w:sz w:val="20"/>
          <w:szCs w:val="20"/>
          <w:color w:val="auto"/>
        </w:rPr>
      </w:pPr>
    </w:p>
    <w:p>
      <w:pPr>
        <w:ind w:left="130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83"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39" w:name="page240"/>
    <w:bookmarkEnd w:id="239"/>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Subject to the provisions of the Statute, the provisions of the Articles as regards the matters to be dealt with by Ordinary Resolution, Article 29.4, the Company may by Special Resolution:</w:t>
      </w:r>
    </w:p>
    <w:p>
      <w:pPr>
        <w:spacing w:after="0" w:line="183" w:lineRule="exact"/>
        <w:rPr>
          <w:sz w:val="20"/>
          <w:szCs w:val="20"/>
          <w:color w:val="auto"/>
        </w:rPr>
      </w:pPr>
    </w:p>
    <w:p>
      <w:pPr>
        <w:ind w:left="1300" w:hanging="644"/>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alter or add to the Articles (subject to Article 29.4);</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171"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Offices and Places of Business</w:t>
      </w:r>
    </w:p>
    <w:p>
      <w:pPr>
        <w:spacing w:after="0" w:line="228"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7"/>
          <w:szCs w:val="17"/>
          <w:color w:val="auto"/>
        </w:rPr>
        <w:t>All general meetings other than annual general meetings shall be called extraordinary general meetings.</w:t>
      </w:r>
    </w:p>
    <w:p>
      <w:pPr>
        <w:spacing w:after="0" w:line="198"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(beginning in 2020) at ten o'clock in the morning. At these meetings the report of the Directors (if any) shall be presented.</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Directors, the chief executive officer or the chairman of the board of Directors may call general meetings, and they shall on a Members' requisition forthwith proceed to convene an extraordinary general meeting of the Company.</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A Members' requisition is a requisition of Members holding at the date of deposit of the requisition not less than thirty per cent in par value of the issued Shares which as at that date carry the right to vote at general meetings of the Company.</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The Members' requisition must state the objects of the meeting and must be signed by the requisitionists and deposited at the Registered Office, and may consist of several documents in like form each signed by one or more requisitionists.</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If there are no Directors as at the date of the deposit of the Members' requisition or if the Directors do not within twenty-one days from the date of the deposit of the Members' requisition duly proceed to convene a general meeting to be held within a further twenty-one days, the</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0" w:name="page241"/>
    <w:bookmarkEnd w:id="240"/>
    <w:p>
      <w:pPr>
        <w:jc w:val="both"/>
        <w:ind w:left="660"/>
        <w:spacing w:after="0"/>
        <w:rPr>
          <w:sz w:val="20"/>
          <w:szCs w:val="20"/>
          <w:color w:val="auto"/>
        </w:rPr>
      </w:pPr>
      <w:r>
        <w:rPr>
          <w:rFonts w:ascii="Arial" w:cs="Arial" w:eastAsia="Arial" w:hAnsi="Arial"/>
          <w:sz w:val="18"/>
          <w:szCs w:val="18"/>
          <w:color w:val="auto"/>
        </w:rPr>
        <w:t>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8"/>
          <w:szCs w:val="18"/>
          <w:color w:val="auto"/>
        </w:rPr>
        <w:t>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Notice of General Meetings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9"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ninety-five per cent in par value of the Shares giving that right.</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Proceedings at General Meetings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189" w:lineRule="exact"/>
        <w:rPr>
          <w:sz w:val="20"/>
          <w:szCs w:val="20"/>
          <w:color w:val="auto"/>
        </w:rPr>
      </w:pPr>
    </w:p>
    <w:p>
      <w:pPr>
        <w:jc w:val="both"/>
        <w:ind w:left="660" w:right="20" w:hanging="647"/>
        <w:spacing w:after="0"/>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1" w:name="page242"/>
    <w:bookmarkEnd w:id="241"/>
    <w:p>
      <w:pPr>
        <w:jc w:val="both"/>
        <w:ind w:hanging="647"/>
        <w:spacing w:after="0" w:line="239" w:lineRule="auto"/>
        <w:rPr>
          <w:sz w:val="20"/>
          <w:szCs w:val="20"/>
          <w:color w:val="auto"/>
        </w:rPr>
      </w:pPr>
      <w:r>
        <w:rPr>
          <w:rFonts w:ascii="Arial" w:cs="Arial" w:eastAsia="Arial" w:hAnsi="Arial"/>
          <w:sz w:val="18"/>
          <w:szCs w:val="18"/>
          <w:color w:val="auto"/>
        </w:rPr>
        <w:t>22.3</w:t>
      </w:r>
      <w:r>
        <w:rPr>
          <w:sz w:val="20"/>
          <w:szCs w:val="20"/>
          <w:color w:val="auto"/>
        </w:rPr>
        <w:t xml:space="preserve"> </w:t>
      </w:r>
      <w:r>
        <w:rPr>
          <w:rFonts w:ascii="Arial" w:cs="Arial" w:eastAsia="Arial" w:hAnsi="Arial"/>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88" w:lineRule="exact"/>
        <w:rPr>
          <w:sz w:val="20"/>
          <w:szCs w:val="20"/>
          <w:color w:val="auto"/>
        </w:rPr>
      </w:pPr>
    </w:p>
    <w:p>
      <w:pPr>
        <w:jc w:val="both"/>
        <w:ind w:hanging="647"/>
        <w:spacing w:after="0" w:line="238" w:lineRule="auto"/>
        <w:rPr>
          <w:sz w:val="20"/>
          <w:szCs w:val="20"/>
          <w:color w:val="auto"/>
        </w:rPr>
      </w:pPr>
      <w:r>
        <w:rPr>
          <w:rFonts w:ascii="Arial" w:cs="Arial" w:eastAsia="Arial" w:hAnsi="Arial"/>
          <w:sz w:val="18"/>
          <w:szCs w:val="18"/>
          <w:color w:val="auto"/>
        </w:rPr>
        <w:t>22.4</w:t>
      </w:r>
      <w:r>
        <w:rPr>
          <w:sz w:val="20"/>
          <w:szCs w:val="20"/>
          <w:color w:val="auto"/>
        </w:rPr>
        <w:t xml:space="preserve"> </w:t>
      </w:r>
      <w:r>
        <w:rPr>
          <w:rFonts w:ascii="Arial" w:cs="Arial" w:eastAsia="Arial" w:hAnsi="Arial"/>
          <w:sz w:val="18"/>
          <w:szCs w:val="18"/>
          <w:color w:val="auto"/>
        </w:rPr>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9" w:lineRule="exact"/>
        <w:rPr>
          <w:sz w:val="20"/>
          <w:szCs w:val="20"/>
          <w:color w:val="auto"/>
        </w:rPr>
      </w:pPr>
    </w:p>
    <w:p>
      <w:pPr>
        <w:jc w:val="both"/>
        <w:ind w:hanging="647"/>
        <w:spacing w:after="0" w:line="238" w:lineRule="auto"/>
        <w:rPr>
          <w:sz w:val="20"/>
          <w:szCs w:val="20"/>
          <w:color w:val="auto"/>
        </w:rPr>
      </w:pPr>
      <w:r>
        <w:rPr>
          <w:rFonts w:ascii="Arial" w:cs="Arial" w:eastAsia="Arial" w:hAnsi="Arial"/>
          <w:sz w:val="18"/>
          <w:szCs w:val="18"/>
          <w:color w:val="auto"/>
        </w:rPr>
        <w:t>22.5</w:t>
      </w:r>
      <w:r>
        <w:rPr>
          <w:sz w:val="20"/>
          <w:szCs w:val="20"/>
          <w:color w:val="auto"/>
        </w:rPr>
        <w:t xml:space="preserve"> </w:t>
      </w:r>
      <w:r>
        <w:rPr>
          <w:rFonts w:ascii="Arial" w:cs="Arial" w:eastAsia="Arial" w:hAnsi="Arial"/>
          <w:sz w:val="18"/>
          <w:szCs w:val="18"/>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189" w:lineRule="exact"/>
        <w:rPr>
          <w:sz w:val="20"/>
          <w:szCs w:val="20"/>
          <w:color w:val="auto"/>
        </w:rPr>
      </w:pPr>
    </w:p>
    <w:p>
      <w:pPr>
        <w:jc w:val="both"/>
        <w:ind w:hanging="647"/>
        <w:spacing w:after="0" w:line="246" w:lineRule="auto"/>
        <w:rPr>
          <w:sz w:val="20"/>
          <w:szCs w:val="20"/>
          <w:color w:val="auto"/>
        </w:rPr>
      </w:pPr>
      <w:r>
        <w:rPr>
          <w:rFonts w:ascii="Arial" w:cs="Arial" w:eastAsia="Arial" w:hAnsi="Arial"/>
          <w:sz w:val="18"/>
          <w:szCs w:val="18"/>
          <w:color w:val="auto"/>
        </w:rPr>
        <w:t>22.6</w:t>
      </w:r>
      <w:r>
        <w:rPr>
          <w:sz w:val="20"/>
          <w:szCs w:val="20"/>
          <w:color w:val="auto"/>
        </w:rPr>
        <w:t xml:space="preserve"> </w:t>
      </w:r>
      <w:r>
        <w:rPr>
          <w:rFonts w:ascii="Arial" w:cs="Arial" w:eastAsia="Arial" w:hAnsi="Arial"/>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183" w:lineRule="exact"/>
        <w:rPr>
          <w:sz w:val="20"/>
          <w:szCs w:val="20"/>
          <w:color w:val="auto"/>
        </w:rPr>
      </w:pPr>
    </w:p>
    <w:p>
      <w:pPr>
        <w:jc w:val="both"/>
        <w:ind w:hanging="647"/>
        <w:spacing w:after="0"/>
        <w:rPr>
          <w:sz w:val="20"/>
          <w:szCs w:val="20"/>
          <w:color w:val="auto"/>
        </w:rPr>
      </w:pPr>
      <w:r>
        <w:rPr>
          <w:rFonts w:ascii="Arial" w:cs="Arial" w:eastAsia="Arial" w:hAnsi="Arial"/>
          <w:sz w:val="18"/>
          <w:szCs w:val="18"/>
          <w:color w:val="auto"/>
        </w:rPr>
        <w:t>22.7</w:t>
      </w:r>
      <w:r>
        <w:rPr>
          <w:sz w:val="20"/>
          <w:szCs w:val="20"/>
          <w:color w:val="auto"/>
        </w:rPr>
        <w:t xml:space="preserve"> </w:t>
      </w:r>
      <w:r>
        <w:rPr>
          <w:rFonts w:ascii="Arial" w:cs="Arial" w:eastAsia="Arial" w:hAnsi="Arial"/>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189" w:lineRule="exact"/>
        <w:rPr>
          <w:sz w:val="20"/>
          <w:szCs w:val="20"/>
          <w:color w:val="auto"/>
        </w:rPr>
      </w:pPr>
    </w:p>
    <w:p>
      <w:pPr>
        <w:jc w:val="both"/>
        <w:ind w:hanging="647"/>
        <w:spacing w:after="0" w:line="246" w:lineRule="auto"/>
        <w:rPr>
          <w:sz w:val="20"/>
          <w:szCs w:val="20"/>
          <w:color w:val="auto"/>
        </w:rPr>
      </w:pPr>
      <w:r>
        <w:rPr>
          <w:rFonts w:ascii="Arial" w:cs="Arial" w:eastAsia="Arial" w:hAnsi="Arial"/>
          <w:sz w:val="18"/>
          <w:szCs w:val="18"/>
          <w:color w:val="auto"/>
        </w:rPr>
        <w:t>22.8</w:t>
      </w:r>
      <w:r>
        <w:rPr>
          <w:sz w:val="20"/>
          <w:szCs w:val="20"/>
          <w:color w:val="auto"/>
        </w:rPr>
        <w:t xml:space="preserve"> </w:t>
      </w:r>
      <w:r>
        <w:rPr>
          <w:rFonts w:ascii="Arial" w:cs="Arial" w:eastAsia="Arial" w:hAnsi="Arial"/>
          <w:sz w:val="18"/>
          <w:szCs w:val="18"/>
          <w:color w:val="auto"/>
        </w:rPr>
        <w:t>When a general meeting is adjourned for thirty days or more, notice of the adjourned meeting shall be given as in the case of an original meeting. Otherwise it shall not be necessary to give any such notice of an adjourned meeting.</w:t>
      </w:r>
    </w:p>
    <w:p>
      <w:pPr>
        <w:spacing w:after="0" w:line="183" w:lineRule="exact"/>
        <w:rPr>
          <w:sz w:val="20"/>
          <w:szCs w:val="20"/>
          <w:color w:val="auto"/>
        </w:rPr>
      </w:pPr>
    </w:p>
    <w:p>
      <w:pPr>
        <w:jc w:val="both"/>
        <w:ind w:right="20" w:hanging="647"/>
        <w:spacing w:after="0" w:line="238" w:lineRule="auto"/>
        <w:rPr>
          <w:sz w:val="20"/>
          <w:szCs w:val="20"/>
          <w:color w:val="auto"/>
        </w:rPr>
      </w:pPr>
      <w:r>
        <w:rPr>
          <w:rFonts w:ascii="Arial" w:cs="Arial" w:eastAsia="Arial" w:hAnsi="Arial"/>
          <w:sz w:val="18"/>
          <w:szCs w:val="18"/>
          <w:color w:val="auto"/>
        </w:rPr>
        <w:t>22.9</w:t>
      </w:r>
      <w:r>
        <w:rPr>
          <w:sz w:val="20"/>
          <w:szCs w:val="20"/>
          <w:color w:val="auto"/>
        </w:rPr>
        <w:t xml:space="preserve"> </w:t>
      </w:r>
      <w:r>
        <w:rPr>
          <w:rFonts w:ascii="Arial" w:cs="Arial" w:eastAsia="Arial" w:hAnsi="Arial"/>
          <w:sz w:val="18"/>
          <w:szCs w:val="18"/>
          <w:color w:val="auto"/>
        </w:rPr>
        <w:t>If, prior to a Business Combination,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189" w:lineRule="exact"/>
        <w:rPr>
          <w:sz w:val="20"/>
          <w:szCs w:val="20"/>
          <w:color w:val="auto"/>
        </w:rPr>
      </w:pPr>
    </w:p>
    <w:p>
      <w:pPr>
        <w:jc w:val="both"/>
        <w:ind w:hanging="647"/>
        <w:spacing w:after="0"/>
        <w:rPr>
          <w:sz w:val="20"/>
          <w:szCs w:val="20"/>
          <w:color w:val="auto"/>
        </w:rPr>
      </w:pPr>
      <w:r>
        <w:rPr>
          <w:rFonts w:ascii="Arial" w:cs="Arial" w:eastAsia="Arial" w:hAnsi="Arial"/>
          <w:sz w:val="18"/>
          <w:szCs w:val="18"/>
          <w:color w:val="auto"/>
        </w:rPr>
        <w:t>22.10</w:t>
      </w:r>
      <w:r>
        <w:rPr>
          <w:sz w:val="20"/>
          <w:szCs w:val="20"/>
          <w:color w:val="auto"/>
        </w:rPr>
        <w:t xml:space="preserve"> </w:t>
      </w:r>
      <w:r>
        <w:rPr>
          <w:rFonts w:ascii="Arial" w:cs="Arial" w:eastAsia="Arial" w:hAnsi="Arial"/>
          <w:sz w:val="18"/>
          <w:szCs w:val="18"/>
          <w:color w:val="auto"/>
        </w:rPr>
        <w:t>When a general meeting is postponed for thirty days or more, notice of the postponed meeting shall be given as in the case of an original meeting. Otherwise it shall not be necessary to give any such notice of a postponed meeting. All proxy forms submitted for the original general</w:t>
      </w:r>
    </w:p>
    <w:p>
      <w:pPr>
        <w:spacing w:after="0" w:line="297" w:lineRule="exact"/>
        <w:rPr>
          <w:sz w:val="20"/>
          <w:szCs w:val="20"/>
          <w:color w:val="auto"/>
        </w:rPr>
      </w:pPr>
    </w:p>
    <w:p>
      <w:pPr>
        <w:ind w:left="105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98" w:right="239" w:bottom="1440" w:gutter="0" w:footer="0" w:header="0"/>
        </w:sectPr>
      </w:pPr>
    </w:p>
    <w:bookmarkStart w:id="242" w:name="page243"/>
    <w:bookmarkEnd w:id="242"/>
    <w:p>
      <w:pPr>
        <w:ind w:left="660"/>
        <w:spacing w:after="0" w:line="246" w:lineRule="auto"/>
        <w:rPr>
          <w:sz w:val="20"/>
          <w:szCs w:val="20"/>
          <w:color w:val="auto"/>
        </w:rPr>
      </w:pPr>
      <w:r>
        <w:rPr>
          <w:rFonts w:ascii="Arial" w:cs="Arial" w:eastAsia="Arial" w:hAnsi="Arial"/>
          <w:sz w:val="18"/>
          <w:szCs w:val="18"/>
          <w:color w:val="auto"/>
        </w:rPr>
        <w:t>meeting shall remain valid for the postponed meeting. The Directors may postpone a general meeting which has already been postponed.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7"/>
          <w:szCs w:val="17"/>
          <w:color w:val="auto"/>
        </w:rPr>
        <w:t>A resolution put to the vote of the meeting shall be decided on a poll.</w:t>
      </w:r>
    </w:p>
    <w:p>
      <w:pPr>
        <w:spacing w:after="0" w:line="198"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22.12</w:t>
        <w:tab/>
        <w:t>A poll shall be taken as the chairman directs, and the result of the poll shall be deemed to be the resolution of the general meeting at which the poll was demanded.</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22.13</w:t>
        <w:tab/>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7"/>
          <w:szCs w:val="17"/>
          <w:color w:val="auto"/>
        </w:rPr>
        <w:t>In the case of an equality of votes the chairman shall be entitled to a second or casting vote.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b w:val="1"/>
          <w:bCs w:val="1"/>
          <w:color w:val="auto"/>
        </w:rPr>
        <w:t>Votes of Members</w:t>
      </w:r>
    </w:p>
    <w:p>
      <w:pPr>
        <w:spacing w:after="0" w:line="22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Subject to any rights or restrictions attached to any Shares, including as set out at Article 29.4, every Member present in any such manner shall have one vote for every Share of which he is the holder.</w:t>
      </w:r>
    </w:p>
    <w:p>
      <w:pPr>
        <w:spacing w:after="0" w:line="18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8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3" w:name="page244"/>
    <w:bookmarkEnd w:id="243"/>
    <w:p>
      <w:pPr>
        <w:ind w:left="660" w:right="20"/>
        <w:spacing w:after="0" w:line="246" w:lineRule="auto"/>
        <w:rPr>
          <w:sz w:val="20"/>
          <w:szCs w:val="20"/>
          <w:color w:val="auto"/>
        </w:rPr>
      </w:pPr>
      <w:r>
        <w:rPr>
          <w:rFonts w:ascii="Arial" w:cs="Arial" w:eastAsia="Arial" w:hAnsi="Arial"/>
          <w:sz w:val="18"/>
          <w:szCs w:val="18"/>
          <w:color w:val="auto"/>
        </w:rPr>
        <w:t>Where a Member appoints more than one proxy the instrument of proxy shall specify the number of Shares in respect of which each proxy is entitled to exercise the related votes.</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Proxies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90"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8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29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4" w:name="page245"/>
    <w:bookmarkEnd w:id="244"/>
    <w:p>
      <w:pPr>
        <w:spacing w:after="0"/>
        <w:tabs>
          <w:tab w:leader="none" w:pos="6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20"/>
          <w:szCs w:val="20"/>
          <w:b w:val="1"/>
          <w:bCs w:val="1"/>
          <w:color w:val="auto"/>
        </w:rPr>
        <w:t>Corporate Members</w:t>
      </w:r>
    </w:p>
    <w:p>
      <w:pPr>
        <w:spacing w:after="0" w:line="22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8"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65"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color w:val="auto"/>
        </w:rPr>
        <w:t>Shares that May Not be Voted</w:t>
      </w:r>
    </w:p>
    <w:p>
      <w:pPr>
        <w:spacing w:after="0" w:line="228" w:lineRule="exact"/>
        <w:rPr>
          <w:rFonts w:ascii="Arial" w:cs="Arial" w:eastAsia="Arial" w:hAnsi="Arial"/>
          <w:sz w:val="20"/>
          <w:szCs w:val="20"/>
          <w:b w:val="1"/>
          <w:bCs w:val="1"/>
          <w:color w:val="auto"/>
        </w:rPr>
      </w:pPr>
    </w:p>
    <w:p>
      <w:pPr>
        <w:ind w:left="660" w:right="2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color w:val="auto"/>
        </w:rPr>
        <w:t>Directors</w:t>
      </w:r>
    </w:p>
    <w:p>
      <w:pPr>
        <w:spacing w:after="0" w:line="22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There shall be a board of Directors consisting of not less than one person provided however that the Company may by Ordinary Resolution increase or reduce the limits in the number of Directors.</w:t>
      </w:r>
    </w:p>
    <w:p>
      <w:pPr>
        <w:spacing w:after="0" w:line="183"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The Directors shall be divided into two classes: Class I and Class II. The number of Directors in each class shall be as nearly equal as possible. Upon the adoption of the Articles, the existing Directors shall by resolution classify themselves as Class I or Class II Directors. The Class I Directors shall stand elected for a term expiring at the Company’s first annual general meeting and the Class II Directors shall stand elected for a term expiring at the Company’s second annual general meeting. Commencing at the Company’s first annual general meeting, and at each annual general meeting thereafter, Directors elected to succeed those Directors whose terms expire shall be elected for a term of office to expire at the second succeeding annual general meeting after their election. Except as the Statute or other applicable law may otherwise require, in the interim between annual general meetings or extraordinary general meetings called for the election of Directors and/or the removal of one or more Directors and the filling of any vacancy in that connection, any vacancies in the board of Directors, including unfilled vacancies resulting from the removal of Directors for cause, may be filled by the vote of a majority of the remaining Directors then in office, although less than a quorum (as defined in the Articles), or by a majority of the Class A and Class B Shares (or, prior to the closing of a Business Combination, holders of the Class B Shares). All Directors shall hold office until the expiration of their respective terms of</w:t>
      </w:r>
    </w:p>
    <w:p>
      <w:pPr>
        <w:spacing w:after="0" w:line="299"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5" w:name="page246"/>
    <w:bookmarkEnd w:id="245"/>
    <w:p>
      <w:pPr>
        <w:jc w:val="both"/>
        <w:ind w:left="660"/>
        <w:spacing w:after="0"/>
        <w:rPr>
          <w:sz w:val="20"/>
          <w:szCs w:val="20"/>
          <w:color w:val="auto"/>
        </w:rPr>
      </w:pPr>
      <w:r>
        <w:rPr>
          <w:rFonts w:ascii="Arial" w:cs="Arial" w:eastAsia="Arial" w:hAnsi="Arial"/>
          <w:sz w:val="18"/>
          <w:szCs w:val="18"/>
          <w:color w:val="auto"/>
        </w:rPr>
        <w:t>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20"/>
          <w:szCs w:val="20"/>
          <w:b w:val="1"/>
          <w:bCs w:val="1"/>
          <w:color w:val="auto"/>
        </w:rPr>
        <w:t>Powers of Directors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20"/>
          <w:szCs w:val="20"/>
          <w:b w:val="1"/>
          <w:bCs w:val="1"/>
          <w:color w:val="auto"/>
        </w:rPr>
        <w:t>Appointment and Removal of Directors</w:t>
      </w:r>
    </w:p>
    <w:p>
      <w:pPr>
        <w:spacing w:after="0" w:line="22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18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After the closing of a Business Combination, the Company may by Ordinary Resolution appoint any person to be a Director or may by Ordinary Resolution remove any Director.</w:t>
      </w:r>
    </w:p>
    <w:p>
      <w:pPr>
        <w:spacing w:after="0" w:line="291"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6" w:name="page247"/>
    <w:bookmarkEnd w:id="246"/>
    <w:p>
      <w:pPr>
        <w:jc w:val="both"/>
        <w:ind w:left="652" w:hanging="647"/>
        <w:spacing w:after="0"/>
        <w:tabs>
          <w:tab w:leader="none" w:pos="632"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8"/>
          <w:szCs w:val="18"/>
          <w:color w:val="auto"/>
        </w:rPr>
        <w:t>Article 29.1 may only be amended by a Special Resolution passed by at least 90 per cent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163" w:lineRule="exact"/>
        <w:rPr>
          <w:sz w:val="20"/>
          <w:szCs w:val="20"/>
          <w:color w:val="auto"/>
        </w:rPr>
      </w:pPr>
    </w:p>
    <w:p>
      <w:pPr>
        <w:ind w:left="652" w:hanging="652"/>
        <w:spacing w:after="0"/>
        <w:tabs>
          <w:tab w:leader="none" w:pos="652"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Vacation of Office of Director</w:t>
      </w:r>
    </w:p>
    <w:p>
      <w:pPr>
        <w:spacing w:after="0" w:line="22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18"/>
          <w:szCs w:val="18"/>
          <w:color w:val="auto"/>
        </w:rPr>
        <w:t>The office of a Director shall be vacated if:</w:t>
      </w:r>
    </w:p>
    <w:p>
      <w:pPr>
        <w:spacing w:after="0" w:line="198" w:lineRule="exact"/>
        <w:rPr>
          <w:rFonts w:ascii="Arial" w:cs="Arial" w:eastAsia="Arial" w:hAnsi="Arial"/>
          <w:sz w:val="20"/>
          <w:szCs w:val="20"/>
          <w:b w:val="1"/>
          <w:bCs w:val="1"/>
          <w:color w:val="auto"/>
        </w:rPr>
      </w:pPr>
    </w:p>
    <w:p>
      <w:pPr>
        <w:ind w:left="1292" w:hanging="644"/>
        <w:spacing w:after="0"/>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198" w:lineRule="exact"/>
        <w:rPr>
          <w:rFonts w:ascii="Arial" w:cs="Arial" w:eastAsia="Arial" w:hAnsi="Arial"/>
          <w:sz w:val="18"/>
          <w:szCs w:val="18"/>
          <w:color w:val="auto"/>
        </w:rPr>
      </w:pPr>
    </w:p>
    <w:p>
      <w:pPr>
        <w:jc w:val="both"/>
        <w:ind w:left="1292" w:hanging="644"/>
        <w:spacing w:after="0"/>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189" w:lineRule="exact"/>
        <w:rPr>
          <w:rFonts w:ascii="Arial" w:cs="Arial" w:eastAsia="Arial" w:hAnsi="Arial"/>
          <w:sz w:val="18"/>
          <w:szCs w:val="18"/>
          <w:color w:val="auto"/>
        </w:rPr>
      </w:pPr>
    </w:p>
    <w:p>
      <w:pPr>
        <w:ind w:left="1292" w:hanging="644"/>
        <w:spacing w:after="0"/>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198" w:lineRule="exact"/>
        <w:rPr>
          <w:rFonts w:ascii="Arial" w:cs="Arial" w:eastAsia="Arial" w:hAnsi="Arial"/>
          <w:sz w:val="18"/>
          <w:szCs w:val="18"/>
          <w:color w:val="auto"/>
        </w:rPr>
      </w:pPr>
    </w:p>
    <w:p>
      <w:pPr>
        <w:ind w:left="1292" w:hanging="644"/>
        <w:spacing w:after="0"/>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198" w:lineRule="exact"/>
        <w:rPr>
          <w:rFonts w:ascii="Arial" w:cs="Arial" w:eastAsia="Arial" w:hAnsi="Arial"/>
          <w:sz w:val="18"/>
          <w:szCs w:val="18"/>
          <w:color w:val="auto"/>
        </w:rPr>
      </w:pPr>
    </w:p>
    <w:p>
      <w:pPr>
        <w:jc w:val="both"/>
        <w:ind w:left="1292" w:hanging="644"/>
        <w:spacing w:after="0"/>
        <w:tabs>
          <w:tab w:leader="none" w:pos="129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62" w:lineRule="exact"/>
        <w:rPr>
          <w:rFonts w:ascii="Arial" w:cs="Arial" w:eastAsia="Arial" w:hAnsi="Arial"/>
          <w:sz w:val="18"/>
          <w:szCs w:val="18"/>
          <w:color w:val="auto"/>
        </w:rPr>
      </w:pPr>
    </w:p>
    <w:p>
      <w:pPr>
        <w:ind w:left="652" w:hanging="652"/>
        <w:spacing w:after="0"/>
        <w:tabs>
          <w:tab w:leader="none" w:pos="652"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Proceedings of Directors</w:t>
      </w:r>
    </w:p>
    <w:p>
      <w:pPr>
        <w:spacing w:after="0" w:line="229"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quorum for the transaction of the business of the Directors may be fixed by the Directors, and unless so fixed shall be two if there are two or more Directors, and shall be one if there is only one Director.</w:t>
      </w:r>
    </w:p>
    <w:p>
      <w:pPr>
        <w:spacing w:after="0" w:line="183"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183"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188"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A resolution in writing (in one or more counterparts) signed by all the Directors or all the members of a committee of the Directors or, in the case of a resolution in writing relating to the removal of</w:t>
      </w:r>
    </w:p>
    <w:p>
      <w:pPr>
        <w:spacing w:after="0" w:line="291" w:lineRule="exact"/>
        <w:rPr>
          <w:sz w:val="20"/>
          <w:szCs w:val="20"/>
          <w:color w:val="auto"/>
        </w:rPr>
      </w:pPr>
    </w:p>
    <w:p>
      <w:pPr>
        <w:ind w:left="1115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98" w:right="239" w:bottom="1440" w:gutter="0" w:footer="0" w:header="0"/>
        </w:sectPr>
      </w:pPr>
    </w:p>
    <w:bookmarkStart w:id="247" w:name="page248"/>
    <w:bookmarkEnd w:id="247"/>
    <w:p>
      <w:pPr>
        <w:jc w:val="both"/>
        <w:ind w:left="652"/>
        <w:spacing w:after="0"/>
        <w:rPr>
          <w:sz w:val="20"/>
          <w:szCs w:val="20"/>
          <w:color w:val="auto"/>
        </w:rPr>
      </w:pPr>
      <w:r>
        <w:rPr>
          <w:rFonts w:ascii="Arial" w:cs="Arial" w:eastAsia="Arial" w:hAnsi="Arial"/>
          <w:sz w:val="18"/>
          <w:szCs w:val="18"/>
          <w:color w:val="auto"/>
        </w:rPr>
        <w:t>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189"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A Director may, or other officer of the Company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188"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8" w:lineRule="exact"/>
        <w:rPr>
          <w:sz w:val="20"/>
          <w:szCs w:val="20"/>
          <w:color w:val="auto"/>
        </w:rPr>
      </w:pPr>
    </w:p>
    <w:p>
      <w:pPr>
        <w:jc w:val="both"/>
        <w:ind w:left="652" w:hanging="647"/>
        <w:spacing w:after="0"/>
        <w:tabs>
          <w:tab w:leader="none" w:pos="632"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 Directors may elect a chairman of their board and determine the period for which he is to hold office; but if no such chairman is elected, or if at any meeting the chairman is not present within fifteen minutes after the time appointed for the meeting to commence, the Directors present may choose one of their number to be chairman of the meeting.</w:t>
      </w:r>
    </w:p>
    <w:p>
      <w:pPr>
        <w:spacing w:after="0" w:line="189"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88"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57" w:lineRule="exact"/>
        <w:rPr>
          <w:sz w:val="20"/>
          <w:szCs w:val="20"/>
          <w:color w:val="auto"/>
        </w:rPr>
      </w:pPr>
    </w:p>
    <w:p>
      <w:pPr>
        <w:ind w:left="652" w:hanging="652"/>
        <w:spacing w:after="0"/>
        <w:tabs>
          <w:tab w:leader="none" w:pos="652"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color w:val="auto"/>
        </w:rPr>
        <w:t>Presumption of Assent</w:t>
      </w:r>
    </w:p>
    <w:p>
      <w:pPr>
        <w:spacing w:after="0" w:line="228" w:lineRule="exact"/>
        <w:rPr>
          <w:rFonts w:ascii="Arial" w:cs="Arial" w:eastAsia="Arial" w:hAnsi="Arial"/>
          <w:sz w:val="20"/>
          <w:szCs w:val="20"/>
          <w:b w:val="1"/>
          <w:bCs w:val="1"/>
          <w:color w:val="auto"/>
        </w:rPr>
      </w:pPr>
    </w:p>
    <w:p>
      <w:pPr>
        <w:jc w:val="both"/>
        <w:ind w:left="652"/>
        <w:spacing w:after="0" w:line="238" w:lineRule="auto"/>
        <w:rPr>
          <w:rFonts w:ascii="Arial" w:cs="Arial" w:eastAsia="Arial" w:hAnsi="Arial"/>
          <w:sz w:val="20"/>
          <w:szCs w:val="20"/>
          <w:b w:val="1"/>
          <w:bCs w:val="1"/>
          <w:color w:val="auto"/>
        </w:rPr>
      </w:pPr>
      <w:r>
        <w:rPr>
          <w:rFonts w:ascii="Arial" w:cs="Arial" w:eastAsia="Arial" w:hAnsi="Arial"/>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297" w:lineRule="exact"/>
        <w:rPr>
          <w:sz w:val="20"/>
          <w:szCs w:val="20"/>
          <w:color w:val="auto"/>
        </w:rPr>
      </w:pPr>
    </w:p>
    <w:p>
      <w:pPr>
        <w:ind w:left="11152"/>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98" w:right="239" w:bottom="1440" w:gutter="0" w:footer="0" w:header="0"/>
        </w:sectPr>
      </w:pPr>
    </w:p>
    <w:bookmarkStart w:id="248" w:name="page249"/>
    <w:bookmarkEnd w:id="248"/>
    <w:p>
      <w:pPr>
        <w:spacing w:after="0"/>
        <w:tabs>
          <w:tab w:leader="none" w:pos="6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20"/>
          <w:szCs w:val="20"/>
          <w:b w:val="1"/>
          <w:bCs w:val="1"/>
          <w:color w:val="auto"/>
        </w:rPr>
        <w:t>Directors' Interests</w:t>
      </w:r>
    </w:p>
    <w:p>
      <w:pPr>
        <w:spacing w:after="0" w:line="229"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18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188"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90"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62"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Minutes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62" w:lineRule="exact"/>
        <w:rPr>
          <w:rFonts w:ascii="Arial" w:cs="Arial" w:eastAsia="Arial" w:hAnsi="Arial"/>
          <w:sz w:val="20"/>
          <w:szCs w:val="20"/>
          <w:b w:val="1"/>
          <w:bCs w:val="1"/>
          <w:color w:val="auto"/>
        </w:rPr>
      </w:pPr>
    </w:p>
    <w:p>
      <w:pPr>
        <w:ind w:left="660" w:hanging="652"/>
        <w:spacing w:after="0"/>
        <w:tabs>
          <w:tab w:leader="none" w:pos="66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Delegation of Directors' Powers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The Directors may delegate any of their powers, authorities and discretions, including the power to sub-delegate, to any committee consisting of one or more Directors. Any such delegation may be made subject to any conditions the Directors may impose and either collaterally with or to the exclusion of their own powers and any such delegation may be revoked or altered by the</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9" w:name="page250"/>
    <w:bookmarkEnd w:id="249"/>
    <w:p>
      <w:pPr>
        <w:ind w:left="652"/>
        <w:spacing w:after="0" w:line="246" w:lineRule="auto"/>
        <w:rPr>
          <w:sz w:val="20"/>
          <w:szCs w:val="20"/>
          <w:color w:val="auto"/>
        </w:rPr>
      </w:pPr>
      <w:r>
        <w:rPr>
          <w:rFonts w:ascii="Arial" w:cs="Arial" w:eastAsia="Arial" w:hAnsi="Arial"/>
          <w:sz w:val="18"/>
          <w:szCs w:val="18"/>
          <w:color w:val="auto"/>
        </w:rPr>
        <w:t>Directors. Subject to any such conditions, the proceedings of a committee of Directors shall be governed by the Articles regulating the proceedings of Directors, so far as they are capable of applying.</w:t>
      </w:r>
    </w:p>
    <w:p>
      <w:pPr>
        <w:spacing w:after="0" w:line="183" w:lineRule="exact"/>
        <w:rPr>
          <w:sz w:val="20"/>
          <w:szCs w:val="20"/>
          <w:color w:val="auto"/>
        </w:rPr>
      </w:pPr>
    </w:p>
    <w:p>
      <w:pPr>
        <w:jc w:val="both"/>
        <w:ind w:left="652" w:hanging="647"/>
        <w:spacing w:after="0" w:line="237" w:lineRule="auto"/>
        <w:tabs>
          <w:tab w:leader="none" w:pos="632"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92" w:lineRule="exact"/>
        <w:rPr>
          <w:sz w:val="20"/>
          <w:szCs w:val="20"/>
          <w:color w:val="auto"/>
        </w:rPr>
      </w:pPr>
    </w:p>
    <w:p>
      <w:pPr>
        <w:jc w:val="both"/>
        <w:ind w:left="652" w:hanging="647"/>
        <w:spacing w:after="0"/>
        <w:tabs>
          <w:tab w:leader="none" w:pos="632"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89" w:lineRule="exact"/>
        <w:rPr>
          <w:sz w:val="20"/>
          <w:szCs w:val="20"/>
          <w:color w:val="auto"/>
        </w:rPr>
      </w:pPr>
    </w:p>
    <w:p>
      <w:pPr>
        <w:jc w:val="both"/>
        <w:ind w:left="652" w:hanging="647"/>
        <w:spacing w:after="0" w:line="237" w:lineRule="auto"/>
        <w:tabs>
          <w:tab w:leader="none" w:pos="632"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90" w:lineRule="exact"/>
        <w:rPr>
          <w:sz w:val="20"/>
          <w:szCs w:val="20"/>
          <w:color w:val="auto"/>
        </w:rPr>
      </w:pPr>
    </w:p>
    <w:p>
      <w:pPr>
        <w:jc w:val="both"/>
        <w:ind w:left="652" w:hanging="647"/>
        <w:spacing w:after="0" w:line="237" w:lineRule="auto"/>
        <w:tabs>
          <w:tab w:leader="none" w:pos="632"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8"/>
          <w:szCs w:val="18"/>
          <w:color w:val="auto"/>
        </w:rPr>
        <w:t>The Directors may appoint such officers of the Company (including, for the avoidance of doubt and without limitation, any chairman of the board of Directors, chief executive officer, president, chief operating officer, chief financial officer, vice-presidents, secretary, assistant secretary, treasurer or any other officers as may be determined by the Directors) as they consider necessary on such terms, at such remuneration and to perform such duties, and subject to such provisions as to disqualification and removal as 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w:t>
      </w:r>
    </w:p>
    <w:p>
      <w:pPr>
        <w:spacing w:after="0" w:line="163" w:lineRule="exact"/>
        <w:rPr>
          <w:sz w:val="20"/>
          <w:szCs w:val="20"/>
          <w:color w:val="auto"/>
        </w:rPr>
      </w:pPr>
    </w:p>
    <w:p>
      <w:pPr>
        <w:ind w:left="652" w:hanging="652"/>
        <w:spacing w:after="0"/>
        <w:tabs>
          <w:tab w:leader="none" w:pos="652"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No Minimum Shareholding</w:t>
      </w:r>
    </w:p>
    <w:p>
      <w:pPr>
        <w:spacing w:after="0" w:line="228" w:lineRule="exact"/>
        <w:rPr>
          <w:rFonts w:ascii="Arial" w:cs="Arial" w:eastAsia="Arial" w:hAnsi="Arial"/>
          <w:sz w:val="20"/>
          <w:szCs w:val="20"/>
          <w:b w:val="1"/>
          <w:bCs w:val="1"/>
          <w:color w:val="auto"/>
        </w:rPr>
      </w:pPr>
    </w:p>
    <w:p>
      <w:pPr>
        <w:ind w:left="652"/>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291" w:lineRule="exact"/>
        <w:rPr>
          <w:sz w:val="20"/>
          <w:szCs w:val="20"/>
          <w:color w:val="auto"/>
        </w:rPr>
      </w:pPr>
    </w:p>
    <w:p>
      <w:pPr>
        <w:ind w:left="1115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98" w:right="239" w:bottom="1440" w:gutter="0" w:footer="0" w:header="0"/>
        </w:sectPr>
      </w:pPr>
    </w:p>
    <w:bookmarkStart w:id="250" w:name="page251"/>
    <w:bookmarkEnd w:id="250"/>
    <w:p>
      <w:pPr>
        <w:spacing w:after="0"/>
        <w:tabs>
          <w:tab w:leader="none" w:pos="64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20"/>
          <w:szCs w:val="20"/>
          <w:b w:val="1"/>
          <w:bCs w:val="1"/>
          <w:color w:val="auto"/>
        </w:rPr>
        <w:t>Remuneration of Directors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The remuneration to be paid to the Directors, if any, shall be such remuneration as the Directors shall determine, provided that no cash remuneration shall be paid by the Company to any Director prior to the consummation of a Business Combination. The Directors shall also, whether prior to or after the consummation of a Business Combination,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90"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20"/>
          <w:szCs w:val="20"/>
          <w:b w:val="1"/>
          <w:bCs w:val="1"/>
          <w:color w:val="auto"/>
        </w:rPr>
        <w:t>Seal</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39</w:t>
      </w:r>
      <w:r>
        <w:rPr>
          <w:sz w:val="20"/>
          <w:szCs w:val="20"/>
          <w:color w:val="auto"/>
        </w:rPr>
        <w:tab/>
      </w:r>
      <w:r>
        <w:rPr>
          <w:rFonts w:ascii="Arial" w:cs="Arial" w:eastAsia="Arial" w:hAnsi="Arial"/>
          <w:sz w:val="20"/>
          <w:szCs w:val="20"/>
          <w:b w:val="1"/>
          <w:bCs w:val="1"/>
          <w:color w:val="auto"/>
        </w:rPr>
        <w:t>Dividends, Distributions and Reserve</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51" w:name="page252"/>
    <w:bookmarkEnd w:id="251"/>
    <w:p>
      <w:pPr>
        <w:ind w:left="660" w:right="20"/>
        <w:spacing w:after="0" w:line="246" w:lineRule="auto"/>
        <w:rPr>
          <w:sz w:val="20"/>
          <w:szCs w:val="20"/>
          <w:color w:val="auto"/>
        </w:rPr>
      </w:pPr>
      <w:r>
        <w:rPr>
          <w:rFonts w:ascii="Arial" w:cs="Arial" w:eastAsia="Arial" w:hAnsi="Arial"/>
          <w:sz w:val="18"/>
          <w:szCs w:val="18"/>
          <w:color w:val="auto"/>
        </w:rPr>
        <w:t>shall be paid except out of the realised or unrealised profits of the Company, out of the share premium account or as otherwise permitted by law.</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The Directors may deduct from any Dividend or other distribution payable to any Member all sums of money (if any) then payable by him to the Company on account of calls or otherwise.</w:t>
      </w:r>
    </w:p>
    <w:p>
      <w:pPr>
        <w:spacing w:after="0" w:line="183"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92"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39.5</w:t>
      </w:r>
      <w:r>
        <w:rPr>
          <w:sz w:val="20"/>
          <w:szCs w:val="20"/>
          <w:color w:val="auto"/>
        </w:rPr>
        <w:tab/>
      </w:r>
      <w:r>
        <w:rPr>
          <w:rFonts w:ascii="Arial" w:cs="Arial" w:eastAsia="Arial" w:hAnsi="Arial"/>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39.6</w:t>
      </w:r>
      <w:r>
        <w:rPr>
          <w:sz w:val="20"/>
          <w:szCs w:val="20"/>
          <w:color w:val="auto"/>
        </w:rPr>
        <w:tab/>
      </w:r>
      <w:r>
        <w:rPr>
          <w:rFonts w:ascii="Arial" w:cs="Arial" w:eastAsia="Arial" w:hAnsi="Arial"/>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39.7</w:t>
      </w:r>
      <w:r>
        <w:rPr>
          <w:sz w:val="20"/>
          <w:szCs w:val="20"/>
          <w:color w:val="auto"/>
        </w:rPr>
        <w:tab/>
      </w:r>
      <w:r>
        <w:rPr>
          <w:rFonts w:ascii="Arial" w:cs="Arial" w:eastAsia="Arial" w:hAnsi="Arial"/>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7"/>
          <w:szCs w:val="17"/>
          <w:color w:val="auto"/>
        </w:rPr>
        <w:t>No Dividend or other distribution shall bear interest against the Company.</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39.9</w:t>
      </w:r>
      <w:r>
        <w:rPr>
          <w:sz w:val="20"/>
          <w:szCs w:val="20"/>
          <w:color w:val="auto"/>
        </w:rPr>
        <w:tab/>
      </w:r>
      <w:r>
        <w:rPr>
          <w:rFonts w:ascii="Arial" w:cs="Arial" w:eastAsia="Arial" w:hAnsi="Arial"/>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2" w:name="page253"/>
    <w:bookmarkEnd w:id="252"/>
    <w:p>
      <w:pPr>
        <w:jc w:val="both"/>
        <w:ind w:left="652"/>
        <w:spacing w:after="0"/>
        <w:rPr>
          <w:sz w:val="20"/>
          <w:szCs w:val="20"/>
          <w:color w:val="auto"/>
        </w:rPr>
      </w:pPr>
      <w:r>
        <w:rPr>
          <w:rFonts w:ascii="Arial" w:cs="Arial" w:eastAsia="Arial" w:hAnsi="Arial"/>
          <w:sz w:val="18"/>
          <w:szCs w:val="18"/>
          <w:color w:val="auto"/>
        </w:rPr>
        <w:t>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63" w:lineRule="exact"/>
        <w:rPr>
          <w:sz w:val="20"/>
          <w:szCs w:val="20"/>
          <w:color w:val="auto"/>
        </w:rPr>
      </w:pPr>
    </w:p>
    <w:p>
      <w:pPr>
        <w:ind w:left="652" w:hanging="652"/>
        <w:spacing w:after="0"/>
        <w:tabs>
          <w:tab w:leader="none" w:pos="652"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Capitalisation</w:t>
      </w:r>
    </w:p>
    <w:p>
      <w:pPr>
        <w:spacing w:after="0" w:line="228" w:lineRule="exact"/>
        <w:rPr>
          <w:rFonts w:ascii="Arial" w:cs="Arial" w:eastAsia="Arial" w:hAnsi="Arial"/>
          <w:sz w:val="20"/>
          <w:szCs w:val="20"/>
          <w:b w:val="1"/>
          <w:bCs w:val="1"/>
          <w:color w:val="auto"/>
        </w:rPr>
      </w:pPr>
    </w:p>
    <w:p>
      <w:pPr>
        <w:jc w:val="both"/>
        <w:ind w:left="652"/>
        <w:spacing w:after="0" w:line="236" w:lineRule="auto"/>
        <w:rPr>
          <w:rFonts w:ascii="Arial" w:cs="Arial" w:eastAsia="Arial" w:hAnsi="Arial"/>
          <w:sz w:val="20"/>
          <w:szCs w:val="20"/>
          <w:b w:val="1"/>
          <w:bCs w:val="1"/>
          <w:color w:val="auto"/>
        </w:rPr>
      </w:pPr>
      <w:r>
        <w:rPr>
          <w:rFonts w:ascii="Arial" w:cs="Arial" w:eastAsia="Arial" w:hAnsi="Arial"/>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65" w:lineRule="exact"/>
        <w:rPr>
          <w:rFonts w:ascii="Arial" w:cs="Arial" w:eastAsia="Arial" w:hAnsi="Arial"/>
          <w:sz w:val="20"/>
          <w:szCs w:val="20"/>
          <w:b w:val="1"/>
          <w:bCs w:val="1"/>
          <w:color w:val="auto"/>
        </w:rPr>
      </w:pPr>
    </w:p>
    <w:p>
      <w:pPr>
        <w:ind w:left="652" w:hanging="652"/>
        <w:spacing w:after="0"/>
        <w:tabs>
          <w:tab w:leader="none" w:pos="652"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Books of Account</w:t>
      </w:r>
    </w:p>
    <w:p>
      <w:pPr>
        <w:spacing w:after="0" w:line="229" w:lineRule="exact"/>
        <w:rPr>
          <w:sz w:val="20"/>
          <w:szCs w:val="20"/>
          <w:color w:val="auto"/>
        </w:rPr>
      </w:pPr>
    </w:p>
    <w:p>
      <w:pPr>
        <w:jc w:val="both"/>
        <w:ind w:left="652" w:hanging="647"/>
        <w:spacing w:after="0" w:line="237" w:lineRule="auto"/>
        <w:tabs>
          <w:tab w:leader="none" w:pos="63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92"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8"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291" w:lineRule="exact"/>
        <w:rPr>
          <w:sz w:val="20"/>
          <w:szCs w:val="20"/>
          <w:color w:val="auto"/>
        </w:rPr>
      </w:pPr>
    </w:p>
    <w:p>
      <w:pPr>
        <w:ind w:left="11152"/>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98" w:right="239" w:bottom="1440" w:gutter="0" w:footer="0" w:header="0"/>
        </w:sectPr>
      </w:pPr>
    </w:p>
    <w:bookmarkStart w:id="253" w:name="page254"/>
    <w:bookmarkEnd w:id="253"/>
    <w:p>
      <w:pPr>
        <w:spacing w:after="0"/>
        <w:tabs>
          <w:tab w:leader="none" w:pos="6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20"/>
          <w:szCs w:val="20"/>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7"/>
          <w:szCs w:val="17"/>
          <w:color w:val="auto"/>
        </w:rPr>
        <w:t>The Directors may appoint an Auditor of the Company who shall hold office on such terms as the Directors determine.</w:t>
      </w:r>
    </w:p>
    <w:p>
      <w:pPr>
        <w:spacing w:after="0" w:line="198"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7"/>
          <w:szCs w:val="17"/>
          <w:color w:val="auto"/>
        </w:rPr>
        <w:t>The remuneration of the Auditor shall be fixed by the Audit Committee (if one exists).</w:t>
      </w:r>
    </w:p>
    <w:p>
      <w:pPr>
        <w:spacing w:after="0" w:line="198" w:lineRule="exact"/>
        <w:rPr>
          <w:sz w:val="20"/>
          <w:szCs w:val="20"/>
          <w:color w:val="auto"/>
        </w:rPr>
      </w:pPr>
    </w:p>
    <w:p>
      <w:pPr>
        <w:jc w:val="both"/>
        <w:ind w:left="660" w:right="20" w:hanging="647"/>
        <w:spacing w:after="0"/>
        <w:tabs>
          <w:tab w:leader="none" w:pos="64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20"/>
          <w:szCs w:val="20"/>
          <w:b w:val="1"/>
          <w:bCs w:val="1"/>
          <w:color w:val="auto"/>
        </w:rPr>
        <w:t>Notices</w:t>
      </w:r>
    </w:p>
    <w:p>
      <w:pPr>
        <w:spacing w:after="0" w:line="22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in accordance with the requirements of the Designated Stock Exchange.</w:t>
      </w:r>
    </w:p>
    <w:p>
      <w:pPr>
        <w:spacing w:after="0" w:line="296"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54" w:name="page255"/>
    <w:bookmarkEnd w:id="254"/>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193"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92"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20"/>
          <w:szCs w:val="20"/>
          <w:b w:val="1"/>
          <w:bCs w:val="1"/>
          <w:color w:val="auto"/>
        </w:rPr>
        <w:t>Winding Up</w:t>
      </w:r>
    </w:p>
    <w:p>
      <w:pPr>
        <w:spacing w:after="0" w:line="229"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83" w:lineRule="exact"/>
        <w:rPr>
          <w:sz w:val="20"/>
          <w:szCs w:val="20"/>
          <w:color w:val="auto"/>
        </w:rPr>
      </w:pPr>
    </w:p>
    <w:p>
      <w:pPr>
        <w:jc w:val="both"/>
        <w:ind w:left="1300" w:hanging="644"/>
        <w:spacing w:after="0"/>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5" w:name="page256"/>
    <w:bookmarkEnd w:id="255"/>
    <w:p>
      <w:pPr>
        <w:ind w:left="1300"/>
        <w:spacing w:after="0" w:line="246" w:lineRule="auto"/>
        <w:rPr>
          <w:sz w:val="20"/>
          <w:szCs w:val="20"/>
          <w:color w:val="auto"/>
        </w:rPr>
      </w:pPr>
      <w:r>
        <w:rPr>
          <w:rFonts w:ascii="Arial" w:cs="Arial" w:eastAsia="Arial" w:hAnsi="Arial"/>
          <w:sz w:val="18"/>
          <w:szCs w:val="18"/>
          <w:color w:val="auto"/>
        </w:rPr>
        <w:t>value of the Shares held by them at the commencement of the winding up subject to a deduction from those Shares in respect of which there are monies due, of all monies payable to the Company for unpaid calls or otherwise.</w:t>
      </w:r>
    </w:p>
    <w:p>
      <w:pPr>
        <w:spacing w:after="0" w:line="183"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20"/>
          <w:szCs w:val="20"/>
          <w:b w:val="1"/>
          <w:bCs w:val="1"/>
          <w:color w:val="auto"/>
        </w:rPr>
        <w:t>Indemnity and Insurance</w:t>
      </w:r>
    </w:p>
    <w:p>
      <w:pPr>
        <w:spacing w:after="0" w:line="22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Every Director and officer of the Company (which for the avoidance of doubt, shall not include auditors of the Company), together with every former Director and former officer of the Company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194"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95"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8"/>
          <w:szCs w:val="18"/>
          <w:color w:val="auto"/>
        </w:rPr>
        <w:t>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6" w:name="page257"/>
    <w:bookmarkEnd w:id="256"/>
    <w:p>
      <w:pPr>
        <w:ind w:left="660" w:hanging="652"/>
        <w:spacing w:after="0"/>
        <w:tabs>
          <w:tab w:leader="none" w:pos="66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Year</w:t>
      </w:r>
    </w:p>
    <w:p>
      <w:pPr>
        <w:spacing w:after="0" w:line="228"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Transfer by Way of Continuation</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62" w:lineRule="exact"/>
        <w:rPr>
          <w:rFonts w:ascii="Arial" w:cs="Arial" w:eastAsia="Arial" w:hAnsi="Arial"/>
          <w:sz w:val="20"/>
          <w:szCs w:val="20"/>
          <w:b w:val="1"/>
          <w:bCs w:val="1"/>
          <w:color w:val="auto"/>
        </w:rPr>
      </w:pPr>
    </w:p>
    <w:p>
      <w:pPr>
        <w:ind w:left="660" w:hanging="652"/>
        <w:spacing w:after="0"/>
        <w:tabs>
          <w:tab w:leader="none" w:pos="66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Mergers and Consolidations</w:t>
      </w:r>
    </w:p>
    <w:p>
      <w:pPr>
        <w:spacing w:after="0" w:line="228"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8"/>
          <w:szCs w:val="18"/>
          <w:color w:val="auto"/>
        </w:rPr>
        <w:t>Notwithstanding any other provision of the Articles, this Article shall apply during the period commencing upon the adoption of the Articles and terminating upon the first to occur of the consummation of any Business Combination and the distribution of the Trust Fund pursuant to this Article. In the event of a conflict between this Article and any other Articles, the provisions of this Article shall prevail.</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7"/>
          <w:szCs w:val="17"/>
          <w:color w:val="auto"/>
        </w:rPr>
        <w:t>Prior to the consummation of any Business Combination, the Company shall either:</w:t>
      </w:r>
    </w:p>
    <w:p>
      <w:pPr>
        <w:spacing w:after="0" w:line="198" w:lineRule="exact"/>
        <w:rPr>
          <w:sz w:val="20"/>
          <w:szCs w:val="20"/>
          <w:color w:val="auto"/>
        </w:rPr>
      </w:pPr>
    </w:p>
    <w:p>
      <w:pPr>
        <w:ind w:left="1300" w:hanging="644"/>
        <w:spacing w:after="0"/>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submit such Business Combination to its Members for approval; or</w:t>
      </w:r>
    </w:p>
    <w:p>
      <w:pPr>
        <w:spacing w:after="0" w:line="198" w:lineRule="exact"/>
        <w:rPr>
          <w:rFonts w:ascii="Arial" w:cs="Arial" w:eastAsia="Arial" w:hAnsi="Arial"/>
          <w:sz w:val="18"/>
          <w:szCs w:val="18"/>
          <w:color w:val="auto"/>
        </w:rPr>
      </w:pPr>
    </w:p>
    <w:p>
      <w:pPr>
        <w:jc w:val="both"/>
        <w:ind w:left="1300" w:hanging="644"/>
        <w:spacing w:after="0" w:line="237" w:lineRule="auto"/>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provide Members with the opportunity to have their Shares repurchased by means of a tender offer for a per-Share repurchase price payable in cash, equal to the aggregate amount then on deposit in the Trust Fund, calculated as of two business days prior to the consummation of the Business Combination, including interest earned on the Trust Fund (net of taxes payable, if any), divided by the number of then issued Public Shares, provided that the Company shall not repurchase Public Shares in an amount that would cause the Company's net tangible assets to be less than US$5,000,001 upon consummation of any Business Combination.</w:t>
      </w:r>
    </w:p>
    <w:p>
      <w:pPr>
        <w:spacing w:after="0" w:line="192"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8"/>
          <w:szCs w:val="18"/>
          <w:color w:val="auto"/>
        </w:rPr>
        <w:t>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 If, alternatively, the Company holds a Member vote to approve a proposed Business Combination, the Company will conduct any</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57" w:name="page258"/>
    <w:bookmarkEnd w:id="257"/>
    <w:p>
      <w:pPr>
        <w:ind w:left="660"/>
        <w:spacing w:after="0" w:line="246" w:lineRule="auto"/>
        <w:rPr>
          <w:sz w:val="20"/>
          <w:szCs w:val="20"/>
          <w:color w:val="auto"/>
        </w:rPr>
      </w:pPr>
      <w:r>
        <w:rPr>
          <w:rFonts w:ascii="Arial" w:cs="Arial" w:eastAsia="Arial" w:hAnsi="Arial"/>
          <w:sz w:val="18"/>
          <w:szCs w:val="18"/>
          <w:color w:val="auto"/>
        </w:rPr>
        <w:t>redemptions in conjunction with a proxy solicitation pursuant to Regulation 14A of the Exchange Act, and not pursuant to the tender offer rules, and file proxy materials with the SEC.</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8"/>
          <w:szCs w:val="18"/>
          <w:color w:val="auto"/>
        </w:rPr>
        <w:t>At a general meeting called for the purposes of approving a Business Combination pursuant to this Article, in the event that a Business Combination is approved by Ordinary Resolution, the Company shall be authorised to consummate a Business Combination, provided that the Company shall not consummate any Business Combination unless the Company has net tangible assets of at least US$5,000,001 upon such consummation, or any greater net tangible asset or cash requirement that may be contained in the agreement relating to, a Business Combination.</w:t>
      </w:r>
    </w:p>
    <w:p>
      <w:pPr>
        <w:spacing w:after="0" w:line="18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8"/>
          <w:szCs w:val="18"/>
          <w:color w:val="auto"/>
        </w:rPr>
        <w:t>Any Member holding Public Shares who is not a Founder, officer of the Company or Director may, in connection with any vote on a Business Combination, elect to have their Public Shares redeemed for cash (the "</w:t>
      </w:r>
      <w:r>
        <w:rPr>
          <w:rFonts w:ascii="Arial" w:cs="Arial" w:eastAsia="Arial" w:hAnsi="Arial"/>
          <w:sz w:val="18"/>
          <w:szCs w:val="18"/>
          <w:b w:val="1"/>
          <w:bCs w:val="1"/>
          <w:color w:val="auto"/>
        </w:rPr>
        <w:t>IPO Redemption</w:t>
      </w:r>
      <w:r>
        <w:rPr>
          <w:rFonts w:ascii="Arial" w:cs="Arial" w:eastAsia="Arial" w:hAnsi="Arial"/>
          <w:sz w:val="18"/>
          <w:szCs w:val="18"/>
          <w:color w:val="auto"/>
        </w:rPr>
        <w:t>"), provided that no such Member acting together with any affiliate of his or any other person with whom he is acting in concert or as a partnership, limited partnership, syndicate, or other group for the purposes of acquiring, holding, or disposing of Shares may exercise this redemption right with respect to more than 15 per cent of the Public Shares in the aggregate without the prior consent of the Company. If so demanded, the Company shall pay any such redeeming Member, regardless of whether he is voting for or against such proposed Business Combination, a per-Share redemption price payable in cash, equal to the aggregate amount then on deposit in the Trust Fund calculated as of two business days prior to the consummation of the Business Combination, including interest (which interest shall be net of taxes payable), divided by the number of then issued Public Shares (such redemption price being referred to herein as the "</w:t>
      </w:r>
      <w:r>
        <w:rPr>
          <w:rFonts w:ascii="Arial" w:cs="Arial" w:eastAsia="Arial" w:hAnsi="Arial"/>
          <w:sz w:val="18"/>
          <w:szCs w:val="18"/>
          <w:b w:val="1"/>
          <w:bCs w:val="1"/>
          <w:color w:val="auto"/>
        </w:rPr>
        <w:t>Redemption Price</w:t>
      </w:r>
      <w:r>
        <w:rPr>
          <w:rFonts w:ascii="Arial" w:cs="Arial" w:eastAsia="Arial" w:hAnsi="Arial"/>
          <w:sz w:val="18"/>
          <w:szCs w:val="18"/>
          <w:color w:val="auto"/>
        </w:rPr>
        <w:t>"). The Company shall not redeem Public Shares that would cause the Company’s net tangible assets to be less than US$5,000,001 (the “</w:t>
      </w:r>
      <w:r>
        <w:rPr>
          <w:rFonts w:ascii="Arial" w:cs="Arial" w:eastAsia="Arial" w:hAnsi="Arial"/>
          <w:sz w:val="18"/>
          <w:szCs w:val="18"/>
          <w:b w:val="1"/>
          <w:bCs w:val="1"/>
          <w:color w:val="auto"/>
        </w:rPr>
        <w:t>Redemption Limitation</w:t>
      </w:r>
      <w:r>
        <w:rPr>
          <w:rFonts w:ascii="Arial" w:cs="Arial" w:eastAsia="Arial" w:hAnsi="Arial"/>
          <w:sz w:val="18"/>
          <w:szCs w:val="18"/>
          <w:color w:val="auto"/>
        </w:rPr>
        <w: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49.6</w:t>
      </w:r>
      <w:r>
        <w:rPr>
          <w:sz w:val="20"/>
          <w:szCs w:val="20"/>
          <w:color w:val="auto"/>
        </w:rPr>
        <w:tab/>
      </w:r>
      <w:r>
        <w:rPr>
          <w:rFonts w:ascii="Arial" w:cs="Arial" w:eastAsia="Arial" w:hAnsi="Arial"/>
          <w:sz w:val="17"/>
          <w:szCs w:val="17"/>
          <w:color w:val="auto"/>
        </w:rPr>
        <w:t>In the event that:</w:t>
      </w:r>
    </w:p>
    <w:p>
      <w:pPr>
        <w:spacing w:after="0" w:line="198" w:lineRule="exact"/>
        <w:rPr>
          <w:sz w:val="20"/>
          <w:szCs w:val="20"/>
          <w:color w:val="auto"/>
        </w:rPr>
      </w:pPr>
    </w:p>
    <w:p>
      <w:pPr>
        <w:jc w:val="both"/>
        <w:ind w:left="1300" w:hanging="644"/>
        <w:spacing w:after="0" w:line="236" w:lineRule="auto"/>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does not consummate a Business Combination by 24 months from the consummation of the IPO, the Company shall: (i) cease all operations except for the purpose of winding up; (ii) as promptly as reasonably possible but not more than ten business days thereafter, redeem the Public Shares, at a per-Share price, payable in cash, equal to the aggregate amount then on deposit in the Trust Fund, including interest (less up to US$100,000 of interest to pay dissolution expenses, and which interest shall be net of taxes payable), divided by the number of then Public Shares in issue, which redemption will completely extinguish public Members' rights as Members (including the right to receive further liquidation distributions, if any); and (iii) as promptly as reasonably possible following such redemption, subject to the approval of the Company's remaining Members and the Directors, liquidate and dissolve, subject to its obligations under Cayman Islands law to provide for claims of creditors and other requirements of applicable law; and</w:t>
      </w:r>
    </w:p>
    <w:p>
      <w:pPr>
        <w:spacing w:after="0" w:line="193" w:lineRule="exact"/>
        <w:rPr>
          <w:rFonts w:ascii="Arial" w:cs="Arial" w:eastAsia="Arial" w:hAnsi="Arial"/>
          <w:sz w:val="18"/>
          <w:szCs w:val="18"/>
          <w:color w:val="auto"/>
        </w:rPr>
      </w:pPr>
    </w:p>
    <w:p>
      <w:pPr>
        <w:jc w:val="both"/>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any amendment is made to this Article (i) that would modify the substance or timing of the Company's obligation to (x) provide for the redemption of the Public Shares in connection with a Business Combination or (y) redeem 100 per cent of the Public Shares</w:t>
      </w:r>
    </w:p>
    <w:p>
      <w:pPr>
        <w:spacing w:after="0" w:line="297" w:lineRule="exact"/>
        <w:rPr>
          <w:sz w:val="20"/>
          <w:szCs w:val="20"/>
          <w:color w:val="auto"/>
        </w:rPr>
      </w:pPr>
    </w:p>
    <w:p>
      <w:pPr>
        <w:ind w:left="11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8" w:name="page259"/>
    <w:bookmarkEnd w:id="258"/>
    <w:p>
      <w:pPr>
        <w:ind w:left="640"/>
        <w:spacing w:after="0"/>
        <w:rPr>
          <w:sz w:val="20"/>
          <w:szCs w:val="20"/>
          <w:color w:val="auto"/>
        </w:rPr>
      </w:pPr>
      <w:r>
        <w:rPr>
          <w:rFonts w:ascii="Arial" w:cs="Arial" w:eastAsia="Arial" w:hAnsi="Arial"/>
          <w:sz w:val="18"/>
          <w:szCs w:val="18"/>
          <w:color w:val="auto"/>
        </w:rPr>
        <w:t>if the Company has not consummated an initial Business Combination within 24 months from the consummation of the IPO or</w:t>
      </w:r>
    </w:p>
    <w:p>
      <w:pPr>
        <w:jc w:val="both"/>
        <w:ind w:left="640" w:firstLine="5"/>
        <w:spacing w:after="0" w:line="237" w:lineRule="auto"/>
        <w:tabs>
          <w:tab w:leader="none" w:pos="91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respect to any other provision relating to Members’ rights or pre-initial Business combination Activity, including any amendment to Article 49.10 or 49.11, each holder of Public Shares who is not a Founder, officer of the Company or Director shall be provided with the opportunity to redeem their Public Shares upon the approval of any such amendment at a per-Share price, payable in cash, equal to the aggregate amount then on deposit in the Trust Fund, including interest (which interest shall be net of taxes payable), divided by the number of then outstanding Public Shares. The Company’s ability to provide such redemption in this Article is subject to the Redemption Limitation.</w:t>
      </w:r>
    </w:p>
    <w:p>
      <w:pPr>
        <w:spacing w:after="0" w:line="192" w:lineRule="exact"/>
        <w:rPr>
          <w:sz w:val="20"/>
          <w:szCs w:val="20"/>
          <w:color w:val="auto"/>
        </w:rPr>
      </w:pPr>
    </w:p>
    <w:p>
      <w:pPr>
        <w:jc w:val="both"/>
        <w:ind w:hanging="647"/>
        <w:spacing w:after="0"/>
        <w:rPr>
          <w:sz w:val="20"/>
          <w:szCs w:val="20"/>
          <w:color w:val="auto"/>
        </w:rPr>
      </w:pPr>
      <w:r>
        <w:rPr>
          <w:rFonts w:ascii="Arial" w:cs="Arial" w:eastAsia="Arial" w:hAnsi="Arial"/>
          <w:sz w:val="18"/>
          <w:szCs w:val="18"/>
          <w:color w:val="auto"/>
        </w:rPr>
        <w:t>49.7</w:t>
      </w:r>
      <w:r>
        <w:rPr>
          <w:sz w:val="20"/>
          <w:szCs w:val="20"/>
          <w:color w:val="auto"/>
        </w:rPr>
        <w:t xml:space="preserve"> </w:t>
      </w:r>
      <w:r>
        <w:rPr>
          <w:rFonts w:ascii="Arial" w:cs="Arial" w:eastAsia="Arial" w:hAnsi="Arial"/>
          <w:sz w:val="18"/>
          <w:szCs w:val="18"/>
          <w:color w:val="auto"/>
        </w:rPr>
        <w:t>A holder of Public Shares shall be entitled to receive distributions from the Trust Fund only in the event of an IPO Redemption, a repurchase of Shares by means of a tender offer pursuant to this Article, or a distribution of the Trust Fund pursuant to this Article. In no other circumstance shall a holder of Public Shares have any right or interest of any kind in the Trust Fund.</w:t>
      </w:r>
    </w:p>
    <w:p>
      <w:pPr>
        <w:spacing w:after="0" w:line="189" w:lineRule="exact"/>
        <w:rPr>
          <w:sz w:val="20"/>
          <w:szCs w:val="20"/>
          <w:color w:val="auto"/>
        </w:rPr>
      </w:pPr>
    </w:p>
    <w:p>
      <w:pPr>
        <w:jc w:val="both"/>
        <w:ind w:hanging="647"/>
        <w:spacing w:after="0" w:line="239" w:lineRule="auto"/>
        <w:rPr>
          <w:sz w:val="20"/>
          <w:szCs w:val="20"/>
          <w:color w:val="auto"/>
        </w:rPr>
      </w:pPr>
      <w:r>
        <w:rPr>
          <w:rFonts w:ascii="Arial" w:cs="Arial" w:eastAsia="Arial" w:hAnsi="Arial"/>
          <w:sz w:val="18"/>
          <w:szCs w:val="18"/>
          <w:color w:val="auto"/>
        </w:rPr>
        <w:t>49.8</w:t>
      </w:r>
      <w:r>
        <w:rPr>
          <w:sz w:val="20"/>
          <w:szCs w:val="20"/>
          <w:color w:val="auto"/>
        </w:rPr>
        <w:t xml:space="preserve"> </w:t>
      </w:r>
      <w:r>
        <w:rPr>
          <w:rFonts w:ascii="Arial" w:cs="Arial" w:eastAsia="Arial" w:hAnsi="Arial"/>
          <w:sz w:val="18"/>
          <w:szCs w:val="18"/>
          <w:color w:val="auto"/>
        </w:rPr>
        <w:t>After the issue of Public Shares, and prior to the consummation of a Business Combination, the Directors shall not issue additional Shares or any other securities that would entitle the holders thereof to (i) receive funds from the Trust Fund or (ii) vote as a class with Public Shares (a) on any Business Combination or (b) to approve an amendment to the Articles to (x) extend the 24 month limits in this Article 49 or (y) amend this Article 49.8.</w:t>
      </w:r>
    </w:p>
    <w:p>
      <w:pPr>
        <w:spacing w:after="0" w:line="188" w:lineRule="exact"/>
        <w:rPr>
          <w:sz w:val="20"/>
          <w:szCs w:val="20"/>
          <w:color w:val="auto"/>
        </w:rPr>
      </w:pPr>
    </w:p>
    <w:p>
      <w:pPr>
        <w:jc w:val="both"/>
        <w:ind w:hanging="647"/>
        <w:spacing w:after="0" w:line="246" w:lineRule="auto"/>
        <w:rPr>
          <w:sz w:val="20"/>
          <w:szCs w:val="20"/>
          <w:color w:val="auto"/>
        </w:rPr>
      </w:pPr>
      <w:r>
        <w:rPr>
          <w:rFonts w:ascii="Arial" w:cs="Arial" w:eastAsia="Arial" w:hAnsi="Arial"/>
          <w:sz w:val="18"/>
          <w:szCs w:val="18"/>
          <w:color w:val="auto"/>
        </w:rPr>
        <w:t>49.9</w:t>
      </w:r>
      <w:r>
        <w:rPr>
          <w:sz w:val="20"/>
          <w:szCs w:val="20"/>
          <w:color w:val="auto"/>
        </w:rPr>
        <w:t xml:space="preserve"> </w:t>
      </w:r>
      <w:r>
        <w:rPr>
          <w:rFonts w:ascii="Arial" w:cs="Arial" w:eastAsia="Arial" w:hAnsi="Arial"/>
          <w:sz w:val="18"/>
          <w:szCs w:val="18"/>
          <w:color w:val="auto"/>
        </w:rPr>
        <w:t>A Director may vote in respect of any Business Combination in which such Director has a conflict of interest with respect to the evaluation of such Business Combination. Such Director must disclose such interest or conflict to the other Directors.</w:t>
      </w:r>
    </w:p>
    <w:p>
      <w:pPr>
        <w:spacing w:after="0" w:line="183" w:lineRule="exact"/>
        <w:rPr>
          <w:sz w:val="20"/>
          <w:szCs w:val="20"/>
          <w:color w:val="auto"/>
        </w:rPr>
      </w:pPr>
    </w:p>
    <w:p>
      <w:pPr>
        <w:jc w:val="both"/>
        <w:ind w:hanging="647"/>
        <w:spacing w:after="0" w:line="238" w:lineRule="auto"/>
        <w:rPr>
          <w:sz w:val="20"/>
          <w:szCs w:val="20"/>
          <w:color w:val="auto"/>
        </w:rPr>
      </w:pPr>
      <w:r>
        <w:rPr>
          <w:rFonts w:ascii="Arial" w:cs="Arial" w:eastAsia="Arial" w:hAnsi="Arial"/>
          <w:sz w:val="18"/>
          <w:szCs w:val="18"/>
          <w:color w:val="auto"/>
        </w:rPr>
        <w:t>49.10</w:t>
      </w:r>
      <w:r>
        <w:rPr>
          <w:sz w:val="20"/>
          <w:szCs w:val="20"/>
          <w:color w:val="auto"/>
        </w:rPr>
        <w:t xml:space="preserve"> </w:t>
      </w:r>
      <w:r>
        <w:rPr>
          <w:rFonts w:ascii="Arial" w:cs="Arial" w:eastAsia="Arial" w:hAnsi="Arial"/>
          <w:sz w:val="18"/>
          <w:szCs w:val="18"/>
          <w:color w:val="auto"/>
        </w:rPr>
        <w:t>In the event the Company’s units are listed on the Nasdaq Capital Market, the Company’s initial Business Combinations must be with one or more operating businesses or assets with an aggregate fair market value of at least 80 per cent of the assets held in the Trust Fund (excluding the amount of deferred underwriting discounts held in the Trust Fund and taxes payable on the income earned on the Trust Fund) at the time of the Company's signing a definitive agreement in connection with the Business Combination. An initial Business Combination must not be effectuated with another blank cheque company or a similar company with nominal operations.</w:t>
      </w:r>
    </w:p>
    <w:p>
      <w:pPr>
        <w:spacing w:after="0" w:line="189" w:lineRule="exact"/>
        <w:rPr>
          <w:sz w:val="20"/>
          <w:szCs w:val="20"/>
          <w:color w:val="auto"/>
        </w:rPr>
      </w:pPr>
    </w:p>
    <w:p>
      <w:pPr>
        <w:jc w:val="both"/>
        <w:ind w:hanging="647"/>
        <w:spacing w:after="0" w:line="238" w:lineRule="auto"/>
        <w:rPr>
          <w:sz w:val="20"/>
          <w:szCs w:val="20"/>
          <w:color w:val="auto"/>
        </w:rPr>
      </w:pPr>
      <w:r>
        <w:rPr>
          <w:rFonts w:ascii="Arial" w:cs="Arial" w:eastAsia="Arial" w:hAnsi="Arial"/>
          <w:sz w:val="18"/>
          <w:szCs w:val="18"/>
          <w:color w:val="auto"/>
        </w:rPr>
        <w:t>49.11</w:t>
      </w:r>
      <w:r>
        <w:rPr>
          <w:sz w:val="20"/>
          <w:szCs w:val="20"/>
          <w:color w:val="auto"/>
        </w:rPr>
        <w:t xml:space="preserve"> </w:t>
      </w:r>
      <w:r>
        <w:rPr>
          <w:rFonts w:ascii="Arial" w:cs="Arial" w:eastAsia="Arial" w:hAnsi="Arial"/>
          <w:sz w:val="18"/>
          <w:szCs w:val="18"/>
          <w:color w:val="auto"/>
        </w:rPr>
        <w:t>In the event the Company enters into a Business Combination with a target business in the cannabis industry, the Company’s board of Directors must determine that such target business is compliant with all applicable laws and regulations within the jurisdictions in which they are located or operate. The Company will not invest in, or consummate a Business Combination with, a target business that the Company’s board of Directors determines has been operating, or whose business plan is to operate, in violation of U.S. federal laws, including the U.S. Controlled Substances Act.</w:t>
      </w:r>
    </w:p>
    <w:p>
      <w:pPr>
        <w:spacing w:after="0" w:line="189" w:lineRule="exact"/>
        <w:rPr>
          <w:sz w:val="20"/>
          <w:szCs w:val="20"/>
          <w:color w:val="auto"/>
        </w:rPr>
      </w:pPr>
    </w:p>
    <w:p>
      <w:pPr>
        <w:jc w:val="both"/>
        <w:ind w:right="20" w:hanging="647"/>
        <w:spacing w:after="0"/>
        <w:rPr>
          <w:sz w:val="20"/>
          <w:szCs w:val="20"/>
          <w:color w:val="auto"/>
        </w:rPr>
      </w:pPr>
      <w:r>
        <w:rPr>
          <w:rFonts w:ascii="Arial" w:cs="Arial" w:eastAsia="Arial" w:hAnsi="Arial"/>
          <w:sz w:val="18"/>
          <w:szCs w:val="18"/>
          <w:color w:val="auto"/>
        </w:rPr>
        <w:t>49.12</w:t>
      </w:r>
      <w:r>
        <w:rPr>
          <w:sz w:val="20"/>
          <w:szCs w:val="20"/>
          <w:color w:val="auto"/>
        </w:rPr>
        <w:t xml:space="preserve"> </w:t>
      </w:r>
      <w:r>
        <w:rPr>
          <w:rFonts w:ascii="Arial" w:cs="Arial" w:eastAsia="Arial" w:hAnsi="Arial"/>
          <w:sz w:val="18"/>
          <w:szCs w:val="18"/>
          <w:color w:val="auto"/>
        </w:rPr>
        <w:t>The Company may enter into a Business Combination with a target business that is affiliated with the Sponsor, the Directors or executive officers of the Company. In the event the Company seeks to complete an initial Business Combination with a target that is affiliated with the Sponsor,</w:t>
      </w:r>
    </w:p>
    <w:p>
      <w:pPr>
        <w:spacing w:after="0" w:line="297" w:lineRule="exact"/>
        <w:rPr>
          <w:sz w:val="20"/>
          <w:szCs w:val="20"/>
          <w:color w:val="auto"/>
        </w:rPr>
      </w:pPr>
    </w:p>
    <w:p>
      <w:pPr>
        <w:ind w:left="105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-1905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94" w:right="239" w:bottom="1440" w:gutter="0" w:footer="0" w:header="0"/>
        </w:sectPr>
      </w:pPr>
    </w:p>
    <w:bookmarkStart w:id="259" w:name="page260"/>
    <w:bookmarkEnd w:id="259"/>
    <w:p>
      <w:pPr>
        <w:jc w:val="both"/>
        <w:spacing w:after="0"/>
        <w:rPr>
          <w:sz w:val="20"/>
          <w:szCs w:val="20"/>
          <w:color w:val="auto"/>
        </w:rPr>
      </w:pPr>
      <w:r>
        <w:rPr>
          <w:rFonts w:ascii="Arial" w:cs="Arial" w:eastAsia="Arial" w:hAnsi="Arial"/>
          <w:sz w:val="18"/>
          <w:szCs w:val="18"/>
          <w:color w:val="auto"/>
        </w:rPr>
        <w:t>executive officers or Directors, the Company, or a committee of independent Directors, will obtain an opinion from an independent investment banking firm, or from an independent accounting firm, that such initial Business Combination is fair to the Company from a financial point of 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5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-1905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98"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p>
    <w:p>
      <w:pPr>
        <w:spacing w:after="0" w:line="2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SEE REVERSE FOR</w:t>
      </w:r>
      <w:r>
        <w:rPr>
          <w:sz w:val="20"/>
          <w:szCs w:val="20"/>
          <w:color w:val="auto"/>
        </w:rPr>
        <w:tab/>
      </w:r>
      <w:r>
        <w:rPr>
          <w:rFonts w:ascii="Arial" w:cs="Arial" w:eastAsia="Arial" w:hAnsi="Arial"/>
          <w:sz w:val="18"/>
          <w:szCs w:val="18"/>
          <w:b w:val="1"/>
          <w:bCs w:val="1"/>
          <w:color w:val="auto"/>
        </w:rPr>
        <w:t>SILVER SPIKE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9"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 CONSISTING OF ONE CLASS A ORDINARY SHARE AND ONE-HALF OF ONE WARRANT,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WHOLE WARRANT ENTITLING THE HOLDER TO PURCHASE ONE CLASS A ORDINARY SHARE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14605</wp:posOffset>
            </wp:positionV>
            <wp:extent cx="52139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5" w:lineRule="exact"/>
        <w:rPr>
          <w:sz w:val="20"/>
          <w:szCs w:val="20"/>
          <w:color w:val="auto"/>
        </w:rPr>
      </w:pPr>
    </w:p>
    <w:p>
      <w:pPr>
        <w:spacing w:after="0"/>
        <w:tabs>
          <w:tab w:leader="none" w:pos="10720" w:val="left"/>
        </w:tabs>
        <w:rPr>
          <w:sz w:val="20"/>
          <w:szCs w:val="20"/>
          <w:color w:val="auto"/>
        </w:rPr>
      </w:pPr>
      <w:r>
        <w:rPr>
          <w:rFonts w:ascii="Arial" w:cs="Arial" w:eastAsia="Arial" w:hAnsi="Arial"/>
          <w:sz w:val="18"/>
          <w:szCs w:val="18"/>
          <w:color w:val="auto"/>
        </w:rPr>
        <w:t>is the owner of</w:t>
      </w:r>
      <w:r>
        <w:rPr>
          <w:sz w:val="20"/>
          <w:szCs w:val="20"/>
          <w:color w:val="auto"/>
        </w:rPr>
        <w:tab/>
      </w:r>
      <w:r>
        <w:rPr>
          <w:rFonts w:ascii="Arial" w:cs="Arial" w:eastAsia="Arial" w:hAnsi="Arial"/>
          <w:sz w:val="17"/>
          <w:szCs w:val="17"/>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7283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Each Unit (“</w:t>
      </w:r>
      <w:r>
        <w:rPr>
          <w:rFonts w:ascii="Arial" w:cs="Arial" w:eastAsia="Arial" w:hAnsi="Arial"/>
          <w:sz w:val="16"/>
          <w:szCs w:val="16"/>
          <w:b w:val="1"/>
          <w:bCs w:val="1"/>
          <w:i w:val="1"/>
          <w:iCs w:val="1"/>
          <w:color w:val="auto"/>
        </w:rPr>
        <w:t>Unit</w:t>
      </w:r>
      <w:r>
        <w:rPr>
          <w:rFonts w:ascii="Arial" w:cs="Arial" w:eastAsia="Arial" w:hAnsi="Arial"/>
          <w:sz w:val="16"/>
          <w:szCs w:val="16"/>
          <w:color w:val="auto"/>
        </w:rPr>
        <w:t>”) consists of one (1) Class A ordinary share, par value $0.0001 per share (“</w:t>
      </w: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 of Silver Spike Acquisition Corp.,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one-half (1/2) of one warrant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Each whole Warrant entitles the holder to purchase one</w:t>
      </w:r>
    </w:p>
    <w:p>
      <w:pPr>
        <w:ind w:right="20" w:firstLine="8"/>
        <w:spacing w:after="0" w:line="267" w:lineRule="auto"/>
        <w:tabs>
          <w:tab w:leader="none" w:pos="25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Class A ordinary share (subject to adjustment) for $11.50 per share (subject to adjustment). Only whole Warrants are exercisable. Each Warrant will become exercisable on the later of (i) thirty (30) days after the Company’s completion of a merger, amalgamation, share exchange, asset acquisition, share purchase, reorganization or other similar business combination with one or more businesses (each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and (ii) twelve (12) months from the closing of the Company’s initial public offering, and will expire unless exercised before 5:00 p.m., New York City Time, on the date that is five (5) years after the date on which the Company completes its initial Business Combination, or earlier upon redemption or liquidation. The Class A ordinary shares and Warrants comprising the Units represented by this certificate will begin separate trading on [·], 2019 unless Credit Suisse Securities (USA) LLC elects to allow earlier separate trading, subject to the Company’s filing of a Current Report on Form 8-K with the Securities and Exchange Commission containing an audited balance sheet reflecting the Company’s receipt of the gross proceeds of its initial public offering and issuing a press release announcing when separate trading will begin. No fractional Warrants will be issued upon separation of the Units. The terms of the Warrants are governed by a Warrant Agreement, dated as of [·], 2019, between the Company and Continental Stock Transfer &amp; Trust Company, as Warrant Agent, and are subject to the terms and provisions contained therein, all of which terms and provisions the holder of this certificate consents to by acceptance hereof. Copies of the Warrant Agreement are on file at the office of the Warrant Agent at One State Street, 30th Floor, New York, New York 10004, and are available to any Warrant holder on written request and without cost.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certificate shall be governed by and construed in accordance with the internal laws of the State of New York.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 the facsimile signatures of its duly authorized officers.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67259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420"/>
          </w:cols>
          <w:pgMar w:left="240" w:top="580" w:right="2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TEN COM –</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as tenants in common</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UNIF GIFT MIN ACT -</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pacing w:after="0" w:line="46" w:lineRule="exact"/>
        <w:rPr>
          <w:sz w:val="20"/>
          <w:szCs w:val="20"/>
          <w:color w:val="auto"/>
        </w:rPr>
      </w:pPr>
    </w:p>
    <w:p>
      <w:pPr>
        <w:sectPr>
          <w:pgSz w:w="11900" w:h="16838" w:orient="portrait"/>
          <w:cols w:equalWidth="0" w:num="4">
            <w:col w:w="940" w:space="340"/>
            <w:col w:w="4820" w:space="720"/>
            <w:col w:w="1940" w:space="720"/>
            <w:col w:w="1940"/>
          </w:cols>
          <w:pgMar w:left="240" w:top="580" w:right="239" w:bottom="1440" w:gutter="0" w:footer="0" w:header="0"/>
          <w:type w:val="continuous"/>
        </w:sectPr>
      </w:pPr>
    </w:p>
    <w:p>
      <w:pPr>
        <w:spacing w:after="0" w:line="265" w:lineRule="auto"/>
        <w:rPr>
          <w:sz w:val="20"/>
          <w:szCs w:val="20"/>
          <w:color w:val="auto"/>
        </w:rPr>
      </w:pPr>
      <w:r>
        <w:rPr>
          <w:rFonts w:ascii="Arial" w:cs="Arial" w:eastAsia="Arial" w:hAnsi="Arial"/>
          <w:sz w:val="17"/>
          <w:szCs w:val="17"/>
          <w:color w:val="auto"/>
        </w:rPr>
        <w:t>TEN ENT – JT TEN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tenants by the entireties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(Cust)</w:t>
      </w:r>
    </w:p>
    <w:p>
      <w:pPr>
        <w:spacing w:after="0" w:line="20" w:lineRule="exact"/>
        <w:rPr>
          <w:sz w:val="20"/>
          <w:szCs w:val="20"/>
          <w:color w:val="auto"/>
        </w:rPr>
      </w:pPr>
      <w:r>
        <w:rPr>
          <w:sz w:val="20"/>
          <w:szCs w:val="20"/>
          <w:color w:val="auto"/>
        </w:rPr>
        <w:br w:type="column"/>
      </w:r>
    </w:p>
    <w:p>
      <w:pPr>
        <w:ind w:left="1420"/>
        <w:spacing w:after="0"/>
        <w:rPr>
          <w:sz w:val="20"/>
          <w:szCs w:val="20"/>
          <w:color w:val="auto"/>
        </w:rPr>
      </w:pPr>
      <w:r>
        <w:rPr>
          <w:rFonts w:ascii="Arial" w:cs="Arial" w:eastAsia="Arial" w:hAnsi="Arial"/>
          <w:sz w:val="18"/>
          <w:szCs w:val="18"/>
          <w:color w:val="auto"/>
        </w:rPr>
        <w:t>(Minor)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under Uniform Gifts to Minors</w:t>
      </w:r>
    </w:p>
    <w:p>
      <w:pPr>
        <w:spacing w:after="0" w:line="32" w:lineRule="exact"/>
        <w:rPr>
          <w:sz w:val="20"/>
          <w:szCs w:val="20"/>
          <w:color w:val="auto"/>
        </w:rPr>
      </w:pPr>
    </w:p>
    <w:p>
      <w:pPr>
        <w:sectPr>
          <w:pgSz w:w="11900" w:h="16838" w:orient="portrait"/>
          <w:cols w:equalWidth="0" w:num="4">
            <w:col w:w="880" w:space="400"/>
            <w:col w:w="6700" w:space="720"/>
            <w:col w:w="460" w:space="40"/>
            <w:col w:w="2220"/>
          </w:cols>
          <w:pgMar w:left="240" w:top="580" w:right="23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survivorship</w:t>
      </w:r>
    </w:p>
    <w:p>
      <w:pPr>
        <w:sectPr>
          <w:pgSz w:w="11900" w:h="16838" w:orient="portrait"/>
          <w:cols w:equalWidth="0" w:num="1">
            <w:col w:w="11420"/>
          </w:cols>
          <w:pgMar w:left="240" w:top="580" w:right="239" w:bottom="1440" w:gutter="0" w:footer="0" w:header="0"/>
          <w:type w:val="continuous"/>
        </w:sectPr>
      </w:pPr>
    </w:p>
    <w:p>
      <w:pPr>
        <w:spacing w:after="0" w:line="32"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and not as tenants in common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Act _______________________</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(State)</w:t>
      </w:r>
    </w:p>
    <w:p>
      <w:pPr>
        <w:spacing w:after="0" w:line="200" w:lineRule="exact"/>
        <w:rPr>
          <w:sz w:val="20"/>
          <w:szCs w:val="20"/>
          <w:color w:val="auto"/>
        </w:rPr>
      </w:pPr>
    </w:p>
    <w:p>
      <w:pPr>
        <w:sectPr>
          <w:pgSz w:w="11900" w:h="16838" w:orient="portrait"/>
          <w:cols w:equalWidth="0" w:num="2">
            <w:col w:w="7980" w:space="720"/>
            <w:col w:w="2720"/>
          </w:cols>
          <w:pgMar w:left="240" w:top="580"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value received</w:t>
      </w:r>
      <w:r>
        <w:rPr>
          <w:rFonts w:ascii="Arial" w:cs="Arial" w:eastAsia="Arial" w:hAnsi="Arial"/>
          <w:sz w:val="18"/>
          <w:szCs w:val="18"/>
          <w:color w:val="auto"/>
        </w:rPr>
        <w:t>,</w:t>
      </w:r>
      <w:r>
        <w:rPr>
          <w:rFonts w:ascii="Arial" w:cs="Arial" w:eastAsia="Arial" w:hAnsi="Arial"/>
          <w:sz w:val="18"/>
          <w:szCs w:val="18"/>
          <w:i w:val="1"/>
          <w:iCs w:val="1"/>
          <w:color w:val="auto"/>
        </w:rPr>
        <w:t xml:space="preserve"> hereby sell, assign and transfer unto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63765" cy="3086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263765" cy="3086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0" w:lineRule="exact"/>
        <w:rPr>
          <w:sz w:val="20"/>
          <w:szCs w:val="20"/>
          <w:color w:val="auto"/>
        </w:rPr>
      </w:pPr>
    </w:p>
    <w:p>
      <w:pPr>
        <w:spacing w:after="0" w:line="241" w:lineRule="exact"/>
        <w:rPr>
          <w:sz w:val="20"/>
          <w:szCs w:val="20"/>
          <w:color w:val="auto"/>
        </w:rPr>
      </w:pPr>
    </w:p>
    <w:p>
      <w:pPr>
        <w:ind w:left="10860"/>
        <w:spacing w:after="0"/>
        <w:rPr>
          <w:sz w:val="20"/>
          <w:szCs w:val="20"/>
          <w:color w:val="auto"/>
        </w:rPr>
      </w:pPr>
      <w:r>
        <w:rPr>
          <w:rFonts w:ascii="Arial" w:cs="Arial" w:eastAsia="Arial" w:hAnsi="Arial"/>
          <w:sz w:val="18"/>
          <w:szCs w:val="18"/>
          <w:i w:val="1"/>
          <w:iCs w:val="1"/>
          <w:color w:val="auto"/>
        </w:rPr>
        <w:t>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represented by the within Certificate, and do hereby irrevocably constitute and appoint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said Units on the register of members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20" w:right="60" w:hanging="719"/>
        <w:spacing w:after="0" w:line="347" w:lineRule="auto"/>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The signature to this assignment must correspond with the name as written upon the face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62" w:name="page263"/>
    <w:bookmarkEnd w:id="262"/>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300"/>
        <w:spacing w:after="0" w:line="256"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w:t>
      </w:r>
    </w:p>
    <w:p>
      <w:pPr>
        <w:spacing w:after="0"/>
        <w:rPr>
          <w:sz w:val="20"/>
          <w:szCs w:val="20"/>
          <w:color w:val="auto"/>
        </w:rPr>
      </w:pPr>
      <w:r>
        <w:rPr>
          <w:rFonts w:ascii="Arial" w:cs="Arial" w:eastAsia="Arial" w:hAnsi="Arial"/>
          <w:sz w:val="17"/>
          <w:szCs w:val="17"/>
          <w:color w:val="auto"/>
        </w:rPr>
        <w:t>PURSUANT TO S.E.C. RULE 17Ad-15 (OR ANY SUCCESSOR RULE)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585" w:right="659" w:bottom="1440" w:gutter="0" w:footer="0" w:header="0"/>
        </w:sectPr>
      </w:pPr>
    </w:p>
    <w:bookmarkStart w:id="263" w:name="page264"/>
    <w:bookmarkEnd w:id="263"/>
    <w:p>
      <w:pPr>
        <w:spacing w:after="0" w:line="289" w:lineRule="auto"/>
        <w:rPr>
          <w:sz w:val="20"/>
          <w:szCs w:val="20"/>
          <w:color w:val="auto"/>
        </w:rPr>
      </w:pPr>
      <w:r>
        <w:rPr>
          <w:rFonts w:ascii="Arial" w:cs="Arial" w:eastAsia="Arial" w:hAnsi="Arial"/>
          <w:sz w:val="16"/>
          <w:szCs w:val="16"/>
          <w:color w:val="auto"/>
        </w:rPr>
        <w:t>In each case, as more fully described in the Company’s final prospectus dated [·], 2019, the holder(s) of this certificate shall be entitled to receive a pro rata portion of certain funds held in the trust account established in connection with its initial public offering only in the event that (i) the Company redeems the Class A ordinary shares sold in its initial public offering and liquidates because it does not consummate an initial business combination by [·], 2021, (ii) the Company redeems the Class A ordinary shares sold in its initial public offering in connection with a shareholder vote to amend the Company’s amended and restated memorandum and articles of association (a) to modify the substance or timing of the Company’s obligation to redeem 100% of the Class A ordinary shares if it does not consummate an initial business combination by [·], 2021 or (b) with respect to any other provision relating to shareholders’ rights or pre-initial business combination activity, or (iii) if the holder(s) seek(s) to redeem for cash his, her or its respective Class A ordinary shares in connection with a tender offer (or proxy solicitation, solely in the event the Company seeks shareholder approval of the proposed initial business combination) setting forth the details of a proposed initial business combination. In no other circumstances shall the holder(s)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5" w:lineRule="exact"/>
        <w:rPr>
          <w:sz w:val="20"/>
          <w:szCs w:val="20"/>
          <w:color w:val="auto"/>
        </w:rPr>
      </w:pPr>
    </w:p>
    <w:p>
      <w:pPr>
        <w:spacing w:after="0"/>
        <w:tabs>
          <w:tab w:leader="none" w:pos="1072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SHARES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LAWS OF THE CAYMAN ISLANDS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ORDINARY SHARES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DEFINITIONS</w:t>
      </w:r>
    </w:p>
    <w:p>
      <w:pPr>
        <w:spacing w:after="0" w:line="200" w:lineRule="exact"/>
        <w:rPr>
          <w:sz w:val="20"/>
          <w:szCs w:val="20"/>
          <w:color w:val="auto"/>
        </w:rPr>
      </w:pPr>
    </w:p>
    <w:p>
      <w:pPr>
        <w:spacing w:after="0" w:line="24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b w:val="1"/>
          <w:bCs w:val="1"/>
          <w:i w:val="1"/>
          <w:iCs w:val="1"/>
          <w:color w:val="auto"/>
        </w:rPr>
        <w:t>This Certifies that is the owner of</w:t>
      </w:r>
      <w:r>
        <w:rPr>
          <w:sz w:val="20"/>
          <w:szCs w:val="20"/>
          <w:color w:val="auto"/>
        </w:rPr>
        <w:tab/>
      </w:r>
      <w:r>
        <w:rPr>
          <w:rFonts w:ascii="Arial" w:cs="Arial" w:eastAsia="Arial" w:hAnsi="Arial"/>
          <w:sz w:val="18"/>
          <w:szCs w:val="18"/>
          <w:color w:val="auto"/>
        </w:rPr>
        <w:t>CUSIP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transferable on the register of members of the Company in person or by duly authorized attorney upon surrender of this certificate properly endorsed.</w:t>
      </w:r>
    </w:p>
    <w:p>
      <w:pPr>
        <w:spacing w:after="0" w:line="237"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The Company will be forced to redeem all of its Class A ordinary shares if it is unable to complete a business combination by [·], 2021 all as more fully described in the Company’s final prospectus dated [·], 2019.</w:t>
      </w:r>
    </w:p>
    <w:p>
      <w:pPr>
        <w:spacing w:after="0" w:line="170"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This certificate is not valid unless countersigned by the Transfer Agent and registered by the Registrar.</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Witness the facsimile seal of the Company and the facsimile signatures of its duly authorized officers.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210947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21094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5" w:name="page266"/>
    <w:bookmarkEnd w:id="26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following abbreviations, when used in the inscription on the face of this certificate, shall be construed as though they were written out in full according to applicable laws or regulations: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TEN COM –</w:t>
            </w:r>
          </w:p>
        </w:tc>
        <w:tc>
          <w:tcPr>
            <w:tcW w:w="4820" w:type="dxa"/>
            <w:vAlign w:val="bottom"/>
          </w:tcPr>
          <w:p>
            <w:pPr>
              <w:ind w:left="220"/>
              <w:spacing w:after="0"/>
              <w:rPr>
                <w:sz w:val="20"/>
                <w:szCs w:val="20"/>
                <w:color w:val="auto"/>
              </w:rPr>
            </w:pPr>
            <w:r>
              <w:rPr>
                <w:rFonts w:ascii="Arial" w:cs="Arial" w:eastAsia="Arial" w:hAnsi="Arial"/>
                <w:sz w:val="18"/>
                <w:szCs w:val="18"/>
                <w:color w:val="auto"/>
              </w:rPr>
              <w:t>as tenants in common</w:t>
            </w:r>
          </w:p>
        </w:tc>
        <w:tc>
          <w:tcPr>
            <w:tcW w:w="3340" w:type="dxa"/>
            <w:vAlign w:val="bottom"/>
          </w:tcPr>
          <w:p>
            <w:pPr>
              <w:ind w:left="840"/>
              <w:spacing w:after="0"/>
              <w:rPr>
                <w:sz w:val="20"/>
                <w:szCs w:val="20"/>
                <w:color w:val="auto"/>
              </w:rPr>
            </w:pPr>
            <w:r>
              <w:rPr>
                <w:rFonts w:ascii="Arial" w:cs="Arial" w:eastAsia="Arial" w:hAnsi="Arial"/>
                <w:sz w:val="18"/>
                <w:szCs w:val="18"/>
                <w:color w:val="auto"/>
              </w:rPr>
              <w:t>UNIF GIFT MIN ACT -</w:t>
            </w:r>
          </w:p>
        </w:tc>
        <w:tc>
          <w:tcPr>
            <w:tcW w:w="1880" w:type="dxa"/>
            <w:vAlign w:val="bottom"/>
          </w:tcPr>
          <w:p>
            <w:pPr>
              <w:ind w:left="160"/>
              <w:spacing w:after="0"/>
              <w:rPr>
                <w:sz w:val="20"/>
                <w:szCs w:val="20"/>
                <w:color w:val="auto"/>
              </w:rPr>
            </w:pPr>
            <w:r>
              <w:rPr>
                <w:rFonts w:ascii="Arial" w:cs="Arial" w:eastAsia="Arial" w:hAnsi="Arial"/>
                <w:sz w:val="18"/>
                <w:szCs w:val="18"/>
                <w:color w:val="auto"/>
              </w:rPr>
              <w:t>Custodian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TEN ENT –</w:t>
            </w:r>
          </w:p>
        </w:tc>
        <w:tc>
          <w:tcPr>
            <w:tcW w:w="4820" w:type="dxa"/>
            <w:vAlign w:val="bottom"/>
          </w:tcPr>
          <w:p>
            <w:pPr>
              <w:ind w:left="220"/>
              <w:spacing w:after="0"/>
              <w:rPr>
                <w:sz w:val="20"/>
                <w:szCs w:val="20"/>
                <w:color w:val="auto"/>
              </w:rPr>
            </w:pPr>
            <w:r>
              <w:rPr>
                <w:rFonts w:ascii="Arial" w:cs="Arial" w:eastAsia="Arial" w:hAnsi="Arial"/>
                <w:sz w:val="18"/>
                <w:szCs w:val="18"/>
                <w:color w:val="auto"/>
              </w:rPr>
              <w:t>as tenants by the entireties</w:t>
            </w:r>
          </w:p>
        </w:tc>
        <w:tc>
          <w:tcPr>
            <w:tcW w:w="3340" w:type="dxa"/>
            <w:vAlign w:val="bottom"/>
          </w:tcPr>
          <w:p>
            <w:pPr>
              <w:ind w:left="2720"/>
              <w:spacing w:after="0"/>
              <w:rPr>
                <w:sz w:val="20"/>
                <w:szCs w:val="20"/>
                <w:color w:val="auto"/>
              </w:rPr>
            </w:pPr>
            <w:r>
              <w:rPr>
                <w:rFonts w:ascii="Arial" w:cs="Arial" w:eastAsia="Arial" w:hAnsi="Arial"/>
                <w:sz w:val="18"/>
                <w:szCs w:val="18"/>
                <w:color w:val="auto"/>
              </w:rPr>
              <w:t>(Cust)</w:t>
            </w:r>
          </w:p>
        </w:tc>
        <w:tc>
          <w:tcPr>
            <w:tcW w:w="1880" w:type="dxa"/>
            <w:vAlign w:val="bottom"/>
          </w:tcPr>
          <w:p>
            <w:pPr>
              <w:ind w:left="1300"/>
              <w:spacing w:after="0"/>
              <w:rPr>
                <w:sz w:val="20"/>
                <w:szCs w:val="20"/>
                <w:color w:val="auto"/>
              </w:rPr>
            </w:pPr>
            <w:r>
              <w:rPr>
                <w:rFonts w:ascii="Arial" w:cs="Arial" w:eastAsia="Arial" w:hAnsi="Arial"/>
                <w:sz w:val="18"/>
                <w:szCs w:val="18"/>
                <w:color w:val="auto"/>
                <w:w w:val="98"/>
              </w:rPr>
              <w:t>(Minor)</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JT TEN –</w:t>
            </w:r>
          </w:p>
        </w:tc>
        <w:tc>
          <w:tcPr>
            <w:tcW w:w="4820" w:type="dxa"/>
            <w:vAlign w:val="bottom"/>
          </w:tcPr>
          <w:p>
            <w:pPr>
              <w:ind w:left="220"/>
              <w:spacing w:after="0"/>
              <w:rPr>
                <w:sz w:val="20"/>
                <w:szCs w:val="20"/>
                <w:color w:val="auto"/>
              </w:rPr>
            </w:pPr>
            <w:r>
              <w:rPr>
                <w:rFonts w:ascii="Arial" w:cs="Arial" w:eastAsia="Arial" w:hAnsi="Arial"/>
                <w:sz w:val="18"/>
                <w:szCs w:val="18"/>
                <w:color w:val="auto"/>
              </w:rPr>
              <w:t>as joint tenants with right of survivorship and not as</w:t>
            </w:r>
          </w:p>
        </w:tc>
        <w:tc>
          <w:tcPr>
            <w:tcW w:w="5220" w:type="dxa"/>
            <w:vAlign w:val="bottom"/>
            <w:gridSpan w:val="2"/>
          </w:tcPr>
          <w:p>
            <w:pPr>
              <w:ind w:left="2960"/>
              <w:spacing w:after="0"/>
              <w:rPr>
                <w:sz w:val="20"/>
                <w:szCs w:val="20"/>
                <w:color w:val="auto"/>
              </w:rPr>
            </w:pPr>
            <w:r>
              <w:rPr>
                <w:rFonts w:ascii="Arial" w:cs="Arial" w:eastAsia="Arial" w:hAnsi="Arial"/>
                <w:sz w:val="18"/>
                <w:szCs w:val="18"/>
                <w:color w:val="auto"/>
                <w:w w:val="95"/>
              </w:rPr>
              <w:t>under Uniform Gifts to Minors</w:t>
            </w:r>
          </w:p>
        </w:tc>
      </w:tr>
      <w:tr>
        <w:trPr>
          <w:trHeight w:val="230"/>
        </w:trPr>
        <w:tc>
          <w:tcPr>
            <w:tcW w:w="116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tenants in common</w:t>
            </w:r>
          </w:p>
        </w:tc>
        <w:tc>
          <w:tcPr>
            <w:tcW w:w="334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202"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Act______________________</w:t>
      </w:r>
    </w:p>
    <w:p>
      <w:pPr>
        <w:spacing w:after="0" w:line="23"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SILVER SPIKE ACQUISITION CORP.</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amended and restated memorandum and articles of association and all amendments thereto and resolutions of the Company’s Board of Directors providing for the issue of securities (copies of which may be obtained from the secretary of the Company), to all of which the holder of this certificate by acceptance hereof assents.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value received, hereby sell, assign and transfer unto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IDENTIFYING NUMBER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63765" cy="3086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263765" cy="3086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PRINT OR TYPEWRITE NAME AND ADDRESS(ES), INCLUDING ZIP CODE, OF ASSIGNEE(S))</w:t>
      </w:r>
    </w:p>
    <w:p>
      <w:pPr>
        <w:spacing w:after="0" w:line="200" w:lineRule="exact"/>
        <w:rPr>
          <w:sz w:val="20"/>
          <w:szCs w:val="20"/>
          <w:color w:val="auto"/>
        </w:rPr>
      </w:pPr>
    </w:p>
    <w:p>
      <w:pPr>
        <w:spacing w:after="0" w:line="241" w:lineRule="exact"/>
        <w:rPr>
          <w:sz w:val="20"/>
          <w:szCs w:val="20"/>
          <w:color w:val="auto"/>
        </w:rPr>
      </w:pPr>
    </w:p>
    <w:p>
      <w:pPr>
        <w:ind w:left="10740"/>
        <w:spacing w:after="0"/>
        <w:rPr>
          <w:sz w:val="20"/>
          <w:szCs w:val="20"/>
          <w:color w:val="auto"/>
        </w:rPr>
      </w:pPr>
      <w:r>
        <w:rPr>
          <w:rFonts w:ascii="Arial" w:cs="Arial" w:eastAsia="Arial" w:hAnsi="Arial"/>
          <w:sz w:val="18"/>
          <w:szCs w:val="18"/>
          <w:i w:val="1"/>
          <w:iCs w:val="1"/>
          <w:color w:val="auto"/>
        </w:rPr>
        <w:t>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represented by the within Certificate, and does hereby irrevocably constitute and appoint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_________________________________________________________________________________________ </w:t>
      </w:r>
      <w:r>
        <w:rPr>
          <w:rFonts w:ascii="Arial" w:cs="Arial" w:eastAsia="Arial" w:hAnsi="Arial"/>
          <w:sz w:val="16"/>
          <w:szCs w:val="16"/>
          <w:i w:val="1"/>
          <w:iCs w:val="1"/>
          <w:color w:val="auto"/>
        </w:rPr>
        <w:t>Attorney to transfer the said shares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 of members of the within named Company with full power of substitution in the 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0" w:right="120" w:hanging="719"/>
        <w:spacing w:after="0" w:line="261"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 to this assignment must correspond with the name as written upon the face of the certificate in</w:t>
      </w:r>
      <w:r>
        <w:rPr>
          <w:rFonts w:ascii="Arial" w:cs="Arial" w:eastAsia="Arial" w:hAnsi="Arial"/>
          <w:sz w:val="18"/>
          <w:szCs w:val="18"/>
          <w:b w:val="1"/>
          <w:bCs w:val="1"/>
          <w:color w:val="auto"/>
        </w:rPr>
        <w:t xml:space="preserve"> </w:t>
      </w:r>
      <w:r>
        <w:rPr>
          <w:rFonts w:ascii="Arial" w:cs="Arial" w:eastAsia="Arial" w:hAnsi="Arial"/>
          <w:sz w:val="18"/>
          <w:szCs w:val="18"/>
          <w:color w:val="auto"/>
        </w:rPr>
        <w:t>every particular, without alteration or enlargement or any change whatever.</w:t>
      </w: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700"/>
        <w:spacing w:after="0" w:line="264"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8" w:right="259" w:bottom="1440" w:gutter="0" w:footer="0" w:header="0"/>
        </w:sectPr>
      </w:pPr>
    </w:p>
    <w:bookmarkStart w:id="266" w:name="page267"/>
    <w:bookmarkEnd w:id="266"/>
    <w:p>
      <w:pPr>
        <w:ind w:right="3840"/>
        <w:spacing w:after="0" w:line="277" w:lineRule="auto"/>
        <w:rPr>
          <w:sz w:val="20"/>
          <w:szCs w:val="20"/>
          <w:color w:val="auto"/>
        </w:rPr>
      </w:pPr>
      <w:r>
        <w:rPr>
          <w:rFonts w:ascii="Arial" w:cs="Arial" w:eastAsia="Arial" w:hAnsi="Arial"/>
          <w:sz w:val="18"/>
          <w:szCs w:val="18"/>
          <w:color w:val="auto"/>
        </w:rPr>
        <w:t>PURSUANT TO S.E.C. RULE 17Ad-15) (OR ANY SUCCESSOR RULE) UNDER THE SECURITIES EXCHANGE ACT OF 1934, AS AMENDED).</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each case, as more fully described in the Company’s final prospectus dated [·], 2019, the holder(s) of this certificate shall be entitled to receive a pro rata portion of certain funds held in the trust account established in connection with its initial public offering only in the event that (i) the Company redeems the Class A ordinary shares sold in its initial public offering and liquidates because it does not consummate an initial business combination by [·], 2021, (ii) the Company redeems the Class A ordinary shares sold in its initial public offering in connection with a shareholder vote to amend the Company’s amended and restated memorandum and articles of association (a) to modify the substance or timing of the Company’s obligation to redeem 100% of the Class A ordinary shares if it does not consummate an initial business combination by [·], 2021 or (b) with respect to any other provision relating to shareholders’ rights or pre-initial business combination activity, or (iii) if the holder(s) seek(s) to redeem for cash his, her or its respective Class A ordinary shares in connection with a tender offer (or proxy solicitation, solely in the event the Company seeks shareholder approval of the proposed initial business combination) setting forth the details of a proposed initial business combination. In no other circumstances shall the holder(s)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621030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Cayman Islands</w:t>
      </w:r>
    </w:p>
    <w:p>
      <w:pPr>
        <w:spacing w:after="0" w:line="211" w:lineRule="exact"/>
        <w:rPr>
          <w:sz w:val="20"/>
          <w:szCs w:val="20"/>
          <w:color w:val="auto"/>
        </w:rPr>
      </w:pPr>
    </w:p>
    <w:p>
      <w:pPr>
        <w:ind w:left="10700"/>
        <w:spacing w:after="0"/>
        <w:rPr>
          <w:sz w:val="20"/>
          <w:szCs w:val="20"/>
          <w:color w:val="auto"/>
        </w:rPr>
      </w:pPr>
      <w:r>
        <w:rPr>
          <w:rFonts w:ascii="Arial" w:cs="Arial" w:eastAsia="Arial" w:hAnsi="Arial"/>
          <w:sz w:val="17"/>
          <w:szCs w:val="17"/>
          <w:color w:val="auto"/>
        </w:rPr>
        <w:t>CUSIP [·]</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This Warrant Certificate certifies that </w:t>
      </w:r>
      <w:r>
        <w:rPr>
          <w:rFonts w:ascii="Arial" w:cs="Arial" w:eastAsia="Arial" w:hAnsi="Arial"/>
          <w:sz w:val="17"/>
          <w:szCs w:val="17"/>
          <w:color w:val="auto"/>
        </w:rPr>
        <w:t>, or registered assigns, is the registered holder of warrant(s) evidenced hereby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purchase Class A ordinary shares, $0.0001 par value (“</w:t>
      </w: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 of Silver Spike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Warrant entitles the holder, upon exercise during the period set forth in the Warrant Agreement referred to below, to receive from the Company that number of fully paid and non-assessable Class A ordinary shares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Each whole Warrant is initially exercisable for one fully paid and non-assessable Class A ordinary share. No fractional shares will be issued upon exercise of any Warrant. If, upon the exercise of Warrants, a holder would be entitled to receive a fractional interest in a Class A ordinary share, the Company will, upon exercise, round down to the nearest whole number the number of Class A ordinary shares to be issued to the Warrant holder. The number of Class A ordinary shares issuable upon exercise of the Warrants is subject to adjustment upon the occurrence of certain events as set forth in the Warrant Agreement.</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initial Exercise Price per one Class A ordinary share for any Warrant is equal to $11.50 per share. The Exercise Price is subject to adjustment upon the occurrence of certain events as set forth in the Warrant Agreement.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8" w:name="page269"/>
    <w:bookmarkEnd w:id="268"/>
    <w:p>
      <w:pPr>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SILVER SPIKE ACQUISITION CORP.</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CONTINENTAL STOCK TRANSFER &amp; TRUST COMPANY,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 AGENT</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00"/>
          </w:cols>
          <w:pgMar w:left="240" w:top="585" w:right="1159" w:bottom="1440" w:gutter="0" w:footer="0" w:header="0"/>
        </w:sectPr>
      </w:pPr>
    </w:p>
    <w:bookmarkStart w:id="269" w:name="page270"/>
    <w:bookmarkEnd w:id="269"/>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of Warrant Certificate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Reverse</w:t>
      </w:r>
      <w:r>
        <w:rPr>
          <w:rFonts w:ascii="Arial" w:cs="Arial" w:eastAsia="Arial" w:hAnsi="Arial"/>
          <w:sz w:val="18"/>
          <w:szCs w:val="18"/>
          <w:color w:val="auto"/>
        </w:rPr>
        <w: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Warrants evidenced by this Warrant Certificate are part of a duly authorized issue of Warrants entitling the holder on exercise to receive Class A ordinary shares and are issued or to be issued pursuant to a Warrant Agreement dated as of [·], 2019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duly executed and delivered by the Company to Continental Stock Transfer &amp; Trust Company, a New York corporation,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or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 (i) a registration statement covering the issuance of the Class A ordinary shares to be issued upon exercise is effective under the Securities Act and (ii) a prospectus thereunder relating to the Class A ordinary shares is current, except through “</w:t>
      </w:r>
      <w:r>
        <w:rPr>
          <w:rFonts w:ascii="Arial" w:cs="Arial" w:eastAsia="Arial" w:hAnsi="Arial"/>
          <w:sz w:val="16"/>
          <w:szCs w:val="16"/>
          <w:b w:val="1"/>
          <w:bCs w:val="1"/>
          <w:i w:val="1"/>
          <w:iCs w:val="1"/>
          <w:color w:val="auto"/>
        </w:rPr>
        <w:t>cashless exercise</w:t>
      </w:r>
      <w:r>
        <w:rPr>
          <w:rFonts w:ascii="Arial" w:cs="Arial" w:eastAsia="Arial" w:hAnsi="Arial"/>
          <w:sz w:val="16"/>
          <w:szCs w:val="16"/>
          <w:color w:val="auto"/>
        </w:rPr>
        <w:t>” as provided for in the Warrant Agreement.</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Class A ordinary shares issuable upon exercise of the Warrants set forth on the face hereof may, subject to certain conditions, be adjusted. If, upon exercise of a Warrant, the holder thereof would be entitled to receive a fractional interest in a Class A ordinary share, the Company shall, upon exercise, round down to the nearest whole number of Class A ordinary shares to be issued to the holder of the Warrant.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8"/>
          <w:szCs w:val="18"/>
          <w:u w:val="single" w:color="auto"/>
          <w:color w:val="auto"/>
        </w:rPr>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 Be Executed Upon Exercise of Warrant</w:t>
      </w:r>
      <w:r>
        <w:rPr>
          <w:rFonts w:ascii="Arial" w:cs="Arial" w:eastAsia="Arial" w:hAnsi="Arial"/>
          <w:sz w:val="18"/>
          <w:szCs w:val="18"/>
          <w:color w:val="auto"/>
        </w:rPr>
        <w: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Class A ordinary shares and herewith tenders payment for such Class A ordinary shares to the order of Silver Spike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the amount of $[·] in accordance with the terms hereof. The undersigned requests that a certificate for such Class A ordinary shares be registered in the name of [·], whose address is [·] and that such Class A ordinary shares be delivered to [·] whose address is [·]. If said number of Class A ordinary shares is less than all of the Class A ordinary shares purchasable hereunder, the undersigned requests that a new Warrant Certificate representing the remaining balance of such Class A ordinary shares be registered in the name of [·], whose address is [·] and that such Warrant Certificate be delivered to [·], whose address is [·].</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 the number of Class A ordinary shares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Class A ordinary shares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In the event that the Warrant is to be exercised on a “cashless” basis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 the number of Class A ordinary shares that this Warrant is exercisable for shall be determined in accordance with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that the Warrant may be exercised, to the extent allowed by the Warrant Agreement, through cashless exercise (i) the number of Class A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Class A ordinary shares. If said number of shares is less than all of the Class A ordinary shares purchasable hereunder (after giving effect to the cashless exercise), the undersigned requests that a new Warrant Certificate representing the remaining balance of such Class A ordinary shares be registered in the name of [·], whose address is [·] and that such Warrant Certificate be delivered to [·], whose address is [·].</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71" w:name="page272"/>
    <w:bookmarkEnd w:id="271"/>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434975</wp:posOffset>
            </wp:positionV>
            <wp:extent cx="28987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289560</wp:posOffset>
            </wp:positionV>
            <wp:extent cx="28987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289877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578485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6140" w:space="720"/>
            <w:col w:w="4380"/>
          </w:cols>
          <w:pgMar w:left="240" w:top="584" w:right="41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type w:val="continuous"/>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2019, is by and between Silver Spike Acquisition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as warrant agent (the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w:t>
      </w:r>
    </w:p>
    <w:p>
      <w:pPr>
        <w:spacing w:after="0" w:line="181" w:lineRule="exact"/>
        <w:rPr>
          <w:sz w:val="20"/>
          <w:szCs w:val="20"/>
          <w:color w:val="auto"/>
        </w:rPr>
      </w:pPr>
    </w:p>
    <w:p>
      <w:pPr>
        <w:ind w:right="540" w:firstLine="648"/>
        <w:spacing w:after="0" w:line="291" w:lineRule="auto"/>
        <w:rPr>
          <w:sz w:val="20"/>
          <w:szCs w:val="20"/>
          <w:color w:val="auto"/>
        </w:rPr>
      </w:pPr>
      <w:r>
        <w:rPr>
          <w:rFonts w:ascii="Arial" w:cs="Arial" w:eastAsia="Arial" w:hAnsi="Arial"/>
          <w:sz w:val="16"/>
          <w:szCs w:val="16"/>
          <w:color w:val="auto"/>
        </w:rPr>
        <w:t>WHEREAS, on , 2019 the Company entered into that certain Sponsor Warrants Purchase Agreement with Silver Spike Sponsor,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pursuant to which the Sponsor agreed to purchase an aggregate of 7,000,000 warrants (or up to</w:t>
      </w:r>
    </w:p>
    <w:p>
      <w:pPr>
        <w:spacing w:after="0" w:line="295" w:lineRule="auto"/>
        <w:rPr>
          <w:sz w:val="20"/>
          <w:szCs w:val="20"/>
          <w:color w:val="auto"/>
        </w:rPr>
      </w:pPr>
      <w:r>
        <w:rPr>
          <w:rFonts w:ascii="Arial" w:cs="Arial" w:eastAsia="Arial" w:hAnsi="Arial"/>
          <w:sz w:val="16"/>
          <w:szCs w:val="16"/>
          <w:color w:val="auto"/>
        </w:rPr>
        <w:t xml:space="preserve">7,750,000 warrants if the Over-allotment Option (as defined below) in connection with the Company’s Offering (as defined below) is exercised in full) simultaneously with the closing of the Offering (and any closing of the Over-allotment Option, if applicable) bearing the legend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at a purchase price of $1.00 per Private Placement Warrant. Each Private Placement Warrant entitles the holder thereof to purchase one Class A ordinary share (as defined below) at a price of $11.50 per share, subject to adjustment, terms and limitations as described herein; and</w:t>
      </w:r>
    </w:p>
    <w:p>
      <w:pPr>
        <w:spacing w:after="0" w:line="1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WHEREAS, in order to finance the Company’s transaction costs in connection with an intended initial Business Combination (as defined below), the Sponsor or an affiliate of the Sponsor or certain of the Company’s officers and directors may, but are not obligated to, loan the Company funds as the Company may require, of which up to $1,500,000 of such loans may be convertible into up to an additional 1,500,000 Private Placement Warrants at a price of $1.00 per Private Placement Warrant; and</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WHEREAS, the Company is engaged in an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units of the Company’s equity securities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such Unit comprised of one Class A ordinary share of the Company, par value $0.0001 per share (“</w:t>
      </w: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 and one-half of one warrant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and, in connection therewith, has determined to issue and deliver up to 14,375,000 Public Warrants (including up to 1,875,000 Public Warrants subject to the Over-allotment Option) to public investors in the Offering. Each whole Public Warrant entitles the holder thereof to purchase one Class A ordinary share at a price of $11.50 per share, subject to adjustment, terms and limitations as described herein; and</w:t>
      </w:r>
    </w:p>
    <w:p>
      <w:pPr>
        <w:spacing w:after="0" w:line="1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S-1, File No. 333-232734 (the “</w:t>
      </w:r>
      <w:r>
        <w:rPr>
          <w:rFonts w:ascii="Arial" w:cs="Arial" w:eastAsia="Arial" w:hAnsi="Arial"/>
          <w:sz w:val="18"/>
          <w:szCs w:val="18"/>
          <w:b w:val="1"/>
          <w:bCs w:val="1"/>
          <w:i w:val="1"/>
          <w:iCs w:val="1"/>
          <w:color w:val="auto"/>
        </w:rPr>
        <w:t>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73" w:name="page274"/>
    <w:bookmarkEnd w:id="273"/>
    <w:p>
      <w:pPr>
        <w:ind w:right="300"/>
        <w:spacing w:after="0" w:line="277" w:lineRule="auto"/>
        <w:rPr>
          <w:sz w:val="20"/>
          <w:szCs w:val="20"/>
          <w:color w:val="auto"/>
        </w:rPr>
      </w:pP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Units,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Warrants and the Class A ordinary shares included in the Units;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180" w:firstLine="656"/>
        <w:spacing w:after="0" w:line="342" w:lineRule="auto"/>
        <w:tabs>
          <w:tab w:leader="none" w:pos="1098"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1100" w:hanging="444"/>
        <w:spacing w:after="0"/>
        <w:tabs>
          <w:tab w:leader="none" w:pos="110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Form of Warrant</w:t>
      </w:r>
      <w:r>
        <w:rPr>
          <w:rFonts w:ascii="Arial" w:cs="Arial" w:eastAsia="Arial" w:hAnsi="Arial"/>
          <w:sz w:val="16"/>
          <w:szCs w:val="16"/>
          <w:color w:val="auto"/>
        </w:rPr>
        <w:t>. Each Warrant shall initially be issued in registered form only.</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certificate is issued, unless and until countersigned by the Warrant Agent pursuant to this Agreement, a Warrant shall be invalid and of no effect and may not be exercised by the holder thereof.</w:t>
      </w:r>
    </w:p>
    <w:p>
      <w:pPr>
        <w:spacing w:after="0" w:line="17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5" w:lineRule="exact"/>
        <w:rPr>
          <w:sz w:val="20"/>
          <w:szCs w:val="20"/>
          <w:color w:val="auto"/>
        </w:rPr>
      </w:pPr>
    </w:p>
    <w:p>
      <w:pPr>
        <w:ind w:right="120" w:firstLine="1945"/>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3"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274" w:name="page275"/>
    <w:bookmarkEnd w:id="274"/>
    <w:p>
      <w:pPr>
        <w:ind w:right="140"/>
        <w:spacing w:after="0" w:line="286" w:lineRule="auto"/>
        <w:rPr>
          <w:sz w:val="20"/>
          <w:szCs w:val="20"/>
          <w:color w:val="auto"/>
        </w:rPr>
      </w:pPr>
      <w:r>
        <w:rPr>
          <w:rFonts w:ascii="Arial" w:cs="Arial" w:eastAsia="Arial" w:hAnsi="Arial"/>
          <w:sz w:val="17"/>
          <w:szCs w:val="17"/>
          <w:color w:val="auto"/>
        </w:rPr>
        <w:t xml:space="preserve">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which shall be in the form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Physical certificates, if issued, shall be signed by, or bear the facsimile signature of, the Chairman of the Board, Chief Executive Officer, Chief Financial Officer, Chief Operating Officer,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7" w:lineRule="exact"/>
        <w:rPr>
          <w:sz w:val="20"/>
          <w:szCs w:val="20"/>
          <w:color w:val="auto"/>
        </w:rPr>
      </w:pPr>
    </w:p>
    <w:p>
      <w:pPr>
        <w:ind w:right="200" w:firstLine="1945"/>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any physical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right="60" w:firstLine="1297"/>
        <w:spacing w:after="0" w:line="29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Class A ordinary shares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then on the immediately succeeding Business Day following such date, or earlier (the “</w:t>
      </w:r>
      <w:r>
        <w:rPr>
          <w:rFonts w:ascii="Arial" w:cs="Arial" w:eastAsia="Arial" w:hAnsi="Arial"/>
          <w:sz w:val="16"/>
          <w:szCs w:val="16"/>
          <w:b w:val="1"/>
          <w:bCs w:val="1"/>
          <w:i w:val="1"/>
          <w:iCs w:val="1"/>
          <w:color w:val="auto"/>
        </w:rPr>
        <w:t>Detachment Date</w:t>
      </w:r>
      <w:r>
        <w:rPr>
          <w:rFonts w:ascii="Arial" w:cs="Arial" w:eastAsia="Arial" w:hAnsi="Arial"/>
          <w:sz w:val="16"/>
          <w:szCs w:val="16"/>
          <w:color w:val="auto"/>
        </w:rPr>
        <w:t>”) with the consent of Credit Suisse Securities (USA) LLC, but in no event shall the Class A ordinary shares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then received by the Company from the exercise by the underwriters of their right to purchase additional Units in the Offering (the “</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if the Over-allotment Option is exercised prior to the filing of the Form 8-K, and (B) the Company issues a press release announcing when such separate trading shall begin.</w:t>
      </w:r>
    </w:p>
    <w:p>
      <w:pPr>
        <w:spacing w:after="0" w:line="166"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Warrants Other Than as Part of Units</w:t>
      </w:r>
      <w:r>
        <w:rPr>
          <w:rFonts w:ascii="Arial" w:cs="Arial" w:eastAsia="Arial" w:hAnsi="Arial"/>
          <w:sz w:val="18"/>
          <w:szCs w:val="18"/>
          <w:color w:val="auto"/>
        </w:rPr>
        <w:t>. The Company shall not issue fractional Warrants other than as part of the Units, each of which is comprised of one Class A ordinary share and one-half of one whole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The Private Placement Warrants shall be identical to the Public Warrants, except that so long as they are held by the Sponsor or any of its Permitted Transferees (as defined below): (i) the Private Placement Warrants may be exercised for cash or on a “cashless basis,” pursuant to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hereof, (ii) the Private Placement Warrants (including the Class A ordinary shares issuable upon exercise of the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75" w:name="page276"/>
    <w:bookmarkEnd w:id="275"/>
    <w:p>
      <w:pPr>
        <w:jc w:val="both"/>
        <w:ind w:right="120"/>
        <w:spacing w:after="0" w:line="259" w:lineRule="auto"/>
        <w:rPr>
          <w:sz w:val="20"/>
          <w:szCs w:val="20"/>
          <w:color w:val="auto"/>
        </w:rPr>
      </w:pPr>
      <w:r>
        <w:rPr>
          <w:rFonts w:ascii="Arial" w:cs="Arial" w:eastAsia="Arial" w:hAnsi="Arial"/>
          <w:sz w:val="18"/>
          <w:szCs w:val="18"/>
          <w:color w:val="auto"/>
        </w:rPr>
        <w:t xml:space="preserve">Placement Warrants) may not be transferred, assigned or sold until thirty (30) days after the completion by the Company of an initial Business Combination, and (iii) the Private Placement Warrants shall not be redeemable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(ii), the Private Placement Warrants and any Class A ordinary shares held by the Sponsor or any of its Permitted Transferees and issued upon exercise of the Private Placement Warrants may be transferred by the holders thereof:</w:t>
      </w:r>
    </w:p>
    <w:p>
      <w:pPr>
        <w:spacing w:after="0" w:line="187" w:lineRule="exact"/>
        <w:rPr>
          <w:sz w:val="20"/>
          <w:szCs w:val="20"/>
          <w:color w:val="auto"/>
        </w:rPr>
      </w:pPr>
    </w:p>
    <w:p>
      <w:pPr>
        <w:ind w:right="120" w:firstLine="1953"/>
        <w:spacing w:after="0" w:line="277" w:lineRule="auto"/>
        <w:tabs>
          <w:tab w:leader="none" w:pos="2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of the Sponsor or any affiliates of the Sponsor;</w:t>
      </w:r>
    </w:p>
    <w:p>
      <w:pPr>
        <w:spacing w:after="0" w:line="170" w:lineRule="exact"/>
        <w:rPr>
          <w:rFonts w:ascii="Arial" w:cs="Arial" w:eastAsia="Arial" w:hAnsi="Arial"/>
          <w:sz w:val="18"/>
          <w:szCs w:val="18"/>
          <w:color w:val="auto"/>
        </w:rPr>
      </w:pPr>
    </w:p>
    <w:p>
      <w:pPr>
        <w:ind w:right="40" w:firstLine="1953"/>
        <w:spacing w:after="0" w:line="277" w:lineRule="auto"/>
        <w:tabs>
          <w:tab w:leader="none" w:pos="247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the individual’s immediate family, or to a trust, the beneficiary of which is a member of the individual’s immediate family or an affiliate of such person, or to a charitable organization;</w:t>
      </w:r>
    </w:p>
    <w:p>
      <w:pPr>
        <w:spacing w:after="0" w:line="170" w:lineRule="exact"/>
        <w:rPr>
          <w:rFonts w:ascii="Arial" w:cs="Arial" w:eastAsia="Arial" w:hAnsi="Arial"/>
          <w:sz w:val="18"/>
          <w:szCs w:val="18"/>
          <w:color w:val="auto"/>
        </w:rPr>
      </w:pPr>
    </w:p>
    <w:p>
      <w:pPr>
        <w:ind w:left="2460" w:hanging="507"/>
        <w:spacing w:after="0"/>
        <w:tabs>
          <w:tab w:leader="none" w:pos="2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case of an individual, by virtue of laws of descent and distribution upon death of the individual;</w:t>
      </w:r>
    </w:p>
    <w:p>
      <w:pPr>
        <w:spacing w:after="0" w:line="225" w:lineRule="exact"/>
        <w:rPr>
          <w:rFonts w:ascii="Arial" w:cs="Arial" w:eastAsia="Arial" w:hAnsi="Arial"/>
          <w:sz w:val="18"/>
          <w:szCs w:val="18"/>
          <w:color w:val="auto"/>
        </w:rPr>
      </w:pPr>
    </w:p>
    <w:p>
      <w:pPr>
        <w:ind w:left="2480" w:hanging="527"/>
        <w:spacing w:after="0"/>
        <w:tabs>
          <w:tab w:leader="none" w:pos="2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ind w:right="120" w:firstLine="1953"/>
        <w:spacing w:after="0" w:line="277" w:lineRule="auto"/>
        <w:tabs>
          <w:tab w:leader="none" w:pos="2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by private sales or transfers made in connection with the consummation of the Company’s Business Combination at prices no greater than the price at which the securities were originally purchased;</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event of the Company’s liquidation prior to the Company’s completion of an initial Business Combination;</w:t>
      </w:r>
    </w:p>
    <w:p>
      <w:pPr>
        <w:spacing w:after="0" w:line="225" w:lineRule="exact"/>
        <w:rPr>
          <w:rFonts w:ascii="Arial" w:cs="Arial" w:eastAsia="Arial" w:hAnsi="Arial"/>
          <w:sz w:val="18"/>
          <w:szCs w:val="18"/>
          <w:color w:val="auto"/>
        </w:rPr>
      </w:pPr>
    </w:p>
    <w:p>
      <w:pPr>
        <w:ind w:right="340" w:firstLine="1953"/>
        <w:spacing w:after="0" w:line="277" w:lineRule="auto"/>
        <w:tabs>
          <w:tab w:leader="none" w:pos="247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by virtue of the laws of Delaware or the Sponsor’s limited liability company agreement, as amended from time to time, upon dissolution of the Sponsor; and</w:t>
      </w:r>
    </w:p>
    <w:p>
      <w:pPr>
        <w:spacing w:after="0" w:line="170" w:lineRule="exact"/>
        <w:rPr>
          <w:rFonts w:ascii="Arial" w:cs="Arial" w:eastAsia="Arial" w:hAnsi="Arial"/>
          <w:sz w:val="18"/>
          <w:szCs w:val="18"/>
          <w:color w:val="auto"/>
        </w:rPr>
      </w:pPr>
    </w:p>
    <w:p>
      <w:pPr>
        <w:ind w:right="60" w:firstLine="1953"/>
        <w:spacing w:after="0" w:line="257" w:lineRule="auto"/>
        <w:tabs>
          <w:tab w:leader="none" w:pos="247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in the event of the Company’s completion of a liquidation, merger, amalgamation, share exchange, reorganization or other similar transaction which results in all of the Company’s shareholders having the right to exchange their Class A ordinary shares for cash, securities or other property subsequent to the completion of the Company’s initial Business Combination;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clauses (a) through (e) and (g), these permitted transferees (the “</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must enter into a written agreement with the Company agreeing to be bound by the transfer restrictions in this Agreement.</w:t>
      </w:r>
    </w:p>
    <w:p>
      <w:pPr>
        <w:spacing w:after="0" w:line="188" w:lineRule="exact"/>
        <w:rPr>
          <w:sz w:val="20"/>
          <w:szCs w:val="20"/>
          <w:color w:val="auto"/>
        </w:rPr>
      </w:pPr>
    </w:p>
    <w:p>
      <w:pPr>
        <w:ind w:left="1100" w:hanging="444"/>
        <w:spacing w:after="0"/>
        <w:tabs>
          <w:tab w:leader="none" w:pos="11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Warrant Price</w:t>
      </w:r>
      <w:r>
        <w:rPr>
          <w:rFonts w:ascii="Arial" w:cs="Arial" w:eastAsia="Arial" w:hAnsi="Arial"/>
          <w:sz w:val="17"/>
          <w:szCs w:val="17"/>
          <w:color w:val="auto"/>
        </w:rPr>
        <w:t xml:space="preserve">. Each whole Warrant (if in certificated form, when countersigned by the Warrant Agent), shall entitle the Registered Holder thereof, subject to the provisions of such Warrant and of this Agreement, to purchase from the Company the number of Class A ordinary shares stated therein, at the price of $11.50 per share, subject to the adjustments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and in the last sentence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The term “Warrant Price” as used in this Agreement shall mean the price per share (including in cash or by payment of Warrants pursuant to a “cashless exercise,” to the extent permitted hereunder) at which Class A ordinary shares may be purchased at the time a Warrant is exercised. The Company in its sole discretion may lower the Warrant Price at any time prior to the Expiration Date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76" w:name="page277"/>
    <w:bookmarkEnd w:id="276"/>
    <w:p>
      <w:pPr>
        <w:ind w:right="40"/>
        <w:spacing w:after="0" w:line="308" w:lineRule="auto"/>
        <w:rPr>
          <w:sz w:val="20"/>
          <w:szCs w:val="20"/>
          <w:color w:val="auto"/>
        </w:rPr>
      </w:pPr>
      <w:r>
        <w:rPr>
          <w:rFonts w:ascii="Arial" w:cs="Arial" w:eastAsia="Arial" w:hAnsi="Arial"/>
          <w:sz w:val="17"/>
          <w:szCs w:val="17"/>
          <w:color w:val="auto"/>
        </w:rPr>
        <w:t>below) for a period of not less than twenty (20) Business Days, provided that the Company shall provide at least twenty (20) days prior written notice of such reduction to Registered Holders of the Warrants and, provided further that any such reduction shall be identical among all of the Warrants.</w:t>
      </w:r>
    </w:p>
    <w:p>
      <w:pPr>
        <w:spacing w:after="0" w:line="147"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(the “</w:t>
      </w:r>
      <w:r>
        <w:rPr>
          <w:rFonts w:ascii="Arial" w:cs="Arial" w:eastAsia="Arial" w:hAnsi="Arial"/>
          <w:sz w:val="17"/>
          <w:szCs w:val="17"/>
          <w:b w:val="1"/>
          <w:bCs w:val="1"/>
          <w:i w:val="1"/>
          <w:iCs w:val="1"/>
          <w:color w:val="auto"/>
        </w:rPr>
        <w:t>Exercise Period</w:t>
      </w:r>
      <w:r>
        <w:rPr>
          <w:rFonts w:ascii="Arial" w:cs="Arial" w:eastAsia="Arial" w:hAnsi="Arial"/>
          <w:sz w:val="17"/>
          <w:szCs w:val="17"/>
          <w:color w:val="auto"/>
        </w:rPr>
        <w:t>”) commencing on the later of: (i) the date that is thirty (30) days after the first date on which the Company completes a merger, amalgamation, share exchange, asset acquisition, share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xml:space="preserve">”), and (ii) the date that is twelve (12) months from the date of the closing of the Offering, and terminating at 5:00 p.m., New York City time, on the earliest to occur of: (x) the date that is five (5) years after the date on which the Company completes its initial Business Combination, (y) the liquidation of the Company in accordance with the Company’s amended and restated memorandum and articles of association, as amended from time to time, if the Company fails to complete a Business Combination, or (z) other than with respect to the Private Placement Warrants then held by the Sponsor or any of its Permitted Transferees, the Redemption Date (as defined below) as provided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(the “</w:t>
      </w:r>
      <w:r>
        <w:rPr>
          <w:rFonts w:ascii="Arial" w:cs="Arial" w:eastAsia="Arial" w:hAnsi="Arial"/>
          <w:sz w:val="17"/>
          <w:szCs w:val="17"/>
          <w:b w:val="1"/>
          <w:bCs w:val="1"/>
          <w:i w:val="1"/>
          <w:iCs w:val="1"/>
          <w:color w:val="auto"/>
        </w:rPr>
        <w:t>Expiration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exercise of any Warrant shall be subject to the satisfaction of any applicable conditions, as set forth in </w:t>
      </w:r>
      <w:r>
        <w:rPr>
          <w:rFonts w:ascii="Arial" w:cs="Arial" w:eastAsia="Arial" w:hAnsi="Arial"/>
          <w:sz w:val="17"/>
          <w:szCs w:val="17"/>
          <w:u w:val="single" w:color="auto"/>
          <w:color w:val="auto"/>
        </w:rPr>
        <w:t>subsection 3.3.2</w:t>
      </w:r>
      <w:r>
        <w:rPr>
          <w:rFonts w:ascii="Arial" w:cs="Arial" w:eastAsia="Arial" w:hAnsi="Arial"/>
          <w:sz w:val="17"/>
          <w:szCs w:val="17"/>
          <w:color w:val="auto"/>
        </w:rPr>
        <w:t xml:space="preserve"> below with respect to an effective registration statement. Except with respect to the right to receive the Redemption Price (as defined below) (other than with respect to a Private Placement Warrant then held by the Sponsor or any of its Permitted Transferees) in the event of a redemption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each outstanding Warrant (other than a Private Placement Warrant held by the Sponsor or any of its Permitted Transferees in the event of a redemption) not exercised on or before the Expiration Date shall become void, and all rights thereunder and all rights in respect thereof under this Agreement shall cease at 5:00 p.m., New York City time, on the Expiration Date. The term “outstanding” as used in this Agreement with respect to any securities shall mean securities that are issued and outstanding. The Company in its sole discretion may extend the duration of the Warrants by delaying the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provide at least twenty (20) days prior written notice of any such extension to Registered Holders of the Warrants and, provided further that any such extension shall be identical in duration among all the Warrants.</w:t>
      </w:r>
    </w:p>
    <w:p>
      <w:pPr>
        <w:spacing w:after="0" w:line="19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ind w:right="20" w:firstLine="1945"/>
        <w:spacing w:after="0" w:line="255"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Payment</w:t>
      </w:r>
      <w:r>
        <w:rPr>
          <w:rFonts w:ascii="Arial" w:cs="Arial" w:eastAsia="Arial" w:hAnsi="Arial"/>
          <w:sz w:val="18"/>
          <w:szCs w:val="18"/>
          <w:color w:val="auto"/>
        </w:rPr>
        <w:t>. Subject to the provisions of the Warrant and this Agreement, a Warrant, (if in certificated form,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(or, in the case of Warrants held through the Depositary in uncertificated or book-entry only form, through the applicable procedures of the Depositary), and by paying in full the Warrant Price for each Class A ordinary share as to which the Warrant is exercised and any and all applicable taxes due in connection with the exercise of the Warrant, the exchange of the Warrant for the Class A ordinary shares and the issuance of such Class A ordinary shares, as follows:</w:t>
      </w:r>
    </w:p>
    <w:p>
      <w:pPr>
        <w:spacing w:after="0" w:line="189" w:lineRule="exact"/>
        <w:rPr>
          <w:sz w:val="20"/>
          <w:szCs w:val="20"/>
          <w:color w:val="auto"/>
        </w:rPr>
      </w:pPr>
    </w:p>
    <w:p>
      <w:pPr>
        <w:ind w:left="2460" w:hanging="507"/>
        <w:spacing w:after="0"/>
        <w:tabs>
          <w:tab w:leader="none" w:pos="2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lawful money of the United States, in good certified check or wire payable to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77" w:name="page278"/>
    <w:bookmarkEnd w:id="277"/>
    <w:p>
      <w:pPr>
        <w:ind w:right="20" w:firstLine="1953"/>
        <w:spacing w:after="0" w:line="255" w:lineRule="auto"/>
        <w:tabs>
          <w:tab w:leader="none" w:pos="247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in the event of a redemption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in which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has elected to require all holders of the Warrants to exercise such Warrants on a “cashless basis,” by surrendering the Warrants for that number of Class A ordinary shares equal to the quotient obtained by dividing (x) the product of the number of Class A ordinary shares underlying the Warrants, multiplied by the excess of the “Fair Market Value” (as defined in this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over the exercise price of the Warrants by (y) the Fair Market Value. Solely for purposes of this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the “Fair Market Value” shall mean the average last reported sale price of the Class A ordinary shares for the ten (10) trading days ending on the third trading day prior to the date on which the notice of redemption is sent to the holders of the Warrants,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189" w:lineRule="exact"/>
        <w:rPr>
          <w:rFonts w:ascii="Arial" w:cs="Arial" w:eastAsia="Arial" w:hAnsi="Arial"/>
          <w:sz w:val="18"/>
          <w:szCs w:val="18"/>
          <w:color w:val="auto"/>
        </w:rPr>
      </w:pPr>
    </w:p>
    <w:p>
      <w:pPr>
        <w:ind w:right="60" w:firstLine="1953"/>
        <w:spacing w:after="0" w:line="273" w:lineRule="auto"/>
        <w:tabs>
          <w:tab w:leader="none" w:pos="24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with respect to any Private Placement Warrant, so long as such Private Placement Warrant is held by the Sponsor or any of its Permitted Transferees, by surrendering the Warrants for that number of Class A ordinary shares equal to the quotient obtained by dividing (x) the product of the number of Class A ordinary shares underlying the Warrants, multiplied by the excess of the “Fair Market Value” (as defined in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xml:space="preserve">) over the exercise price of the Warrants by (y) the Fair Market Value. Solely for purposes of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the “Fair Market Value” shall mean the average last reported sale price of the Class A ordinary shares for the ten (10) trading days ending on the third trading day prior to the date on which notice of exercise of the Private Placement Warrant is sent to the Warrant Agent; or</w:t>
      </w:r>
    </w:p>
    <w:p>
      <w:pPr>
        <w:spacing w:after="0" w:line="178" w:lineRule="exact"/>
        <w:rPr>
          <w:rFonts w:ascii="Arial" w:cs="Arial" w:eastAsia="Arial" w:hAnsi="Arial"/>
          <w:sz w:val="17"/>
          <w:szCs w:val="17"/>
          <w:color w:val="auto"/>
        </w:rPr>
      </w:pPr>
    </w:p>
    <w:p>
      <w:pPr>
        <w:ind w:left="2480" w:hanging="527"/>
        <w:spacing w:after="0"/>
        <w:tabs>
          <w:tab w:leader="none" w:pos="2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provided in Section 7.4 hereof.</w:t>
      </w:r>
    </w:p>
    <w:p>
      <w:pPr>
        <w:spacing w:after="0" w:line="225" w:lineRule="exact"/>
        <w:rPr>
          <w:sz w:val="20"/>
          <w:szCs w:val="20"/>
          <w:color w:val="auto"/>
        </w:rPr>
      </w:pPr>
    </w:p>
    <w:p>
      <w:pPr>
        <w:ind w:firstLine="1945"/>
        <w:spacing w:after="0" w:line="28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Class A Ordinary Shares on Exercise</w:t>
      </w:r>
      <w:r>
        <w:rPr>
          <w:rFonts w:ascii="Arial" w:cs="Arial" w:eastAsia="Arial" w:hAnsi="Arial"/>
          <w:sz w:val="16"/>
          <w:szCs w:val="16"/>
          <w:color w:val="auto"/>
        </w:rPr>
        <w:t xml:space="preserve">. As soon as practicable after the exercise of any Warrant and the clearance of the funds in payment of the Warrant Price (if payment is pursuant to </w:t>
      </w:r>
      <w:r>
        <w:rPr>
          <w:rFonts w:ascii="Arial" w:cs="Arial" w:eastAsia="Arial" w:hAnsi="Arial"/>
          <w:sz w:val="16"/>
          <w:szCs w:val="16"/>
          <w:u w:val="single" w:color="auto"/>
          <w:color w:val="auto"/>
        </w:rPr>
        <w:t>subsection 3.3.1(a)</w:t>
      </w:r>
      <w:r>
        <w:rPr>
          <w:rFonts w:ascii="Arial" w:cs="Arial" w:eastAsia="Arial" w:hAnsi="Arial"/>
          <w:sz w:val="16"/>
          <w:szCs w:val="16"/>
          <w:color w:val="auto"/>
        </w:rPr>
        <w:t xml:space="preserve">), the Company shall issue to the Registered Holder of such Warrant a book-entry position or certificate, as applicable, for the number of full Class A ordinary shares to which he, she or it is entitled, registered in such name or names as may be directed by him, her or it on the register of members of the Company, and if such Warrant shall not have been exercised in full, a new book-entry position or countersigned Warrant, as applicable, for the number of shares as to which such Warrant shall not have been exercised. Notwithstanding the foregoing, the Company shall not be obligated to deliver any Class A ordinary shares pursuant to the exercise of a Warrant and shall have no obligation to settle such Warrant exercise unless a registration statement under the Securities Act covering the issuance of the Class A ordinary shares underlying the Public Warrants is then effective and a prospectus relating thereto is current, subject to the Company’s satisfying its obligations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7.4</w:t>
      </w:r>
      <w:r>
        <w:rPr>
          <w:rFonts w:ascii="Arial" w:cs="Arial" w:eastAsia="Arial" w:hAnsi="Arial"/>
          <w:sz w:val="16"/>
          <w:szCs w:val="16"/>
          <w:color w:val="auto"/>
        </w:rPr>
        <w:t>. No Warrant shall be exercisable and the Company shall not be obligated to issue Class A ordinary shares upon exercise of a Warrant unless the Class A ordinary shares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and such Warrant may have no value and expire worthless, in which case the purchaser of a Unit containing such Public Warrants shall have paid the full purchase price for the Unit solely for the Class A ordinary shares underlying such Unit. In no event will the Company be required to net cash settle any Warrant. The Company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78" w:name="page279"/>
    <w:bookmarkEnd w:id="278"/>
    <w:p>
      <w:pPr>
        <w:ind w:right="140"/>
        <w:spacing w:after="0" w:line="286" w:lineRule="auto"/>
        <w:rPr>
          <w:sz w:val="20"/>
          <w:szCs w:val="20"/>
          <w:color w:val="auto"/>
        </w:rPr>
      </w:pPr>
      <w:r>
        <w:rPr>
          <w:rFonts w:ascii="Arial" w:cs="Arial" w:eastAsia="Arial" w:hAnsi="Arial"/>
          <w:sz w:val="17"/>
          <w:szCs w:val="17"/>
          <w:color w:val="auto"/>
        </w:rPr>
        <w:t xml:space="preserve">holders of Public Warrants to settle the Warrant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If, by reason of any exercise of Warrants on a “cashless basis”, the holder of any Warrant would be entitled, upon the exercise of such Warrant, to receive a fractional interest in an Class A ordinary shares, the Company shall round down to the nearest whole number, the number of Class A ordinary shares to be issued to such holder.</w:t>
      </w:r>
    </w:p>
    <w:p>
      <w:pPr>
        <w:spacing w:after="0" w:line="166" w:lineRule="exact"/>
        <w:rPr>
          <w:sz w:val="20"/>
          <w:szCs w:val="20"/>
          <w:color w:val="auto"/>
        </w:rPr>
      </w:pPr>
    </w:p>
    <w:p>
      <w:pPr>
        <w:ind w:right="660" w:firstLine="1945"/>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Class A ordinary shares issued upon the proper exercise of a Warrant in conformity with this Agreement shall be validly issued, fully paid and non-assessable.</w:t>
      </w:r>
    </w:p>
    <w:p>
      <w:pPr>
        <w:spacing w:after="0" w:line="170" w:lineRule="exact"/>
        <w:rPr>
          <w:sz w:val="20"/>
          <w:szCs w:val="20"/>
          <w:color w:val="auto"/>
        </w:rPr>
      </w:pPr>
    </w:p>
    <w:p>
      <w:pPr>
        <w:ind w:firstLine="1945"/>
        <w:spacing w:after="0" w:line="255"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book-entry position or certificate, as applicable, for Class A ordinary shares is issued and who is registered in the register of members of the Company shall for all purposes be deemed to have become the holder of record of such Class A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register of members of the Company or book-entry system of the Warrant Agent are closed, such person shall be deemed to have become the holder of such Class A ordinary shares at the close of business on the next succeeding date on which the share transfer books or book-entry system are open.</w:t>
      </w:r>
    </w:p>
    <w:p>
      <w:pPr>
        <w:spacing w:after="0" w:line="189" w:lineRule="exact"/>
        <w:rPr>
          <w:sz w:val="20"/>
          <w:szCs w:val="20"/>
          <w:color w:val="auto"/>
        </w:rPr>
      </w:pPr>
    </w:p>
    <w:p>
      <w:pPr>
        <w:ind w:right="20" w:firstLine="1945"/>
        <w:spacing w:after="0" w:line="285"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(or such other amount as a holder may specify)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of the Class A ordinary shares outstanding immediately after giving effect to such exercise. For purposes of the foregoing sentence, the aggregate number of Class A ordinary shares beneficially owned by such person and its affiliates shall include the number of Class A ordinary shares issuable upon exercise of the Warrant with respect to which the determination of such sentence is being made, but shall exclude Class A ordinary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For purposes of the Warrant, in determining the number of outstanding Class A ordinary shares, the holder may rely on the number of outstanding Class A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Continental Stock Transfer &amp; Trust Company, as transfer agent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79" w:name="page280"/>
    <w:bookmarkEnd w:id="279"/>
    <w:p>
      <w:pPr>
        <w:ind w:right="120" w:firstLine="194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 Agent</w:t>
      </w:r>
      <w:r>
        <w:rPr>
          <w:rFonts w:ascii="Arial" w:cs="Arial" w:eastAsia="Arial" w:hAnsi="Arial"/>
          <w:sz w:val="17"/>
          <w:szCs w:val="17"/>
          <w:color w:val="auto"/>
        </w:rPr>
        <w:t xml:space="preserve">”), setting forth the number of Class A ordinary shares outstanding. For any reason at any time, upon the written request of the holder of the Warrant, the Company shall, within two (2) Business Days, confirm orally and in writing to such holder the number of Class A ordinary shares then outstanding. In any case, the number of outstanding Class A ordinary shares shall be determined after giving effect to the conversion or exercise of equity securities of the Company by the holder and its affiliates since the date as of which such number of outstanding Class A ordinary shares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increase shall not be effective until the sixty-first (61st) day after such notice is delivered to the Company.</w:t>
      </w:r>
    </w:p>
    <w:p>
      <w:pPr>
        <w:spacing w:after="0" w:line="178" w:lineRule="exact"/>
        <w:rPr>
          <w:sz w:val="20"/>
          <w:szCs w:val="20"/>
          <w:color w:val="auto"/>
        </w:rPr>
      </w:pPr>
    </w:p>
    <w:p>
      <w:pPr>
        <w:ind w:left="1100" w:hanging="444"/>
        <w:spacing w:after="0"/>
        <w:tabs>
          <w:tab w:leader="none" w:pos="11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Stock Dividends</w:t>
      </w:r>
      <w:r>
        <w:rPr>
          <w:rFonts w:ascii="Arial" w:cs="Arial" w:eastAsia="Arial" w:hAnsi="Arial"/>
          <w:sz w:val="16"/>
          <w:szCs w:val="16"/>
          <w:color w:val="auto"/>
        </w:rPr>
        <w:t>.</w:t>
      </w:r>
    </w:p>
    <w:p>
      <w:pPr>
        <w:spacing w:after="0" w:line="225" w:lineRule="exact"/>
        <w:rPr>
          <w:sz w:val="20"/>
          <w:szCs w:val="20"/>
          <w:color w:val="auto"/>
        </w:rPr>
      </w:pPr>
    </w:p>
    <w:p>
      <w:pPr>
        <w:ind w:right="20" w:firstLine="1945"/>
        <w:spacing w:after="0" w:line="284"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Split-Ups</w:t>
      </w:r>
      <w:r>
        <w:rPr>
          <w:rFonts w:ascii="Arial" w:cs="Arial" w:eastAsia="Arial" w:hAnsi="Arial"/>
          <w:sz w:val="16"/>
          <w:szCs w:val="16"/>
          <w:color w:val="auto"/>
        </w:rPr>
        <w:t xml:space="preserve">. If after the date hereof, and subject to the provisions of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below, the number of outstanding Class A ordinary shares is increased by a capitalization or share dividend payable in Class A ordinary shares, or by a split-up of Class A ordinary shares or other similar event, then, on the effective date of such share dividend, split-up or similar event, the number of Class A ordinary shares issuable on exercise of each Warrant shall be increased in proportion to such increase in the outstanding Class A ordinary shares. A rights offering to holders of Class A ordinary shares entitling holders to purchase Class A ordinary shares at a price less than the “Fair Market Value” (as defined below) shall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multiplied by (ii) one (1) minus the quotient of (x) the price per Class A ordinary shares paid in such rights offering divided by (y) the Fair Market Value. For purposes of this </w:t>
      </w:r>
      <w:r>
        <w:rPr>
          <w:rFonts w:ascii="Arial" w:cs="Arial" w:eastAsia="Arial" w:hAnsi="Arial"/>
          <w:sz w:val="16"/>
          <w:szCs w:val="16"/>
          <w:u w:val="single" w:color="auto"/>
          <w:color w:val="auto"/>
        </w:rPr>
        <w:t>subsection 4.1.1</w:t>
      </w:r>
      <w:r>
        <w:rPr>
          <w:rFonts w:ascii="Arial" w:cs="Arial" w:eastAsia="Arial" w:hAnsi="Arial"/>
          <w:sz w:val="16"/>
          <w:szCs w:val="16"/>
          <w:color w:val="auto"/>
        </w:rPr>
        <w:t>,</w:t>
      </w:r>
    </w:p>
    <w:p>
      <w:pPr>
        <w:spacing w:after="0" w:line="1" w:lineRule="exact"/>
        <w:rPr>
          <w:sz w:val="20"/>
          <w:szCs w:val="20"/>
          <w:color w:val="auto"/>
        </w:rPr>
      </w:pPr>
    </w:p>
    <w:p>
      <w:pPr>
        <w:ind w:right="20" w:firstLine="8"/>
        <w:spacing w:after="0" w:line="281" w:lineRule="auto"/>
        <w:tabs>
          <w:tab w:leader="none" w:pos="21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the rights offering is for securities convertible into or exercisable for Class A ordinary shares, in determining the price payable for Class A ordinary shares, there shall be taken into account any consideration received for such rights, as well as any additional amount payable upon exercise or conversion and</w:t>
      </w:r>
    </w:p>
    <w:p>
      <w:pPr>
        <w:spacing w:after="0" w:line="1" w:lineRule="exact"/>
        <w:rPr>
          <w:rFonts w:ascii="Arial" w:cs="Arial" w:eastAsia="Arial" w:hAnsi="Arial"/>
          <w:sz w:val="16"/>
          <w:szCs w:val="16"/>
          <w:color w:val="auto"/>
        </w:rPr>
      </w:pPr>
    </w:p>
    <w:p>
      <w:pPr>
        <w:ind w:firstLine="8"/>
        <w:spacing w:after="0" w:line="255" w:lineRule="auto"/>
        <w:tabs>
          <w:tab w:leader="none" w:pos="2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90" w:lineRule="exact"/>
        <w:rPr>
          <w:sz w:val="20"/>
          <w:szCs w:val="20"/>
          <w:color w:val="auto"/>
        </w:rPr>
      </w:pPr>
    </w:p>
    <w:p>
      <w:pPr>
        <w:ind w:right="140" w:firstLine="1945"/>
        <w:spacing w:after="0" w:line="255"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Extraordinary Dividends</w:t>
      </w:r>
      <w:r>
        <w:rPr>
          <w:rFonts w:ascii="Arial" w:cs="Arial" w:eastAsia="Arial" w:hAnsi="Arial"/>
          <w:sz w:val="18"/>
          <w:szCs w:val="18"/>
          <w:color w:val="auto"/>
        </w:rPr>
        <w:t xml:space="preserve">. If the Company, at any time while the Warrants are outstanding and unexpired, shall pay a dividend or make a distribution in cash, securities or other assets to the holders of Class A ordinary shares on account of such Class A ordinary shares (or other securities into which the Warrants are convertible), other than (a) as described in </w:t>
      </w:r>
      <w:r>
        <w:rPr>
          <w:rFonts w:ascii="Arial" w:cs="Arial" w:eastAsia="Arial" w:hAnsi="Arial"/>
          <w:sz w:val="18"/>
          <w:szCs w:val="18"/>
          <w:u w:val="single" w:color="auto"/>
          <w:color w:val="auto"/>
        </w:rPr>
        <w:t>subsection 4.1.1</w:t>
      </w:r>
      <w:r>
        <w:rPr>
          <w:rFonts w:ascii="Arial" w:cs="Arial" w:eastAsia="Arial" w:hAnsi="Arial"/>
          <w:sz w:val="18"/>
          <w:szCs w:val="18"/>
          <w:color w:val="auto"/>
        </w:rPr>
        <w:t xml:space="preserve"> above, (b) Ordinary Cash Dividends (as defined below), (c) to satisfy the redemption rights of the holders of Class A ordinary shares in connection with a proposed initial Business Combination, (d) to satisfy the redemption rights of the holders of Class A ordinary shares in connection with a shareholder vote to amend the Company’s amended and restated memorandum and articles of association (i) to modify the substance or timing of the Company’s obligation to redeem 100% of its public shares if the Company does not complete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280" w:name="page281"/>
    <w:bookmarkEnd w:id="280"/>
    <w:p>
      <w:pPr>
        <w:spacing w:after="0" w:line="288" w:lineRule="auto"/>
        <w:rPr>
          <w:sz w:val="20"/>
          <w:szCs w:val="20"/>
          <w:color w:val="auto"/>
        </w:rPr>
      </w:pPr>
      <w:r>
        <w:rPr>
          <w:rFonts w:ascii="Arial" w:cs="Arial" w:eastAsia="Arial" w:hAnsi="Arial"/>
          <w:sz w:val="16"/>
          <w:szCs w:val="16"/>
          <w:color w:val="auto"/>
        </w:rPr>
        <w:t>initial Business Combination within the required time period or (ii) with respect to any other provision relating to shareholders’ rights or pre-initial Business Combination activity or (e)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6"/>
          <w:szCs w:val="16"/>
          <w:b w:val="1"/>
          <w:bCs w:val="1"/>
          <w:i w:val="1"/>
          <w:iCs w:val="1"/>
          <w:color w:val="auto"/>
        </w:rPr>
        <w:t>Extraordinary Dividend</w:t>
      </w:r>
      <w:r>
        <w:rPr>
          <w:rFonts w:ascii="Arial" w:cs="Arial" w:eastAsia="Arial" w:hAnsi="Arial"/>
          <w:sz w:val="16"/>
          <w:szCs w:val="16"/>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Class A ordinary shares in respect of such Extraordinary Dividend. For purposes of this </w:t>
      </w:r>
      <w:r>
        <w:rPr>
          <w:rFonts w:ascii="Arial" w:cs="Arial" w:eastAsia="Arial" w:hAnsi="Arial"/>
          <w:sz w:val="16"/>
          <w:szCs w:val="16"/>
          <w:u w:val="single" w:color="auto"/>
          <w:color w:val="auto"/>
        </w:rPr>
        <w:t>subsection 4.1.2</w:t>
      </w:r>
      <w:r>
        <w:rPr>
          <w:rFonts w:ascii="Arial" w:cs="Arial" w:eastAsia="Arial" w:hAnsi="Arial"/>
          <w:sz w:val="16"/>
          <w:szCs w:val="16"/>
          <w:color w:val="auto"/>
        </w:rPr>
        <w:t>, “</w:t>
      </w:r>
      <w:r>
        <w:rPr>
          <w:rFonts w:ascii="Arial" w:cs="Arial" w:eastAsia="Arial" w:hAnsi="Arial"/>
          <w:sz w:val="16"/>
          <w:szCs w:val="16"/>
          <w:b w:val="1"/>
          <w:bCs w:val="1"/>
          <w:i w:val="1"/>
          <w:iCs w:val="1"/>
          <w:color w:val="auto"/>
        </w:rPr>
        <w:t>Ordinary Cash Dividends</w:t>
      </w:r>
      <w:r>
        <w:rPr>
          <w:rFonts w:ascii="Arial" w:cs="Arial" w:eastAsia="Arial" w:hAnsi="Arial"/>
          <w:sz w:val="16"/>
          <w:szCs w:val="16"/>
          <w:color w:val="auto"/>
        </w:rPr>
        <w:t xml:space="preserve">” means any cash dividend or cash distribution which, when combined on a per share basis, with the per share amounts of all other cash dividends and cash distributions paid on the Class A ordinary shares during the 365-day period ending on the date of declaration of such dividend or distribution (as adjusted to appropriately reflect any of the events referred to in other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excluding cash dividends or cash distributions that resulted in an adjustment to the Warrant Price or to the number of Class A ordinary shares issuable on exercise of each Warrant) does not exceed $0.50 (being 5% of the offering price of the Units in the Offering).</w:t>
      </w:r>
    </w:p>
    <w:p>
      <w:pPr>
        <w:spacing w:after="0" w:line="169" w:lineRule="exact"/>
        <w:rPr>
          <w:sz w:val="20"/>
          <w:szCs w:val="20"/>
          <w:color w:val="auto"/>
        </w:rPr>
      </w:pPr>
    </w:p>
    <w:p>
      <w:pPr>
        <w:jc w:val="both"/>
        <w:ind w:right="60" w:firstLine="1297"/>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Aggregation of Shares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hereof,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shall be decreased in proportion to such decrease in outstanding Class A ordinary shares.</w:t>
      </w:r>
    </w:p>
    <w:p>
      <w:pPr>
        <w:spacing w:after="0" w:line="171"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Adjustments in Exercise Price</w:t>
      </w:r>
      <w:r>
        <w:rPr>
          <w:rFonts w:ascii="Arial" w:cs="Arial" w:eastAsia="Arial" w:hAnsi="Arial"/>
          <w:sz w:val="16"/>
          <w:szCs w:val="16"/>
          <w:color w:val="auto"/>
        </w:rPr>
        <w:t xml:space="preserve">. Whenever the number of Class A ordinary shares purchasable upon the exercise of the Warrants is adjusted, as provided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the Warrant Price shall be adjusted (to the nearest cent) by multiplying such Warrant Price immediately prior to such adjustment by a fraction (x) the numerator of which shall be the number of Class A ordinary shares purchasable upon the exercise of the Warrants immediately prior to such adjustment, and (y) the denominator of which shall be the number of Class A ordinary shares so purchasable immediately thereafter. 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Board, and in the case of any such issuance to the Sponsor or its affiliates, without taking into account any founder shares (as defined in the Prospectus) held by the Sponsor or such affiliates, as applicable, prior to such issuance) (the “</w:t>
      </w:r>
      <w:r>
        <w:rPr>
          <w:rFonts w:ascii="Arial" w:cs="Arial" w:eastAsia="Arial" w:hAnsi="Arial"/>
          <w:sz w:val="16"/>
          <w:szCs w:val="16"/>
          <w:b w:val="1"/>
          <w:bCs w:val="1"/>
          <w:color w:val="auto"/>
        </w:rPr>
        <w:t>Newly Issued Price</w:t>
      </w:r>
      <w:r>
        <w:rPr>
          <w:rFonts w:ascii="Arial" w:cs="Arial" w:eastAsia="Arial" w:hAnsi="Arial"/>
          <w:sz w:val="16"/>
          <w:szCs w:val="16"/>
          <w:color w:val="auto"/>
        </w:rPr>
        <w:t>”), (y) the aggregate gross proceeds from such issuances represent more than 60% of the total equity proceeds, and interest thereon, available for the funding of the initial Business Combination on the date of the completion of a the initial Business Combination (net of redemptions), and (z) the volume weighted average trading price of the Company’s ordinary shares during the 20 trading day period starting on the trading day prior to the day on which the Company consummates the initial Business Combination (such price, the “</w:t>
      </w:r>
      <w:r>
        <w:rPr>
          <w:rFonts w:ascii="Arial" w:cs="Arial" w:eastAsia="Arial" w:hAnsi="Arial"/>
          <w:sz w:val="16"/>
          <w:szCs w:val="16"/>
          <w:b w:val="1"/>
          <w:bCs w:val="1"/>
          <w:color w:val="auto"/>
        </w:rPr>
        <w:t>Market Value</w:t>
      </w:r>
      <w:r>
        <w:rPr>
          <w:rFonts w:ascii="Arial" w:cs="Arial" w:eastAsia="Arial" w:hAnsi="Arial"/>
          <w:sz w:val="16"/>
          <w:szCs w:val="16"/>
          <w:color w:val="auto"/>
        </w:rPr>
        <w:t>”) is below $9.20 per share, the Warrant Price will be adjusted (to the nearest cent) to be equal to 115% of the higher of the Market Value and the Newly Issued Price,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1" w:name="page282"/>
    <w:bookmarkEnd w:id="281"/>
    <w:p>
      <w:pPr>
        <w:ind w:right="60"/>
        <w:spacing w:after="0" w:line="277" w:lineRule="auto"/>
        <w:rPr>
          <w:sz w:val="20"/>
          <w:szCs w:val="20"/>
          <w:color w:val="auto"/>
        </w:rPr>
      </w:pPr>
      <w:r>
        <w:rPr>
          <w:rFonts w:ascii="Arial" w:cs="Arial" w:eastAsia="Arial" w:hAnsi="Arial"/>
          <w:sz w:val="18"/>
          <w:szCs w:val="18"/>
          <w:color w:val="auto"/>
        </w:rPr>
        <w:t xml:space="preserve">$18.00 per share redemption trigger price described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will be adjusted (to the nearest cent) to be equal to 180% of the higher of the Market Value and the Newly Issued Price.</w:t>
      </w:r>
    </w:p>
    <w:p>
      <w:pPr>
        <w:spacing w:after="0" w:line="17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 xml:space="preserve">Replacement of Securities upon Reorganization, etc. </w:t>
      </w:r>
      <w:r>
        <w:rPr>
          <w:rFonts w:ascii="Arial" w:cs="Arial" w:eastAsia="Arial" w:hAnsi="Arial"/>
          <w:sz w:val="16"/>
          <w:szCs w:val="16"/>
          <w:color w:val="auto"/>
        </w:rPr>
        <w:t>In case of any reclassification or reorganization of the outstanding Class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ordinary shares (other than a change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Class A ordinary shares), or in the case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merger or consolidation of the Company with or into another entity or conversion of the Company as another entity (other than a consolidation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merger in which the Company is the continuing corporation and that does not result in any reclassification or reorganization of the outstanding Class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or in the case of any sale or conveyance to another corporation or entity of the assets or other property of the Company as an entirety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as an entirety in connection with which the Company is dissolved, the holders of the Warrants shall thereafter have the right to purchase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upon the basis and upon the terms and conditions specified in the Warrants and in lieu of the Class A ordinary shares of the Company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theretofore purchasable and receivable upon the exercise of the rights represented thereby, the kind and amount of shares or stock or other securities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property (including cash) receivable upon such reclassification, reorganization, merger or consolidation, or upon a dissolution following any such sale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transfer, that the holder of the Warrants would have received if such holder had exercised his, her or its Warrant(s) immediately prior to such event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Alternative Issuance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holders of the Class A ordinary shares were entitled to exercise a right of election as to the kind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securities, cash or other assets receivable upon such consolidation or merger, then the kind and amount of securities, cash or other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constituting the Alternative Issuance for which each Warrant shall become exercisable shall be deemed to be the weighted average of the kind and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per share by the holders of the Class A ordinary shares in such consolidation or merger that affirmatively make such election, and (ii) if a tender,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or redemption offer shall have been made to and accepted by the holders of the Class A ordinary shares (other than a tender, exchange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redemption offer made by the Company in connection with redemption rights held by shareholders of the Company as provided for in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memorandum and articles of association or as a result of the repurchase of Class A ordinary shares by the Company if a proposed initial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Combination is presented to the shareholders of the Company for approval) under circumstances in which, upon completion of such tender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offer, the maker thereof, together with members of any group (within the meaning of Rule 13d-5(b)(1) under the Exchange Act (or any successor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of which such maker is a part, and together with any affiliate or associate of such maker (within the meaning of Rule 12b-2 under the Exchange Act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successor rule)) and any members of any such group of which any such affiliate or associate is a part, own beneficially (within the meaning of Rule 13d-3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Exchange Act (or any successor rule)) more than 50% of the outstanding Class A ordinary shares, the holder of a Warrant shall be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Alternative Issuance, the highest amount of cash, securities or other property to which such holder would actually have been entitled as a shareholder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Warrant holder had exercised the Warrant prior to the expiration of such tender or exchange offer, accepted such offer and all of the Class A ordinary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held by such holder had been purchased pursuant to such tender or exchange offer, subject to adjustments (from and after the consummation of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tender or exchange offer) as nearly equivalent as possible to the adjustments provided for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less than 70%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consideration receivable by the holders of the Class A ordinary shares in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2" w:name="page283"/>
    <w:bookmarkEnd w:id="282"/>
    <w:p>
      <w:pPr>
        <w:ind w:right="40"/>
        <w:spacing w:after="0" w:line="283" w:lineRule="auto"/>
        <w:rPr>
          <w:sz w:val="20"/>
          <w:szCs w:val="20"/>
          <w:color w:val="auto"/>
        </w:rPr>
      </w:pPr>
      <w:r>
        <w:rPr>
          <w:rFonts w:ascii="Arial" w:cs="Arial" w:eastAsia="Arial" w:hAnsi="Arial"/>
          <w:sz w:val="16"/>
          <w:szCs w:val="16"/>
          <w:color w:val="auto"/>
        </w:rPr>
        <w:t>event is payable in the form of shares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“Black-Scholes Warrant Value” means the value of a Warrant immediately prior to the consummation of the applicable event based on the Black-Scholes Warrant Model for a Capped American Call on Bloomberg Financial Markets (“</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xml:space="preserve">”). For purposes of calculating such amount, (i)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(ii) the price of each Class A ordinary shares shall be the volume weighted average price of the Class A ordinary shares as reported during the ten (10) trading day period ending on the trading day prior to the effective date of the applicable event, (iii) the assumed volatility shall be the 90 day volatility obtained from the HVT function on Bloomberg determined as of the trading day immediately prior to the day of the announcement of the applicable event and (iv) the assumed risk-free interest rate shall correspond to the U.S. Treasury rate for a period equal to the remaining term of the Warrant. “Per Share Consideration” means (i) if the consideration paid to holders of the Class A ordinary shares consists exclusively of cash, the amount of such cash per Class A ordinary shares, and (ii) in all other cases, the volume weighted average price of the Class A ordinary shares as reported during the ten (10) trading day period ending on the trading day prior to the effective date of the applicable event. If any reclassification or reorganization also results in a change in Class A ordinary shares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then such adjustment shall be made pursuant to</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u w:val="single" w:color="auto"/>
          <w:color w:val="auto"/>
        </w:rPr>
        <w:t>subsection 4.1.1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190"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4.4</w:t>
      </w:r>
      <w:r>
        <w:rPr>
          <w:rFonts w:ascii="Arial" w:cs="Arial" w:eastAsia="Arial" w:hAnsi="Arial"/>
          <w:sz w:val="16"/>
          <w:szCs w:val="16"/>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6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 contained in this Agreement to the contrary, the Company shall not issue fractional shares upon the exercise of Warrants. If, by reason of any adjustment made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holder of any Warrant would be entitled, upon the exercise of such Warrant, to receive a fractional interest in a share, the Company shall, upon such exercise, round down to the nearest whole number the number of Class A ordinary shares to be issued to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283" w:name="page284"/>
    <w:bookmarkEnd w:id="283"/>
    <w:p>
      <w:pPr>
        <w:ind w:firstLine="1297"/>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4, and Warrants issued after such adjustment may state the same Warrant Price and the same number of shares as is stated in the Warrants initially issued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Other Events</w:t>
      </w:r>
      <w:r>
        <w:rPr>
          <w:rFonts w:ascii="Arial" w:cs="Arial" w:eastAsia="Arial" w:hAnsi="Arial"/>
          <w:sz w:val="17"/>
          <w:szCs w:val="17"/>
          <w:color w:val="auto"/>
        </w:rPr>
        <w:t xml:space="preserve">. In case any event shall occur affecting the Company as to which none of the provisions of the preceding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are strictly applicable, but which would require an adjustment to the terms of the Warrants in order to (i) avoid an adverse impact on the Warrants and (ii) effectuate the intent and purpose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if they determine that an adjustment is necessary, the terms of such adjustment;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under no circumstances shall the Warrants be adjusted pursuant to this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as a result of any issuance of securities in connection with a Business Combination. The Company shall adjust the terms of the Warrants in a manner that is consistent with any adjustment recommended in such opinion.</w:t>
      </w:r>
    </w:p>
    <w:p>
      <w:pPr>
        <w:spacing w:after="0" w:line="179" w:lineRule="exact"/>
        <w:rPr>
          <w:sz w:val="20"/>
          <w:szCs w:val="20"/>
          <w:color w:val="auto"/>
        </w:rPr>
      </w:pPr>
    </w:p>
    <w:p>
      <w:pPr>
        <w:ind w:left="1100" w:hanging="444"/>
        <w:spacing w:after="0"/>
        <w:tabs>
          <w:tab w:leader="none" w:pos="110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such Warrant for transfer, in the case of certificated warrants,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9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4" w:name="page285"/>
    <w:bookmarkEnd w:id="284"/>
    <w:p>
      <w:pPr>
        <w:ind w:left="1300"/>
        <w:spacing w:after="0"/>
        <w:tabs>
          <w:tab w:leader="none" w:pos="18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shall supply the Warrant Agent with Warrants duly executed on behalf of the Company for such purpose.</w:t>
      </w:r>
    </w:p>
    <w:p>
      <w:pPr>
        <w:spacing w:after="0" w:line="166"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have no effect on any transfer of Warrants on and after the Detachment Date.</w:t>
      </w:r>
    </w:p>
    <w:p>
      <w:pPr>
        <w:spacing w:after="0" w:line="171" w:lineRule="exact"/>
        <w:rPr>
          <w:sz w:val="20"/>
          <w:szCs w:val="20"/>
          <w:color w:val="auto"/>
        </w:rPr>
      </w:pPr>
    </w:p>
    <w:p>
      <w:pPr>
        <w:ind w:left="1100" w:hanging="444"/>
        <w:spacing w:after="0"/>
        <w:tabs>
          <w:tab w:leader="none" w:pos="11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hereof, not less than all of the outstanding Warrants may be redeemed, at the option of the Company, at any time while they are exercisable and prior to their expiration, at the office of the Warrant Agent, upon notice to the Registered Holders of the Warrants, as described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below, at the price of $0.01 per Warrant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 xml:space="preserve">”), provided that the last sales price of the Class A ordinary shares reported has been at least $18.00 per share (subject to adjustment in compliance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on each of twenty (20) trading days within the thirty (30) trading-day period ending on the third trading day prior to the date on which notice of the redemption is given and provided that there is an effective registration statement covering the Class A ordinary shares issuable upon exercise of the Warrants, and a current prospectus relating thereto, available throughout the 30-day Redemption Period (as defined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below) or the Company has elected to require the exercise of the Warrants on a “cashless basis” pursuant to </w:t>
      </w:r>
      <w:r>
        <w:rPr>
          <w:rFonts w:ascii="Arial" w:cs="Arial" w:eastAsia="Arial" w:hAnsi="Arial"/>
          <w:sz w:val="17"/>
          <w:szCs w:val="17"/>
          <w:u w:val="single" w:color="auto"/>
          <w:color w:val="auto"/>
        </w:rPr>
        <w:t>subsection 3.3.1</w:t>
      </w:r>
      <w:r>
        <w:rPr>
          <w:rFonts w:ascii="Arial" w:cs="Arial" w:eastAsia="Arial" w:hAnsi="Arial"/>
          <w:sz w:val="17"/>
          <w:szCs w:val="17"/>
          <w:color w:val="auto"/>
        </w:rPr>
        <w:t>.</w:t>
      </w:r>
    </w:p>
    <w:p>
      <w:pPr>
        <w:spacing w:after="0" w:line="179"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Date Fixed for, and Notice of, Redemption</w:t>
      </w:r>
      <w:r>
        <w:rPr>
          <w:rFonts w:ascii="Arial" w:cs="Arial" w:eastAsia="Arial" w:hAnsi="Arial"/>
          <w:sz w:val="17"/>
          <w:szCs w:val="17"/>
          <w:color w:val="auto"/>
        </w:rPr>
        <w:t xml:space="preserve">. In the event that the Company elects to redeem all of the Warrants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the Company shall fix a date for the redemption (the “</w:t>
      </w:r>
      <w:r>
        <w:rPr>
          <w:rFonts w:ascii="Arial" w:cs="Arial" w:eastAsia="Arial" w:hAnsi="Arial"/>
          <w:sz w:val="17"/>
          <w:szCs w:val="17"/>
          <w:b w:val="1"/>
          <w:bCs w:val="1"/>
          <w:i w:val="1"/>
          <w:iCs w:val="1"/>
          <w:color w:val="auto"/>
        </w:rPr>
        <w:t>Redemption Date</w:t>
      </w:r>
      <w:r>
        <w:rPr>
          <w:rFonts w:ascii="Arial" w:cs="Arial" w:eastAsia="Arial" w:hAnsi="Arial"/>
          <w:sz w:val="17"/>
          <w:szCs w:val="17"/>
          <w:color w:val="auto"/>
        </w:rPr>
        <w:t>”). Notice of redemption shall be mailed by first class mail, postage prepaid, by the Company not less than thirty (30) days prior to the Redemption Date (the “</w:t>
      </w:r>
      <w:r>
        <w:rPr>
          <w:rFonts w:ascii="Arial" w:cs="Arial" w:eastAsia="Arial" w:hAnsi="Arial"/>
          <w:sz w:val="17"/>
          <w:szCs w:val="17"/>
          <w:b w:val="1"/>
          <w:bCs w:val="1"/>
          <w:i w:val="1"/>
          <w:iCs w:val="1"/>
          <w:color w:val="auto"/>
        </w:rPr>
        <w:t>30-day Redemption Period</w:t>
      </w:r>
      <w:r>
        <w:rPr>
          <w:rFonts w:ascii="Arial" w:cs="Arial" w:eastAsia="Arial" w:hAnsi="Arial"/>
          <w:sz w:val="17"/>
          <w:szCs w:val="17"/>
          <w:color w:val="auto"/>
        </w:rPr>
        <w:t>”) to the Registered Holders of the Public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73"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Exercise After Notice of Redemption</w:t>
      </w:r>
      <w:r>
        <w:rPr>
          <w:rFonts w:ascii="Arial" w:cs="Arial" w:eastAsia="Arial" w:hAnsi="Arial"/>
          <w:sz w:val="16"/>
          <w:szCs w:val="16"/>
          <w:color w:val="auto"/>
        </w:rPr>
        <w:t xml:space="preserve">. The Warrants may be exercised, for cash (or on a “cashless basis” in accordance with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of this Agreement) at any time after notice of redemption shall have been given by the Company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and prior to the Redemption Date. In the event that the Company determines to require all holders of Warrants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the notice of redemption shall contain the information necessary to calculate the number of Class A ordinary shares to be received upon exercise of the Warrants, including the “Fair Market Value” (as such term is defined in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hereof) in such case. 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285" w:name="page286"/>
    <w:bookmarkEnd w:id="285"/>
    <w:p>
      <w:pPr>
        <w:ind w:right="220"/>
        <w:spacing w:after="0" w:line="277" w:lineRule="auto"/>
        <w:rPr>
          <w:sz w:val="20"/>
          <w:szCs w:val="20"/>
          <w:color w:val="auto"/>
        </w:rPr>
      </w:pPr>
      <w:r>
        <w:rPr>
          <w:rFonts w:ascii="Arial" w:cs="Arial" w:eastAsia="Arial" w:hAnsi="Arial"/>
          <w:sz w:val="18"/>
          <w:szCs w:val="18"/>
          <w:color w:val="auto"/>
        </w:rPr>
        <w:t>after the Redemption Date, the record holder of the Warrants shall have no further rights except to receive, upon surrender of the Warrants, the Redemption Price.</w:t>
      </w:r>
    </w:p>
    <w:p>
      <w:pPr>
        <w:spacing w:after="0" w:line="170"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Exclusion of Private Placement Warrants</w:t>
      </w:r>
      <w:r>
        <w:rPr>
          <w:rFonts w:ascii="Arial" w:cs="Arial" w:eastAsia="Arial" w:hAnsi="Arial"/>
          <w:sz w:val="18"/>
          <w:szCs w:val="18"/>
          <w:color w:val="auto"/>
        </w:rPr>
        <w:t xml:space="preserve">. The Company agrees that the redemption rights provided in this Section 6 shall not apply to the Private Placement Warrants if at the time of the redemption such Private Placement Warrants continue to be held by the Sponsor or any of its Permitted Transferees. However, once such Private Placement Warrants are transferred (other than to Permitted Transferees under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the Company may redeem the Private Placement Warrants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provided that the criteria for redemption are met, including the opportunity of the holder of such Private Placement Warrants to exercise the Private Placement Warrants prior to redemption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Private Placement Warrants that are transferred to persons other than Permitted Transferees shall upon such transfer cease to be Private Placement Warrants and shall become Public Warrants under this Agreement.</w:t>
      </w:r>
    </w:p>
    <w:p>
      <w:pPr>
        <w:spacing w:after="0" w:line="189" w:lineRule="exact"/>
        <w:rPr>
          <w:sz w:val="20"/>
          <w:szCs w:val="20"/>
          <w:color w:val="auto"/>
        </w:rPr>
      </w:pPr>
    </w:p>
    <w:p>
      <w:pPr>
        <w:ind w:left="1100" w:hanging="444"/>
        <w:spacing w:after="0"/>
        <w:tabs>
          <w:tab w:leader="none" w:pos="11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66"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Class A Ordinary Shares</w:t>
      </w:r>
      <w:r>
        <w:rPr>
          <w:rFonts w:ascii="Arial" w:cs="Arial" w:eastAsia="Arial" w:hAnsi="Arial"/>
          <w:sz w:val="16"/>
          <w:szCs w:val="16"/>
          <w:color w:val="auto"/>
        </w:rPr>
        <w:t>. The Company shall at all times reserve and keep available a number of its authorized but unissued Class A ordinary shares that shall be sufficient to permit the exercise in full of all outstanding Warrants issued pursuant to this Agreement.</w:t>
      </w:r>
    </w:p>
    <w:p>
      <w:pPr>
        <w:spacing w:after="0" w:line="12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Registration of Class A Ordinary Shares; Cashless Exercise at Company’s Option</w:t>
      </w:r>
      <w:r>
        <w:rPr>
          <w:rFonts w:ascii="Arial" w:cs="Arial" w:eastAsia="Arial" w:hAnsi="Arial"/>
          <w:sz w:val="16"/>
          <w:szCs w:val="16"/>
          <w:color w:val="auto"/>
        </w:rPr>
        <w:t>.</w:t>
      </w:r>
    </w:p>
    <w:p>
      <w:pPr>
        <w:spacing w:after="0" w:line="225" w:lineRule="exact"/>
        <w:rPr>
          <w:sz w:val="20"/>
          <w:szCs w:val="20"/>
          <w:color w:val="auto"/>
        </w:rPr>
      </w:pPr>
    </w:p>
    <w:p>
      <w:pPr>
        <w:ind w:right="20" w:firstLine="1945"/>
        <w:spacing w:after="0" w:line="255"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Registration of the Class A Ordinary Shares</w:t>
      </w:r>
      <w:r>
        <w:rPr>
          <w:rFonts w:ascii="Arial" w:cs="Arial" w:eastAsia="Arial" w:hAnsi="Arial"/>
          <w:sz w:val="18"/>
          <w:szCs w:val="18"/>
          <w:color w:val="auto"/>
        </w:rPr>
        <w:t>. The Company agrees that as soon as practicable, but in no event later than fifteen (15) Business Days after the closing of its initial Business Combination, it shall use its best efforts to file with the Commission a registration statement covering the issuance, under the Securities Act, of the Class A ordinary shares issuable upon exercise of the Warrants. The Company shall use its best efforts to cause the same to become effective and to maintain the effectiveness of such registration statement, and a current prospectus relating thereto, until the expiration of the Warrants in accordance with the provisions of this Agreement. If any such registration statement has not been declared effective by the 60th Business Day following the closing of the Business Combination, holders of the applicable Warrants shall have the right, during the period beginning on the 61st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6" w:name="page287"/>
    <w:bookmarkEnd w:id="286"/>
    <w:p>
      <w:pPr>
        <w:spacing w:after="0" w:line="286" w:lineRule="auto"/>
        <w:rPr>
          <w:sz w:val="20"/>
          <w:szCs w:val="20"/>
          <w:color w:val="auto"/>
        </w:rPr>
      </w:pPr>
      <w:r>
        <w:rPr>
          <w:rFonts w:ascii="Arial" w:cs="Arial" w:eastAsia="Arial" w:hAnsi="Arial"/>
          <w:sz w:val="16"/>
          <w:szCs w:val="16"/>
          <w:color w:val="auto"/>
        </w:rPr>
        <w:t xml:space="preserve">Day after the closing of the Business Combination and ending upon such registration statement being declared effective by the Commission, and during any other period when the Company shall fail to have maintained an effective registration statement covering the Class A ordinary shares issuable upon exercise of the applicable Warrants, to exercise such Warrants on a “cashless basis,” by exchanging the Warrants (in accordance with Section 3(a)(9) of the Securities Act (or any successor rule) or another exemption) for that number of Class A ordinary shares equal to the quotient obtained by dividing (x) the product of the number of Class A ordinary shares underlying the Warrants, multiplied by the excess of the “Fair Market Value” (as defined below) over the exercise price of the Warrants by (y) the Fair Market Value. Solely for purposes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“Fair Market Value” shall mean the volume weighted average price of the Class A ordinary shares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is not required to be registered under the Securities Act and (ii) the Class A ordinary shares issued upon such exercise shall be freely tradable under United States federal securities laws by anyone who is not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6"/>
          <w:szCs w:val="16"/>
          <w:u w:val="single" w:color="auto"/>
          <w:color w:val="auto"/>
        </w:rPr>
        <w:t>subsection 7.4.2</w:t>
      </w:r>
      <w:r>
        <w:rPr>
          <w:rFonts w:ascii="Arial" w:cs="Arial" w:eastAsia="Arial" w:hAnsi="Arial"/>
          <w:sz w:val="16"/>
          <w:szCs w:val="16"/>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w:t>
      </w:r>
    </w:p>
    <w:p>
      <w:pPr>
        <w:spacing w:after="0" w:line="169" w:lineRule="exact"/>
        <w:rPr>
          <w:sz w:val="20"/>
          <w:szCs w:val="20"/>
          <w:color w:val="auto"/>
        </w:rPr>
      </w:pPr>
    </w:p>
    <w:p>
      <w:pPr>
        <w:ind w:right="40" w:firstLine="1945"/>
        <w:spacing w:after="0" w:line="270" w:lineRule="auto"/>
        <w:rPr>
          <w:sz w:val="20"/>
          <w:szCs w:val="20"/>
          <w:color w:val="auto"/>
        </w:rPr>
      </w:pPr>
      <w:r>
        <w:rPr>
          <w:rFonts w:ascii="Arial" w:cs="Arial" w:eastAsia="Arial" w:hAnsi="Arial"/>
          <w:sz w:val="17"/>
          <w:szCs w:val="17"/>
          <w:color w:val="auto"/>
        </w:rPr>
        <w:t xml:space="preserve">7.4.2. </w:t>
      </w:r>
      <w:r>
        <w:rPr>
          <w:rFonts w:ascii="Arial" w:cs="Arial" w:eastAsia="Arial" w:hAnsi="Arial"/>
          <w:sz w:val="17"/>
          <w:szCs w:val="17"/>
          <w:u w:val="single" w:color="auto"/>
          <w:color w:val="auto"/>
        </w:rPr>
        <w:t>Cashless Exercise at Company’s Option</w:t>
      </w:r>
      <w:r>
        <w:rPr>
          <w:rFonts w:ascii="Arial" w:cs="Arial" w:eastAsia="Arial" w:hAnsi="Arial"/>
          <w:sz w:val="17"/>
          <w:szCs w:val="17"/>
          <w:color w:val="auto"/>
        </w:rPr>
        <w:t xml:space="preserve">. If the Class A ordinary shares are at the time of any exercise of a Warrant not listed on a national securities exchange such that it satisfies the definition of a “covered security” under Section 18(b)(1) of the Securities Act (or any successor rule), the Company may, at its option, (i) require holders of Public Warrants who exercise Public Warrants to exercise such Public Warrants on a “cashless basis” in accordance with Section 3(a)(9) of the Securities Act (or any successor rule) as described in </w:t>
      </w:r>
      <w:r>
        <w:rPr>
          <w:rFonts w:ascii="Arial" w:cs="Arial" w:eastAsia="Arial" w:hAnsi="Arial"/>
          <w:sz w:val="17"/>
          <w:szCs w:val="17"/>
          <w:u w:val="single" w:color="auto"/>
          <w:color w:val="auto"/>
        </w:rPr>
        <w:t>subsection 7.4.1</w:t>
      </w:r>
      <w:r>
        <w:rPr>
          <w:rFonts w:ascii="Arial" w:cs="Arial" w:eastAsia="Arial" w:hAnsi="Arial"/>
          <w:sz w:val="17"/>
          <w:szCs w:val="17"/>
          <w:color w:val="auto"/>
        </w:rPr>
        <w:t xml:space="preserve"> and (ii) in the event the Company so elects, the Company shall not be required to file or maintain in effect a registration statement for the registration, under the Securities Act, of the Class A ordinary shares issuable upon exercise of the Warrants, notwithstanding anything in this Agreement to the contrary. If the Company does not elect at the time of exercise to require a holder of Public Warrants who exercises Public Warrants to exercise such Public Warrants on a “cashless basis,” it agrees to use its best efforts to register or qualify for sale the Class A ordinary shares issuable upon exercise of the Public Warrant under the blue sky laws of the state of residence in those states in which the Public Warrants were initially offered by the Company of the exercising Public Warrant holder to the extent an exemption is not available.</w:t>
      </w:r>
    </w:p>
    <w:p>
      <w:pPr>
        <w:spacing w:after="0" w:line="178" w:lineRule="exact"/>
        <w:rPr>
          <w:sz w:val="20"/>
          <w:szCs w:val="20"/>
          <w:color w:val="auto"/>
        </w:rPr>
      </w:pPr>
    </w:p>
    <w:p>
      <w:pPr>
        <w:ind w:left="1100" w:hanging="444"/>
        <w:spacing w:after="0"/>
        <w:tabs>
          <w:tab w:leader="none" w:pos="11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287" w:name="page288"/>
    <w:bookmarkEnd w:id="287"/>
    <w:p>
      <w:pPr>
        <w:ind w:right="80"/>
        <w:spacing w:after="0" w:line="277" w:lineRule="auto"/>
        <w:rPr>
          <w:sz w:val="20"/>
          <w:szCs w:val="20"/>
          <w:color w:val="auto"/>
        </w:rPr>
      </w:pPr>
      <w:r>
        <w:rPr>
          <w:rFonts w:ascii="Arial" w:cs="Arial" w:eastAsia="Arial" w:hAnsi="Arial"/>
          <w:sz w:val="18"/>
          <w:szCs w:val="18"/>
          <w:color w:val="auto"/>
        </w:rPr>
        <w:t>issuance or delivery of Class A ordinary shares upon the exercise of the Warrants, but the Company shall not be obligated to pay any transfer taxes in respect of the Warrants or such shares.</w:t>
      </w:r>
    </w:p>
    <w:p>
      <w:pPr>
        <w:spacing w:after="0" w:line="17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ind w:right="20" w:firstLine="1945"/>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9" w:lineRule="exact"/>
        <w:rPr>
          <w:sz w:val="20"/>
          <w:szCs w:val="20"/>
          <w:color w:val="auto"/>
        </w:rPr>
      </w:pPr>
    </w:p>
    <w:p>
      <w:pPr>
        <w:ind w:right="120" w:firstLine="1945"/>
        <w:spacing w:after="0" w:line="264"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Transfer Agent for the Class A ordinary shares not later than the effective date of any such appointment.</w:t>
      </w:r>
    </w:p>
    <w:p>
      <w:pPr>
        <w:spacing w:after="0" w:line="181" w:lineRule="exact"/>
        <w:rPr>
          <w:sz w:val="20"/>
          <w:szCs w:val="20"/>
          <w:color w:val="auto"/>
        </w:rPr>
      </w:pPr>
    </w:p>
    <w:p>
      <w:pPr>
        <w:ind w:firstLine="1945"/>
        <w:spacing w:after="0" w:line="264"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Fees and Expenses of Warrant Agent</w:t>
      </w:r>
      <w:r>
        <w:rPr>
          <w:rFonts w:ascii="Arial" w:cs="Arial" w:eastAsia="Arial" w:hAnsi="Arial"/>
          <w:sz w:val="16"/>
          <w:szCs w:val="16"/>
          <w:color w:val="auto"/>
        </w:rPr>
        <w:t>.</w:t>
      </w:r>
    </w:p>
    <w:p>
      <w:pPr>
        <w:spacing w:after="0" w:line="225" w:lineRule="exact"/>
        <w:rPr>
          <w:sz w:val="20"/>
          <w:szCs w:val="20"/>
          <w:color w:val="auto"/>
        </w:rPr>
      </w:pPr>
    </w:p>
    <w:p>
      <w:pPr>
        <w:jc w:val="both"/>
        <w:ind w:right="100" w:firstLine="1945"/>
        <w:spacing w:after="0" w:line="264"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8" w:name="page289"/>
    <w:bookmarkEnd w:id="288"/>
    <w:p>
      <w:pPr>
        <w:ind w:right="180" w:firstLine="1945"/>
        <w:spacing w:after="0" w:line="264"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ind w:right="180" w:firstLine="1945"/>
        <w:spacing w:after="0" w:line="255"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Reliance on Company Statement</w:t>
      </w:r>
      <w:r>
        <w:rPr>
          <w:rFonts w:ascii="Arial" w:cs="Arial" w:eastAsia="Arial" w:hAnsi="Arial"/>
          <w:sz w:val="18"/>
          <w:szCs w:val="18"/>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Chief Operating Officer, Secretary or Chairman of the Board of the Company and delivered to the Warrant Agent. The Warrant Agent may rely upon such statement for any action taken or suffered in good faith by it pursuant to the provisions of this Agreement.</w:t>
      </w:r>
    </w:p>
    <w:p>
      <w:pPr>
        <w:spacing w:after="0" w:line="193" w:lineRule="exact"/>
        <w:rPr>
          <w:sz w:val="20"/>
          <w:szCs w:val="20"/>
          <w:color w:val="auto"/>
        </w:rPr>
      </w:pPr>
    </w:p>
    <w:p>
      <w:pPr>
        <w:ind w:right="140" w:firstLine="1945"/>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save it harmless against any and all liabilities, including judgments, out-of-pocket costs and reasonable counsel fees, for anything done or omitted by the Warrant Agent in the execution of this Agreement, except as a result of the Warrant Agent’s gross negligence, willful misconduct or bad faith.</w:t>
      </w:r>
    </w:p>
    <w:p>
      <w:pPr>
        <w:spacing w:after="0" w:line="187" w:lineRule="exact"/>
        <w:rPr>
          <w:sz w:val="20"/>
          <w:szCs w:val="20"/>
          <w:color w:val="auto"/>
        </w:rPr>
      </w:pPr>
    </w:p>
    <w:p>
      <w:pPr>
        <w:ind w:firstLine="1945"/>
        <w:spacing w:after="0" w:line="255"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Class A ordinary shares to be issued pursuant to this Agreement or any Warrant or as to whether any Class A ordinary shares shall, when issued, be valid and fully paid and non-assessable.</w:t>
      </w:r>
    </w:p>
    <w:p>
      <w:pPr>
        <w:spacing w:after="0" w:line="189"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Class A ordinary shares through the exercise of the Warrants.</w:t>
      </w:r>
    </w:p>
    <w:p>
      <w:pPr>
        <w:spacing w:after="0" w:line="187" w:lineRule="exact"/>
        <w:rPr>
          <w:sz w:val="20"/>
          <w:szCs w:val="20"/>
          <w:color w:val="auto"/>
        </w:rPr>
      </w:pPr>
    </w:p>
    <w:p>
      <w:pPr>
        <w:ind w:right="420" w:firstLine="1297"/>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Continental Stock Transfer &amp; Trust Company as trustee thereunder) and hereby agrees not to seek recourse, reimbursement, payment or satisfaction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9" w:name="page290"/>
    <w:bookmarkEnd w:id="289"/>
    <w:p>
      <w:pPr>
        <w:ind w:right="40"/>
        <w:spacing w:after="0" w:line="277" w:lineRule="auto"/>
        <w:rPr>
          <w:sz w:val="20"/>
          <w:szCs w:val="20"/>
          <w:color w:val="auto"/>
        </w:rPr>
      </w:pPr>
      <w:r>
        <w:rPr>
          <w:rFonts w:ascii="Arial" w:cs="Arial" w:eastAsia="Arial" w:hAnsi="Arial"/>
          <w:sz w:val="18"/>
          <w:szCs w:val="18"/>
          <w:color w:val="auto"/>
        </w:rPr>
        <w:t>any Claim against the Trust Account for any reason whatsoever. The Warrant Agent hereby waives any and all Claims against the Trust Account and any and all rights to seek access to the Trust Account.</w:t>
      </w:r>
    </w:p>
    <w:p>
      <w:pPr>
        <w:spacing w:after="0" w:line="170" w:lineRule="exact"/>
        <w:rPr>
          <w:sz w:val="20"/>
          <w:szCs w:val="20"/>
          <w:color w:val="auto"/>
        </w:rPr>
      </w:pPr>
    </w:p>
    <w:p>
      <w:pPr>
        <w:ind w:left="1100" w:hanging="444"/>
        <w:spacing w:after="0"/>
        <w:tabs>
          <w:tab w:leader="none" w:pos="11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1114 6th Ave, 41st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19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be for the sole and exclusive benefit of the parties hereto and their successors and assigns and of the Registered Holders of the Warrants.</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spacing w:after="0" w:line="181"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ind w:right="80" w:firstLine="1297"/>
        <w:spacing w:after="0" w:line="291"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Agreement may be amended by the parties hereto without the consent of any Registered Holder 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and any amendment to the terms of only the Private Placement Warrants, shall require the vote or written consent of the Registered Holders of 65% of the then outstanding Public Warrants. Notwithstanding the foregoing, the Company may lower the Warrant Price or extend the duration of the Exercise Period pursuant to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w:t>
      </w:r>
      <w:r>
        <w:rPr>
          <w:rFonts w:ascii="Arial" w:cs="Arial" w:eastAsia="Arial" w:hAnsi="Arial"/>
          <w:sz w:val="16"/>
          <w:szCs w:val="16"/>
          <w:color w:val="auto"/>
        </w:rPr>
        <w:t>, respectively, without the consent of the Registered Holders.</w:t>
      </w:r>
    </w:p>
    <w:p>
      <w:pPr>
        <w:spacing w:after="0" w:line="16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Warrant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Legend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-130810</wp:posOffset>
            </wp:positionV>
            <wp:extent cx="28213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CONTINENTAL STOCK TRANSFER &amp; TRUST COMPANY</w:t>
      </w:r>
      <w:r>
        <w:rPr>
          <w:rFonts w:ascii="Arial" w:cs="Arial" w:eastAsia="Arial" w:hAnsi="Arial"/>
          <w:sz w:val="18"/>
          <w:szCs w:val="18"/>
          <w:color w:val="auto"/>
        </w:rPr>
        <w:t>,</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as Warrant Agent</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-130810</wp:posOffset>
            </wp:positionV>
            <wp:extent cx="282130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Warrant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349250</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0"/>
          </w:cols>
          <w:pgMar w:left="900" w:top="585" w:right="379" w:bottom="1440" w:gutter="0" w:footer="0" w:header="0"/>
        </w:sectPr>
      </w:pPr>
    </w:p>
    <w:bookmarkStart w:id="292" w:name="page293"/>
    <w:bookmarkEnd w:id="292"/>
    <w:p>
      <w:pPr>
        <w:ind w:left="1048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Cayman Islands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This Warrant Certificate certifies that </w:t>
      </w:r>
      <w:r>
        <w:rPr>
          <w:rFonts w:ascii="Arial" w:cs="Arial" w:eastAsia="Arial" w:hAnsi="Arial"/>
          <w:sz w:val="17"/>
          <w:szCs w:val="17"/>
          <w:color w:val="auto"/>
        </w:rPr>
        <w:t>, or registered assigns, is the registered holder of warrant(s) evidenced hereby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purchase Class A ordinary shares, $0.0001 par value (“</w:t>
      </w: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 of Silver Spike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Warrant entitles the holder, upon exercise during the period set forth in the Warrant Agreement referred to below, to receive from the Company that number of fully paid and non-assessable Class A ordinary shares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Each whole Warrant is initially exercisable for one fully paid and non-assessable Class A ordinary share. No fractional shares will be issued upon exercise of any Warrant. If, upon the exercise of Warrants, a holder would be entitled to receive a fractional interest in a Class A ordinary share, the Company will, upon exercise, round down to the nearest whole number the number of Class A ordinary shares to be issued to the Warrant holder. The number of Class A ordinary shares issuable upon exercise of the Warrants is subject to adjustment upon the occurrence of certain events as set forth in the Warrant Agreement.</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initial Exercise Price per one Class A ordinary share for any Warrant is equal to $11.50 per share. The Exercise Price is subject to adjustment upon the occurrence of certain events as set forth in the Warrant Agreement.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SILVER SPIKE ACQUISITION CORP.</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CONTINENTAL STOCK TRANSFER &amp; TRUST COMPANY,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 AGENT</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00"/>
          </w:cols>
          <w:pgMar w:left="240" w:top="585" w:right="115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of Warrant Certificate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Reverse</w:t>
      </w:r>
      <w:r>
        <w:rPr>
          <w:rFonts w:ascii="Arial" w:cs="Arial" w:eastAsia="Arial" w:hAnsi="Arial"/>
          <w:sz w:val="18"/>
          <w:szCs w:val="18"/>
          <w:color w:val="auto"/>
        </w:rPr>
        <w: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Warrants evidenced by this Warrant Certificate are part of a duly authorized issue of Warrants entitling the holder on exercise to receive Class A ordinary shares and are issued or to be issued pursuant to a Warrant Agreement dated as of [·], 2019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duly executed and delivered by the Company to Continental Stock Transfer &amp; Trust Company, a New York corporation,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or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 (i) a registration statement covering the issuance of the Class A ordinary shares to be issued upon exercise is effective under the Securities Act and (ii) a prospectus thereunder relating to the Class A ordinary shares is current, except through “</w:t>
      </w:r>
      <w:r>
        <w:rPr>
          <w:rFonts w:ascii="Arial" w:cs="Arial" w:eastAsia="Arial" w:hAnsi="Arial"/>
          <w:sz w:val="16"/>
          <w:szCs w:val="16"/>
          <w:b w:val="1"/>
          <w:bCs w:val="1"/>
          <w:i w:val="1"/>
          <w:iCs w:val="1"/>
          <w:color w:val="auto"/>
        </w:rPr>
        <w:t>cashless exercise</w:t>
      </w:r>
      <w:r>
        <w:rPr>
          <w:rFonts w:ascii="Arial" w:cs="Arial" w:eastAsia="Arial" w:hAnsi="Arial"/>
          <w:sz w:val="16"/>
          <w:szCs w:val="16"/>
          <w:color w:val="auto"/>
        </w:rPr>
        <w:t>” as provided for in the Warrant Agreement.</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Class A ordinary shares issuable upon exercise of the Warrants set forth on the face hereof may, subject to certain conditions, be adjusted. If, upon exercise of a Warrant, the holder thereof would be entitled to receive a fractional interest in a Class A ordinary share, the Company shall, upon exercise, round down to the nearest whole number of Class A ordinary shares to be issued to the holder of the Warrant.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8"/>
          <w:szCs w:val="18"/>
          <w:u w:val="single" w:color="auto"/>
          <w:color w:val="auto"/>
        </w:rPr>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 Be Executed Upon Exercise of Warrant</w:t>
      </w:r>
      <w:r>
        <w:rPr>
          <w:rFonts w:ascii="Arial" w:cs="Arial" w:eastAsia="Arial" w:hAnsi="Arial"/>
          <w:sz w:val="18"/>
          <w:szCs w:val="18"/>
          <w:color w:val="auto"/>
        </w:rPr>
        <w: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Class A ordinary shares and herewith tenders payment for such Class A ordinary shares to the order of Silver Spike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the amount of $[·] in accordance with the terms hereof. The undersigned requests that a certificate for such Class A ordinary shares be registered in the name of [·], whose address is [·] and that such Class A ordinary shares be delivered to [·] whose address is [·]. If said number of Class A ordinary shares is less than all of the Class A ordinary shares purchasable hereunder, the undersigned requests that a new Warrant Certificate representing the remaining balance of such Class A ordinary shares be registered in the name of [·], whose address is [·] and that such Warrant Certificate be delivered to [·], whose address is [·].</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 the number of Class A ordinary shares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Class A ordinary shares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In the event that the Warrant is to be exercised on a “cashless” basis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 the number of Class A ordinary shares that this Warrant is exercisable for shall be determined in accordance with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that the Warrant may be exercised, to the extent allowed by the Warrant Agreement, through cashless exercise (i) the number of Class A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Class A ordinary shares. If said number of shares is less than all of the Class A ordinary shares purchasable hereunder (after giving effect to the cashless exercise), the undersigned requests that a new Warrant Certificate representing the remaining balance of such Class A ordinary shares be registered in the name of [·], whose address is [·] and that such Warrant Certificate be delivered to [·], whose address is [·].</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6" w:name="page297"/>
    <w:bookmarkEnd w:id="296"/>
    <w:p>
      <w:pPr>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434975</wp:posOffset>
            </wp:positionV>
            <wp:extent cx="28987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289560</wp:posOffset>
            </wp:positionV>
            <wp:extent cx="28987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28987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578485</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6140" w:space="720"/>
            <w:col w:w="4360"/>
          </w:cols>
          <w:pgMar w:left="240" w:top="585" w:right="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585" w:right="439" w:bottom="1440" w:gutter="0" w:footer="0" w:header="0"/>
          <w:type w:val="continuous"/>
        </w:sectPr>
      </w:pPr>
    </w:p>
    <w:bookmarkStart w:id="297" w:name="page298"/>
    <w:bookmarkEnd w:id="297"/>
    <w:p>
      <w:pPr>
        <w:jc w:val="center"/>
        <w:ind w:right="-9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SILVER SPIKE ACQUISITION CORP. (THE “COMPANY”), SILVER SPIKE SPONSOR, LLC AND THE OTHER PARTIES THERETO, THE SECURITIES REPRESENTED HEREBY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9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SECURITIES EVIDENCED HEREBY AND CLASS A ORDINARY SHARES OF THE COMPANY ISSUED UPON EXERCISE OF SUCH SECURITIES SHALL BE ENTITLED TO REGISTRATION RIGHTS UNDER A REGISTRATION RIGHTS AGREEMENT TO BE EXECUTED BY THE COMPANY.”</w:t>
      </w:r>
    </w:p>
    <w:p>
      <w:pPr>
        <w:spacing w:after="0" w:line="181"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298" w:name="page299"/>
    <w:bookmarkEnd w:id="298"/>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823595" cy="7804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8235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7"/>
          <w:szCs w:val="17"/>
          <w:color w:val="auto"/>
        </w:rPr>
        <w:t>LMY/760200-000001/59666979v4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34" w:lineRule="auto"/>
        <w:rPr>
          <w:sz w:val="20"/>
          <w:szCs w:val="20"/>
          <w:color w:val="auto"/>
        </w:rPr>
      </w:pPr>
      <w:r>
        <w:rPr>
          <w:rFonts w:ascii="Arial" w:cs="Arial" w:eastAsia="Arial" w:hAnsi="Arial"/>
          <w:sz w:val="18"/>
          <w:szCs w:val="18"/>
          <w:color w:val="auto"/>
        </w:rPr>
        <w:t>PO Box 309, Ugland House</w:t>
      </w:r>
    </w:p>
    <w:p>
      <w:pPr>
        <w:spacing w:after="0" w:line="235" w:lineRule="auto"/>
        <w:rPr>
          <w:sz w:val="20"/>
          <w:szCs w:val="20"/>
          <w:color w:val="auto"/>
        </w:rPr>
      </w:pPr>
      <w:r>
        <w:rPr>
          <w:rFonts w:ascii="Arial" w:cs="Arial" w:eastAsia="Arial" w:hAnsi="Arial"/>
          <w:sz w:val="18"/>
          <w:szCs w:val="18"/>
          <w:color w:val="auto"/>
        </w:rPr>
        <w:t>Grand Cayman</w:t>
      </w:r>
    </w:p>
    <w:p>
      <w:pPr>
        <w:spacing w:after="0" w:line="235" w:lineRule="auto"/>
        <w:rPr>
          <w:sz w:val="20"/>
          <w:szCs w:val="20"/>
          <w:color w:val="auto"/>
        </w:rPr>
      </w:pPr>
      <w:r>
        <w:rPr>
          <w:rFonts w:ascii="Arial" w:cs="Arial" w:eastAsia="Arial" w:hAnsi="Arial"/>
          <w:sz w:val="18"/>
          <w:szCs w:val="18"/>
          <w:color w:val="auto"/>
        </w:rPr>
        <w:t>KY1-1104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25 July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Acquisition Corp.</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acted as counsel as to Cayman Islands law to Silver Spike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S-1, including all amendments or supplements thereto, filed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United States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(including its exhibits,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related to the offering and sale to the public of:</w:t>
      </w:r>
    </w:p>
    <w:p>
      <w:pPr>
        <w:spacing w:after="0" w:line="161" w:lineRule="exact"/>
        <w:rPr>
          <w:sz w:val="20"/>
          <w:szCs w:val="20"/>
          <w:color w:val="auto"/>
        </w:rPr>
      </w:pPr>
    </w:p>
    <w:p>
      <w:pPr>
        <w:jc w:val="both"/>
        <w:ind w:left="660" w:hanging="652"/>
        <w:spacing w:after="0" w:line="253"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up to 25,000,000 units ("</w:t>
      </w:r>
      <w:r>
        <w:rPr>
          <w:rFonts w:ascii="Arial" w:cs="Arial" w:eastAsia="Arial" w:hAnsi="Arial"/>
          <w:sz w:val="18"/>
          <w:szCs w:val="18"/>
          <w:b w:val="1"/>
          <w:bCs w:val="1"/>
          <w:color w:val="auto"/>
        </w:rPr>
        <w:t>Units</w:t>
      </w:r>
      <w:r>
        <w:rPr>
          <w:rFonts w:ascii="Arial" w:cs="Arial" w:eastAsia="Arial" w:hAnsi="Arial"/>
          <w:sz w:val="18"/>
          <w:szCs w:val="18"/>
          <w:color w:val="auto"/>
        </w:rPr>
        <w:t>"), each Unit consisting of one Class A ordinary share of the Company of a par value of US$0.0001 each ("</w:t>
      </w:r>
      <w:r>
        <w:rPr>
          <w:rFonts w:ascii="Arial" w:cs="Arial" w:eastAsia="Arial" w:hAnsi="Arial"/>
          <w:sz w:val="18"/>
          <w:szCs w:val="18"/>
          <w:b w:val="1"/>
          <w:bCs w:val="1"/>
          <w:color w:val="auto"/>
        </w:rPr>
        <w:t>Ordinary Shares</w:t>
      </w:r>
      <w:r>
        <w:rPr>
          <w:rFonts w:ascii="Arial" w:cs="Arial" w:eastAsia="Arial" w:hAnsi="Arial"/>
          <w:sz w:val="18"/>
          <w:szCs w:val="18"/>
          <w:color w:val="auto"/>
        </w:rPr>
        <w:t>") and one-half of one redeemable warrant, each whole warrant exercisable to purchase one Ordinary Share at a price of US$11.50 per Ordinary Share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660" w:hanging="652"/>
        <w:spacing w:after="0" w:line="271"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up to 3,750,000 Units ("</w:t>
      </w:r>
      <w:r>
        <w:rPr>
          <w:rFonts w:ascii="Arial" w:cs="Arial" w:eastAsia="Arial" w:hAnsi="Arial"/>
          <w:sz w:val="18"/>
          <w:szCs w:val="18"/>
          <w:b w:val="1"/>
          <w:bCs w:val="1"/>
          <w:color w:val="auto"/>
        </w:rPr>
        <w:t>Over-Allotment Units</w:t>
      </w:r>
      <w:r>
        <w:rPr>
          <w:rFonts w:ascii="Arial" w:cs="Arial" w:eastAsia="Arial" w:hAnsi="Arial"/>
          <w:sz w:val="18"/>
          <w:szCs w:val="18"/>
          <w:color w:val="auto"/>
        </w:rPr>
        <w:t>"), which the several underwriters, for whom Credit Suisse Securities (USA) LLC is acting as representative (the "</w:t>
      </w:r>
      <w:r>
        <w:rPr>
          <w:rFonts w:ascii="Arial" w:cs="Arial" w:eastAsia="Arial" w:hAnsi="Arial"/>
          <w:sz w:val="18"/>
          <w:szCs w:val="18"/>
          <w:b w:val="1"/>
          <w:bCs w:val="1"/>
          <w:color w:val="auto"/>
        </w:rPr>
        <w:t>Representative</w:t>
      </w:r>
      <w:r>
        <w:rPr>
          <w:rFonts w:ascii="Arial" w:cs="Arial" w:eastAsia="Arial" w:hAnsi="Arial"/>
          <w:sz w:val="18"/>
          <w:szCs w:val="18"/>
          <w:color w:val="auto"/>
        </w:rPr>
        <w:t>"), will have a right to purchase from the Company to cover over allotments, if any;</w:t>
      </w:r>
    </w:p>
    <w:p>
      <w:pPr>
        <w:spacing w:after="0" w:line="162" w:lineRule="exact"/>
        <w:rPr>
          <w:rFonts w:ascii="Arial" w:cs="Arial" w:eastAsia="Arial" w:hAnsi="Arial"/>
          <w:sz w:val="18"/>
          <w:szCs w:val="18"/>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Ordinary Shares and Warrants issued as part of the Units and the Over-Allotment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opinion letter is given in accordance with the terms of the Legal Matters section of the Registration Statement.</w:t>
      </w:r>
    </w:p>
    <w:p>
      <w:pPr>
        <w:spacing w:after="0" w:line="171"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reviewed originals, copies, drafts or conformed copies of the following documents:</w:t>
      </w:r>
    </w:p>
    <w:p>
      <w:pPr>
        <w:spacing w:after="0" w:line="198"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certificate of incorporation dated 7 June 2019 and the memorandum and articles of association of the Company as registered or adopted on 7 June 2019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1085850</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5600065" cy="3600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5600065" cy="3600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99" w:name="page300"/>
    <w:bookmarkEnd w:id="299"/>
    <w:p>
      <w:pPr>
        <w:ind w:left="660" w:right="20" w:hanging="647"/>
        <w:spacing w:after="0" w:line="271"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written resolutions of the board of directors of the Company dated 8 June 2019 (the "</w:t>
      </w:r>
      <w:r>
        <w:rPr>
          <w:rFonts w:ascii="Arial" w:cs="Arial" w:eastAsia="Arial" w:hAnsi="Arial"/>
          <w:sz w:val="18"/>
          <w:szCs w:val="18"/>
          <w:b w:val="1"/>
          <w:bCs w:val="1"/>
          <w:color w:val="auto"/>
        </w:rPr>
        <w:t>Resolutions</w:t>
      </w:r>
      <w:r>
        <w:rPr>
          <w:rFonts w:ascii="Arial" w:cs="Arial" w:eastAsia="Arial" w:hAnsi="Arial"/>
          <w:sz w:val="18"/>
          <w:szCs w:val="18"/>
          <w:color w:val="auto"/>
        </w:rPr>
        <w:t>") and the corporate records of the Company maintained at its registered office in the Cayman Islands.</w:t>
      </w:r>
    </w:p>
    <w:p>
      <w:pPr>
        <w:spacing w:after="0" w:line="140" w:lineRule="exact"/>
        <w:rPr>
          <w:sz w:val="20"/>
          <w:szCs w:val="20"/>
          <w:color w:val="auto"/>
        </w:rPr>
      </w:pPr>
    </w:p>
    <w:p>
      <w:pPr>
        <w:ind w:left="660" w:hanging="647"/>
        <w:spacing w:after="0" w:line="271"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 certificate of good standing with respect to the Company issued by the Registrar of Companies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A certificate from a director of the Company a copy of which is attached to this opinion letter (the "</w:t>
      </w:r>
      <w:r>
        <w:rPr>
          <w:rFonts w:ascii="Arial" w:cs="Arial" w:eastAsia="Arial" w:hAnsi="Arial"/>
          <w:sz w:val="17"/>
          <w:szCs w:val="17"/>
          <w:b w:val="1"/>
          <w:bCs w:val="1"/>
          <w:color w:val="auto"/>
        </w:rPr>
        <w:t>Director's Certificate</w:t>
      </w:r>
      <w:r>
        <w:rPr>
          <w:rFonts w:ascii="Arial" w:cs="Arial" w:eastAsia="Arial" w:hAnsi="Arial"/>
          <w:sz w:val="17"/>
          <w:szCs w:val="17"/>
          <w:color w:val="auto"/>
        </w:rPr>
        <w: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The Registration Statement.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A draft of the form of the unit certificate representing the Units and the Over-Allotment Units (the "</w:t>
      </w:r>
      <w:r>
        <w:rPr>
          <w:rFonts w:ascii="Arial" w:cs="Arial" w:eastAsia="Arial" w:hAnsi="Arial"/>
          <w:sz w:val="17"/>
          <w:szCs w:val="17"/>
          <w:b w:val="1"/>
          <w:bCs w:val="1"/>
          <w:color w:val="auto"/>
        </w:rPr>
        <w:t>Unit Certificates</w:t>
      </w:r>
      <w:r>
        <w:rPr>
          <w:rFonts w:ascii="Arial" w:cs="Arial" w:eastAsia="Arial" w:hAnsi="Arial"/>
          <w:sz w:val="17"/>
          <w:szCs w:val="17"/>
          <w:color w:val="auto"/>
        </w:rPr>
        <w: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A draft of the form of the warrant agreement and the warrant certificate constituting the Warrants (the "</w:t>
      </w:r>
      <w:r>
        <w:rPr>
          <w:rFonts w:ascii="Arial" w:cs="Arial" w:eastAsia="Arial" w:hAnsi="Arial"/>
          <w:sz w:val="17"/>
          <w:szCs w:val="17"/>
          <w:b w:val="1"/>
          <w:bCs w:val="1"/>
          <w:color w:val="auto"/>
        </w:rPr>
        <w:t>Warrant Documents</w:t>
      </w:r>
      <w:r>
        <w:rPr>
          <w:rFonts w:ascii="Arial" w:cs="Arial" w:eastAsia="Arial" w:hAnsi="Arial"/>
          <w:sz w:val="17"/>
          <w:szCs w:val="17"/>
          <w:color w:val="auto"/>
        </w:rPr>
        <w: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A draft of the underwriting agreement between the Company and the Representative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in paragraphs 1.6 to 1.8 inclusive above shall be referred to collectively herein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93"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Assumptions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Documents have been or will be authorised and duly executed and unconditionally delivered by or on behalf of all relevant parties in accordance with all relevant laws (other than, with respect to the Company, the laws of the Cayman Islands).</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Documents are, or will be, legal, valid, binding and enforceable against all relevant parties in accordance with their terms under the laws of the State of New York (the "</w:t>
      </w:r>
      <w:r>
        <w:rPr>
          <w:rFonts w:ascii="Arial" w:cs="Arial" w:eastAsia="Arial" w:hAnsi="Arial"/>
          <w:sz w:val="18"/>
          <w:szCs w:val="18"/>
          <w:b w:val="1"/>
          <w:bCs w:val="1"/>
          <w:color w:val="auto"/>
        </w:rPr>
        <w:t>Relevant Law</w:t>
      </w:r>
      <w:r>
        <w:rPr>
          <w:rFonts w:ascii="Arial" w:cs="Arial" w:eastAsia="Arial" w:hAnsi="Arial"/>
          <w:sz w:val="18"/>
          <w:szCs w:val="18"/>
          <w:color w:val="auto"/>
        </w:rPr>
        <w:t>") and all other relevant laws (other than, with respect to the Company, the laws of the Cayman Islands).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choice of the Relevant Law as the governing law of the Documents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189"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Copies of documents, conformed copies or drafts of documents provided to us are true and complete copies of, or in the final forms of, the originals.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All signatures, initials and seals are genuine.</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00" w:name="page301"/>
    <w:bookmarkEnd w:id="300"/>
    <w:p>
      <w:pPr>
        <w:jc w:val="both"/>
        <w:ind w:left="660" w:hanging="647"/>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Documents.</w:t>
      </w:r>
    </w:p>
    <w:p>
      <w:pPr>
        <w:spacing w:after="0" w:line="189"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No invitation has been or will be made by or on behalf of the Company to the public in the Cayman Islands to subscribe for any of the Units, the Over-Allotment Units, the Warrants or the Ordinary Shares.</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8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No monies paid to or for the account of any party under the Documents or any property received or disposed of by any party to the Documents in each case in connection with the Documents or the consummation of the transactions contemplated thereby represent or will represent proceeds of criminal conduct or criminal property or terrorist property (as defined in the Proceeds of Crime Law (2019 Revision) and the Terrorism Law (2018 Revision), respectively).</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There is nothing under any law (other than the laws of the Cayman Islands) which would or might affect the opinions set out below.</w:t>
      </w:r>
    </w:p>
    <w:p>
      <w:pPr>
        <w:ind w:left="660"/>
        <w:spacing w:after="0"/>
        <w:rPr>
          <w:sz w:val="20"/>
          <w:szCs w:val="20"/>
          <w:color w:val="auto"/>
        </w:rPr>
      </w:pPr>
      <w:r>
        <w:rPr>
          <w:rFonts w:ascii="Arial" w:cs="Arial" w:eastAsia="Arial" w:hAnsi="Arial"/>
          <w:sz w:val="18"/>
          <w:szCs w:val="18"/>
          <w:color w:val="auto"/>
        </w:rPr>
        <w:t>Specifically, we have made no independent investigation of the Relevant Law.</w:t>
      </w:r>
    </w:p>
    <w:p>
      <w:pPr>
        <w:spacing w:after="0" w:line="19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Company will receive money or money's worth in consideration for the issue of the Ordinary Shares and none of the Ordinary Shares were or will be issued for less than par value.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Save as aforesaid we have not been instructed to undertake and have not undertaken any further enquiry or due diligence in relation to the transaction the subject of this opinion letter.</w:t>
      </w:r>
    </w:p>
    <w:p>
      <w:pPr>
        <w:spacing w:after="0" w:line="157" w:lineRule="exact"/>
        <w:rPr>
          <w:sz w:val="20"/>
          <w:szCs w:val="20"/>
          <w:color w:val="auto"/>
        </w:rPr>
      </w:pPr>
    </w:p>
    <w:p>
      <w:pPr>
        <w:ind w:left="660" w:hanging="652"/>
        <w:spacing w:after="0"/>
        <w:tabs>
          <w:tab w:leader="none" w:pos="66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Opinions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Based upon, and subject to, the foregoing assumptions and the qualifications set out below, and having regard to such legal considerations as we deem relevant, we are of the opinion that:</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Ordinary Shares to be offered and issued by the Company as contemplated by the Registration Statement have been duly authorised for issue, and when issued by the Company against payment in full of the consideration as set out in the Registration Statement and in accordance with the terms set out in the Registration Statement, such Ordinary Shares will be validly issued, fully paid and non-assessable. As a matter of Cayman Islands law, a share is only issued when it has been entered in the register of members (shareholders).</w:t>
      </w:r>
    </w:p>
    <w:p>
      <w:pPr>
        <w:spacing w:after="0" w:line="18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execution, delivery and performance of the Unit Certificates and the Warrant Documents have been authorised by and on behalf of the Company and, once the Unit Certificates and the Warrant Documents have been executed and delivered by any director or officer of the Company, the Unit Certificates and the Warrant Documents will be duly executed and delivered on behalf of the Company and will constitute the legal, valid and binding obligations of the Company enforceable in accordance with their terms.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01" w:name="page302"/>
    <w:bookmarkEnd w:id="301"/>
    <w:p>
      <w:pPr>
        <w:ind w:left="660" w:hanging="652"/>
        <w:spacing w:after="0"/>
        <w:tabs>
          <w:tab w:leader="none" w:pos="660" w:val="left"/>
        </w:tabs>
        <w:numPr>
          <w:ilvl w:val="0"/>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Qualifications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176"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enforceable</w:t>
      </w:r>
      <w:r>
        <w:rPr>
          <w:rFonts w:ascii="Arial" w:cs="Arial" w:eastAsia="Arial" w:hAnsi="Arial"/>
          <w:sz w:val="18"/>
          <w:szCs w:val="18"/>
          <w:color w:val="auto"/>
        </w:rPr>
        <w:t>" as used above means that the obligations assumed by the Company under the Documents are of a type which the courts of the Cayman Islands will enforce. It does not mean that those obligations will necessarily be enforced in all circumstances in accordance with their terms. In particular:</w:t>
      </w:r>
    </w:p>
    <w:p>
      <w:pPr>
        <w:spacing w:after="0" w:line="178" w:lineRule="exact"/>
        <w:rPr>
          <w:sz w:val="20"/>
          <w:szCs w:val="20"/>
          <w:color w:val="auto"/>
        </w:rPr>
      </w:pPr>
    </w:p>
    <w:p>
      <w:pPr>
        <w:ind w:left="1300" w:right="20" w:hanging="644"/>
        <w:spacing w:after="0" w:line="246" w:lineRule="auto"/>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enforcement may be limited by bankruptcy, insolvency, liquidation, reorganisation, readjustment of debts or moratorium or other laws of general application relating to or affecting the rights of creditors;</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enforcement may be limited by general principles of equity. For example, equitable remedies such as specific performance may not be available, </w:t>
      </w:r>
      <w:r>
        <w:rPr>
          <w:rFonts w:ascii="Arial" w:cs="Arial" w:eastAsia="Arial" w:hAnsi="Arial"/>
          <w:sz w:val="18"/>
          <w:szCs w:val="18"/>
          <w:i w:val="1"/>
          <w:iCs w:val="1"/>
          <w:color w:val="auto"/>
        </w:rPr>
        <w:t>inter alia</w:t>
      </w:r>
      <w:r>
        <w:rPr>
          <w:rFonts w:ascii="Arial" w:cs="Arial" w:eastAsia="Arial" w:hAnsi="Arial"/>
          <w:sz w:val="18"/>
          <w:szCs w:val="18"/>
          <w:color w:val="auto"/>
        </w:rPr>
        <w:t>, where damages are considered to be an adequate remedy;</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where obligations are to be performed in a jurisdiction outside the Cayman Islands, they may not be enforceable in the Cayman Islands to the extent that performance would be illegal under the laws of that jurisdiction; and</w:t>
      </w:r>
    </w:p>
    <w:p>
      <w:pPr>
        <w:spacing w:after="0" w:line="183"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some claims may become barred under relevant statutes of limitation or may be or become subject to defences of set off, counterclaim, estoppel and similar defences.</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65"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Under Cayman Islands law, the register of members (shareholders)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Ordinary Shares, then the validity of such shares may be subject to re-examination by a Cayman Islands court.</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p>
      <w:pPr>
        <w:spacing w:after="0" w:line="18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2" w:name="page303"/>
    <w:bookmarkEnd w:id="302"/>
    <w:p>
      <w:pPr>
        <w:ind w:left="660"/>
        <w:spacing w:after="0"/>
        <w:rPr>
          <w:sz w:val="20"/>
          <w:szCs w:val="20"/>
          <w:color w:val="auto"/>
        </w:rPr>
      </w:pPr>
      <w:r>
        <w:rPr>
          <w:rFonts w:ascii="Arial" w:cs="Arial" w:eastAsia="Arial" w:hAnsi="Arial"/>
          <w:sz w:val="18"/>
          <w:szCs w:val="18"/>
          <w:color w:val="auto"/>
        </w:rPr>
        <w:t>or an illegal or improper purpose or other circumstances in which a court may be prepared to pierce or lift the corporate veil).</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hereby consent to the filing of this opinion letter as an exhibit to the Registration Statement and to the reference to our firm under the heading "Legal Matters"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opinion letter is addressed to you and may be relied upon by you, your counsel and purchasers of Units pursuant to the Registration Statement. This opinion letter is limited to the matters detailed herein and is not to be read as an opinion with respect to any other matter.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7"/>
          <w:szCs w:val="17"/>
          <w:color w:val="auto"/>
        </w:rPr>
        <w:t>Silver Spike Acquisition Corp.</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309, Ugland House</w:t>
      </w:r>
    </w:p>
    <w:p>
      <w:pPr>
        <w:jc w:val="center"/>
        <w:ind w:right="-19"/>
        <w:spacing w:after="0" w:line="234" w:lineRule="auto"/>
        <w:rPr>
          <w:sz w:val="20"/>
          <w:szCs w:val="20"/>
          <w:color w:val="auto"/>
        </w:rPr>
      </w:pPr>
      <w:r>
        <w:rPr>
          <w:rFonts w:ascii="Arial" w:cs="Arial" w:eastAsia="Arial" w:hAnsi="Arial"/>
          <w:sz w:val="18"/>
          <w:szCs w:val="18"/>
          <w:color w:val="auto"/>
        </w:rPr>
        <w:t>Grand Cayman</w:t>
      </w:r>
    </w:p>
    <w:p>
      <w:pPr>
        <w:jc w:val="center"/>
        <w:ind w:right="-19"/>
        <w:spacing w:after="0" w:line="235" w:lineRule="auto"/>
        <w:rPr>
          <w:sz w:val="20"/>
          <w:szCs w:val="20"/>
          <w:color w:val="auto"/>
        </w:rPr>
      </w:pPr>
      <w:r>
        <w:rPr>
          <w:rFonts w:ascii="Arial" w:cs="Arial" w:eastAsia="Arial" w:hAnsi="Arial"/>
          <w:sz w:val="18"/>
          <w:szCs w:val="18"/>
          <w:color w:val="auto"/>
        </w:rPr>
        <w:t>KY1-1104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Cayman Islands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 July 2019</w:t>
      </w:r>
    </w:p>
    <w:p>
      <w:pPr>
        <w:sectPr>
          <w:pgSz w:w="11900" w:h="16838" w:orient="portrait"/>
          <w:cols w:equalWidth="0" w:num="1">
            <w:col w:w="11420"/>
          </w:cols>
          <w:pgMar w:left="240" w:top="598"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w:t>
      </w:r>
    </w:p>
    <w:p>
      <w:pPr>
        <w:spacing w:after="0"/>
        <w:rPr>
          <w:sz w:val="20"/>
          <w:szCs w:val="20"/>
          <w:color w:val="auto"/>
        </w:rPr>
      </w:pPr>
      <w:r>
        <w:rPr>
          <w:rFonts w:ascii="Arial" w:cs="Arial" w:eastAsia="Arial" w:hAnsi="Arial"/>
          <w:sz w:val="17"/>
          <w:szCs w:val="17"/>
          <w:color w:val="auto"/>
        </w:rPr>
        <w:t>PO Box 309, Ugland House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234" w:lineRule="auto"/>
        <w:rPr>
          <w:sz w:val="20"/>
          <w:szCs w:val="20"/>
          <w:color w:val="auto"/>
        </w:rPr>
      </w:pPr>
      <w:r>
        <w:rPr>
          <w:rFonts w:ascii="Arial" w:cs="Arial" w:eastAsia="Arial" w:hAnsi="Arial"/>
          <w:sz w:val="18"/>
          <w:szCs w:val="18"/>
          <w:color w:val="auto"/>
        </w:rPr>
        <w:t>KY1-1104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176" w:lineRule="exact"/>
        <w:rPr>
          <w:sz w:val="20"/>
          <w:szCs w:val="20"/>
          <w:color w:val="auto"/>
        </w:rPr>
      </w:pPr>
    </w:p>
    <w:p>
      <w:pPr>
        <w:sectPr>
          <w:pgSz w:w="11900" w:h="16838" w:orient="portrait"/>
          <w:cols w:equalWidth="0" w:num="2">
            <w:col w:w="240" w:space="420"/>
            <w:col w:w="10760"/>
          </w:cols>
          <w:pgMar w:left="240" w:top="598"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Silver Spike Acquisition Corp.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the undersigned, being a director of the Company, am aware that you are being asked to provide an opinion letter (the "</w:t>
      </w:r>
      <w:r>
        <w:rPr>
          <w:rFonts w:ascii="Arial" w:cs="Arial" w:eastAsia="Arial" w:hAnsi="Arial"/>
          <w:sz w:val="18"/>
          <w:szCs w:val="18"/>
          <w:b w:val="1"/>
          <w:bCs w:val="1"/>
          <w:color w:val="auto"/>
        </w:rPr>
        <w:t>Opinion</w:t>
      </w:r>
      <w:r>
        <w:rPr>
          <w:rFonts w:ascii="Arial" w:cs="Arial" w:eastAsia="Arial" w:hAnsi="Arial"/>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178"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Memorandum and Articles remain in full force and effect and are unamended.</w:t>
      </w:r>
    </w:p>
    <w:p>
      <w:pPr>
        <w:spacing w:after="0" w:line="198" w:lineRule="exact"/>
        <w:rPr>
          <w:sz w:val="20"/>
          <w:szCs w:val="20"/>
          <w:color w:val="auto"/>
        </w:rPr>
      </w:pPr>
    </w:p>
    <w:p>
      <w:pPr>
        <w:ind w:left="660" w:right="20" w:hanging="652"/>
        <w:spacing w:after="0" w:line="246"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has not entered into any mortgages or charges over its property or assets other than those entered in the register of mortgages and charges of the Company.</w:t>
      </w:r>
    </w:p>
    <w:p>
      <w:pPr>
        <w:spacing w:after="0" w:line="183" w:lineRule="exact"/>
        <w:rPr>
          <w:sz w:val="20"/>
          <w:szCs w:val="20"/>
          <w:color w:val="auto"/>
        </w:rPr>
      </w:pPr>
    </w:p>
    <w:p>
      <w:pPr>
        <w:ind w:left="660" w:hanging="652"/>
        <w:spacing w:after="0" w:line="246"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183" w:lineRule="exact"/>
        <w:rPr>
          <w:sz w:val="20"/>
          <w:szCs w:val="20"/>
          <w:color w:val="auto"/>
        </w:rPr>
      </w:pPr>
    </w:p>
    <w:p>
      <w:pPr>
        <w:jc w:val="both"/>
        <w:ind w:left="660" w:hanging="652"/>
        <w:spacing w:after="0" w:line="239"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authorised share capital of the Company is US$22,100 divided into 200,000,000 Class A ordinary shares of a par value of US$0.0001 each, 20,000,000 Class B ordinary shares of a par value of US$0.0001 each and 1,000,000 preference shares of a par value of US$0.0001 each. The issued share capital of the Company is 7,187,000 Class B ordinary shares, which have been have been duly authorised and are validly issued as fully-paid and non-assessable.</w:t>
      </w:r>
    </w:p>
    <w:p>
      <w:pPr>
        <w:spacing w:after="0" w:line="166"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shareholders of the Company (the "</w:t>
      </w:r>
      <w:r>
        <w:rPr>
          <w:rFonts w:ascii="Arial" w:cs="Arial" w:eastAsia="Arial" w:hAnsi="Arial"/>
          <w:sz w:val="18"/>
          <w:szCs w:val="18"/>
          <w:b w:val="1"/>
          <w:bCs w:val="1"/>
          <w:color w:val="auto"/>
        </w:rPr>
        <w:t>Shareholders</w:t>
      </w:r>
      <w:r>
        <w:rPr>
          <w:rFonts w:ascii="Arial" w:cs="Arial" w:eastAsia="Arial" w:hAnsi="Arial"/>
          <w:sz w:val="18"/>
          <w:szCs w:val="18"/>
          <w:color w:val="auto"/>
        </w:rPr>
        <w:t>") have not restricted the powers of the directors of the Company in any way.</w:t>
      </w:r>
    </w:p>
    <w:p>
      <w:pPr>
        <w:spacing w:after="0" w:line="220" w:lineRule="exact"/>
        <w:rPr>
          <w:sz w:val="20"/>
          <w:szCs w:val="20"/>
          <w:color w:val="auto"/>
        </w:rPr>
      </w:pPr>
    </w:p>
    <w:p>
      <w:pPr>
        <w:ind w:left="660" w:hanging="652"/>
        <w:spacing w:after="0" w:line="246"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directors of the Company at the date of the Resolutions and at the date of this certificate were and are Scott Gordon and William Healy.</w:t>
      </w:r>
    </w:p>
    <w:p>
      <w:pPr>
        <w:spacing w:after="0" w:line="183" w:lineRule="exact"/>
        <w:rPr>
          <w:sz w:val="20"/>
          <w:szCs w:val="20"/>
          <w:color w:val="auto"/>
        </w:rPr>
      </w:pPr>
    </w:p>
    <w:p>
      <w:pPr>
        <w:jc w:val="both"/>
        <w:ind w:left="660" w:hanging="652"/>
        <w:spacing w:after="0" w:line="238" w:lineRule="auto"/>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spacing w:after="0" w:line="189" w:lineRule="exact"/>
        <w:rPr>
          <w:sz w:val="20"/>
          <w:szCs w:val="20"/>
          <w:color w:val="auto"/>
        </w:rPr>
      </w:pPr>
    </w:p>
    <w:p>
      <w:pPr>
        <w:ind w:left="660" w:hanging="652"/>
        <w:spacing w:after="0" w:line="246"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Prior to, at the time of, and immediately following the approval of the transactions the subject of the Registration Statement the Company was, or will be, able to pay its debts as they fell, or fall,</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304" w:name="page305"/>
    <w:bookmarkEnd w:id="304"/>
    <w:p>
      <w:pPr>
        <w:ind w:left="660"/>
        <w:spacing w:after="0" w:line="246" w:lineRule="auto"/>
        <w:rPr>
          <w:sz w:val="20"/>
          <w:szCs w:val="20"/>
          <w:color w:val="auto"/>
        </w:rPr>
      </w:pPr>
      <w:r>
        <w:rPr>
          <w:rFonts w:ascii="Arial" w:cs="Arial" w:eastAsia="Arial" w:hAnsi="Arial"/>
          <w:sz w:val="18"/>
          <w:szCs w:val="18"/>
          <w:color w:val="auto"/>
        </w:rPr>
        <w:t>due and has entered, or will enter, into the transactions the subject of the Registration Statement for proper value and not with an intention to defraud or wilfully defeat an obligation owed to any creditor or with a view to giving a creditor a preference.</w:t>
      </w:r>
    </w:p>
    <w:p>
      <w:pPr>
        <w:spacing w:after="0" w:line="183" w:lineRule="exact"/>
        <w:rPr>
          <w:sz w:val="20"/>
          <w:szCs w:val="20"/>
          <w:color w:val="auto"/>
        </w:rPr>
      </w:pPr>
    </w:p>
    <w:p>
      <w:pPr>
        <w:jc w:val="both"/>
        <w:ind w:left="660" w:hanging="652"/>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189" w:lineRule="exact"/>
        <w:rPr>
          <w:sz w:val="20"/>
          <w:szCs w:val="20"/>
          <w:color w:val="auto"/>
        </w:rPr>
      </w:pPr>
    </w:p>
    <w:p>
      <w:pPr>
        <w:jc w:val="both"/>
        <w:ind w:left="660" w:hanging="652"/>
        <w:spacing w:after="0" w:line="239"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the best of my knowledge and belief, having made due inquiry, the Company is not the subject of legal, arbitral, administrative or other proceedings in any jurisdiction. Nor have the directors or Shareholders taken any steps to have the Company struck off or placed in liquidation, nor have any steps been taken to wind up the Company. Nor has any receiver been appointed over any of the Company's property or assets.</w:t>
      </w:r>
    </w:p>
    <w:p>
      <w:pPr>
        <w:spacing w:after="0" w:line="18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Registration Statement has been, or will be, authorised and duly executed and delivered by or on behalf of all relevant parties in accordance with all relevant laws.</w:t>
      </w:r>
    </w:p>
    <w:p>
      <w:pPr>
        <w:spacing w:after="0" w:line="183"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invitation has been made or will be made by or on behalf of the Company to the public in the Cayman Islands to subscribe for any of the Ordinary Shares.</w:t>
      </w:r>
    </w:p>
    <w:p>
      <w:pPr>
        <w:spacing w:after="0" w:line="183"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Ordinary Shares to be issued pursuant to the Registration Statement have been, or will be, duly registered, and will continue to be registered, in the Company's register of members (shareholders).</w:t>
      </w:r>
    </w:p>
    <w:p>
      <w:pPr>
        <w:spacing w:after="0" w:line="183"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is not a central bank, monetary authority or other sovereign entity of any state and is not a subsidiary, direct or indirect, of any sovereign entity or state.</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305" w:name="page306"/>
    <w:bookmarkEnd w:id="305"/>
    <w:p>
      <w:pPr>
        <w:ind w:right="20"/>
        <w:spacing w:after="0" w:line="246" w:lineRule="auto"/>
        <w:rPr>
          <w:sz w:val="20"/>
          <w:szCs w:val="20"/>
          <w:color w:val="auto"/>
        </w:rPr>
      </w:pPr>
      <w:r>
        <w:rPr>
          <w:rFonts w:ascii="Arial" w:cs="Arial" w:eastAsia="Arial" w:hAnsi="Arial"/>
          <w:sz w:val="18"/>
          <w:szCs w:val="18"/>
          <w:color w:val="auto"/>
        </w:rPr>
        <w:t>I confirm that you may continue to rely on this certificate as being true and correct on the day that you issue the Opinion unless I shall have previously notified you in writing personally to the contrary.</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Signature:</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Gordon</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96" w:lineRule="exact"/>
              <w:rPr>
                <w:sz w:val="20"/>
                <w:szCs w:val="20"/>
                <w:color w:val="auto"/>
              </w:rPr>
            </w:pPr>
            <w:r>
              <w:rPr>
                <w:rFonts w:ascii="Arial" w:cs="Arial" w:eastAsia="Arial" w:hAnsi="Arial"/>
                <w:sz w:val="18"/>
                <w:szCs w:val="18"/>
                <w:color w:val="auto"/>
              </w:rPr>
              <w:t>Scott Gordon</w:t>
            </w:r>
          </w:p>
        </w:tc>
      </w:tr>
      <w:tr>
        <w:trPr>
          <w:trHeight w:val="217"/>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Director's Certificate 5.1 Legal Opinion Maples and Calder 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Silver Spike Acquisition Corp.)</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5.2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25,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34" w:lineRule="auto"/>
        <w:rPr>
          <w:sz w:val="20"/>
          <w:szCs w:val="20"/>
          <w:color w:val="auto"/>
        </w:rPr>
      </w:pPr>
      <w:r>
        <w:rPr>
          <w:rFonts w:ascii="Arial" w:cs="Arial" w:eastAsia="Arial" w:hAnsi="Arial"/>
          <w:sz w:val="18"/>
          <w:szCs w:val="18"/>
          <w:color w:val="auto"/>
        </w:rPr>
        <w:t>1114 6th Ave, 41st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Silver Spike Acquisition Corp., a Cayman Islands exempted company (the “</w:t>
      </w:r>
      <w:r>
        <w:rPr>
          <w:rFonts w:ascii="Arial" w:cs="Arial" w:eastAsia="Arial" w:hAnsi="Arial"/>
          <w:sz w:val="18"/>
          <w:szCs w:val="18"/>
          <w:b w:val="1"/>
          <w:bCs w:val="1"/>
          <w:color w:val="auto"/>
        </w:rPr>
        <w:t>Company</w:t>
      </w:r>
      <w:r>
        <w:rPr>
          <w:rFonts w:ascii="Arial" w:cs="Arial" w:eastAsia="Arial" w:hAnsi="Arial"/>
          <w:sz w:val="18"/>
          <w:szCs w:val="18"/>
          <w:color w:val="auto"/>
        </w:rPr>
        <w:t>”), has filed with the Securities and Exchange Commission a Registration Statement on Form S-1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related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28,750,000 units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including 3,750,000 Units subject to the Underwriters’ (as defined below) over-allotment option, as described in the Registration Statement. Each Unit consists of:</w:t>
      </w:r>
    </w:p>
    <w:p>
      <w:pPr>
        <w:spacing w:after="0" w:line="163" w:lineRule="exact"/>
        <w:rPr>
          <w:sz w:val="20"/>
          <w:szCs w:val="20"/>
          <w:color w:val="auto"/>
        </w:rPr>
      </w:pPr>
    </w:p>
    <w:p>
      <w:pPr>
        <w:ind w:left="980" w:right="220" w:hanging="648"/>
        <w:spacing w:after="0" w:line="271" w:lineRule="auto"/>
        <w:tabs>
          <w:tab w:leader="none" w:pos="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one of the Company’s Class A ordinary shares, par value $0.0001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for an aggregate of up to 28,750,000 (including up to 3,750,000 Shares included in the Units subject to the Underwriters’ over-allotment option); and</w:t>
      </w:r>
    </w:p>
    <w:p>
      <w:pPr>
        <w:spacing w:after="0" w:line="140" w:lineRule="exact"/>
        <w:rPr>
          <w:rFonts w:ascii="Arial" w:cs="Arial" w:eastAsia="Arial" w:hAnsi="Arial"/>
          <w:sz w:val="18"/>
          <w:szCs w:val="18"/>
          <w:color w:val="auto"/>
        </w:rPr>
      </w:pPr>
    </w:p>
    <w:p>
      <w:pPr>
        <w:ind w:left="980" w:right="40" w:hanging="648"/>
        <w:spacing w:after="0" w:line="247" w:lineRule="auto"/>
        <w:tabs>
          <w:tab w:leader="none" w:pos="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one-half of one warrant (collectively, the “</w:t>
      </w:r>
      <w:r>
        <w:rPr>
          <w:rFonts w:ascii="Arial" w:cs="Arial" w:eastAsia="Arial" w:hAnsi="Arial"/>
          <w:sz w:val="18"/>
          <w:szCs w:val="18"/>
          <w:b w:val="1"/>
          <w:bCs w:val="1"/>
          <w:color w:val="auto"/>
        </w:rPr>
        <w:t>Warrants</w:t>
      </w:r>
      <w:r>
        <w:rPr>
          <w:rFonts w:ascii="Arial" w:cs="Arial" w:eastAsia="Arial" w:hAnsi="Arial"/>
          <w:sz w:val="18"/>
          <w:szCs w:val="18"/>
          <w:color w:val="auto"/>
        </w:rPr>
        <w:t>”), with each Warrant entitling the holder to purchase one Share, for an aggregate of up to 14,375,000 Warrants (including up to 1,875,000 Warrants included in the Units subject to the Underwriters’ over-allotment option) to be issued under a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to be entered into by the Company and Continental Stock Transfer &amp; Trust Company, as Warrant Agent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offered pursuant to the terms of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to be executed by the Company and Credit Suisse Securities (USA) LLC, as representative of the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 To the extent that there are no additional Underwriters named in the Underwriting Agreement other than Credit Suisse Securities (USA) LLC, the term representative as used herein shall mean Credit Suisse Securities (USA) LLC, as Underwriter, and the term Underwriters shall mean either the singular or plural as the context requires.</w:t>
      </w:r>
    </w:p>
    <w:p>
      <w:pPr>
        <w:spacing w:after="0" w:line="185"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7" w:name="page308"/>
    <w:bookmarkEnd w:id="307"/>
    <w:p>
      <w:pPr>
        <w:ind w:right="60"/>
        <w:spacing w:after="0" w:line="237"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98" w:lineRule="exact"/>
        <w:rPr>
          <w:sz w:val="20"/>
          <w:szCs w:val="20"/>
          <w:color w:val="auto"/>
        </w:rPr>
      </w:pPr>
    </w:p>
    <w:p>
      <w:pPr>
        <w:ind w:left="660" w:right="320" w:hanging="328"/>
        <w:spacing w:after="0" w:line="239"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Unit, when such Unit has been delivered to and paid for by the Underwriters in accordance with the terms of the Underwriting Agreement, will be a valid and binding agreement of the Company, enforceable in accordance with its terms, subject to applicable bankruptcy, insolvency and similar laws affecting creditors’ rights generally, concepts of reasonableness and equitable principles of general applicability.</w:t>
      </w:r>
    </w:p>
    <w:p>
      <w:pPr>
        <w:spacing w:after="0" w:line="188" w:lineRule="exact"/>
        <w:rPr>
          <w:rFonts w:ascii="Arial" w:cs="Arial" w:eastAsia="Arial" w:hAnsi="Arial"/>
          <w:sz w:val="18"/>
          <w:szCs w:val="18"/>
          <w:color w:val="auto"/>
        </w:rPr>
      </w:pPr>
    </w:p>
    <w:p>
      <w:pPr>
        <w:ind w:left="660" w:right="60" w:hanging="328"/>
        <w:spacing w:after="0" w:line="239"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Warrant included in the Units, when such Unit has been delivered to and paid for by the Underwriters in accordance with the terms of the Underwriting Agreement, will be a valid and binding agreement of the Company, enforceable in accordance with its terms, subject to applicable bankruptcy, insolvency and similar laws affecting creditors’ rights generally, concepts of reasonableness and equitable principles of general applicability.</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opinions expressed above, we have assumed that at or prior to the time of the delivery of any Units, (i) the Board of Directors of the Company shall have duly established the terms of the Units and the Shares and the Warrants included therein and duly authorized the issuance and sale of the Units and such authorization shall not have been modified or rescinded; (ii) the Company is, and shall remain, validly existing as a corporation under the laws of the Cayman Islands; (iii) the Registration Statement shall have been declared effective and such effectiveness shall not have been terminated or rescinded; (iv) the Warrant Agreement to be entered into in connection with the Warrants has been duly authorized, executed and delivered by the Warrant Agent and the Company, and is a valid, binding and enforceable agreement of each party thereto; and (v) there shall not have occurred any change in law affecting the validity or enforceability of the Units or the Warrants included therein. We have also assumed that the (i) terms of any security whose terms are established subsequent to the date hereof and the issuance, execution, delivery and performance by the Company of any such security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 and (ii) the Warrant Agreement will be governed by the laws of the State of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w:t>
      </w:r>
    </w:p>
    <w:p>
      <w:pPr>
        <w:spacing w:after="0" w:line="19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“Legal Matters”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t>In giving this consent, we do not admit that we are in the category of persons whose consent is required under Section 7 of the Securities 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98" w:right="37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1114 6th Ave, 41st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letter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is being delivered to you in accordance with the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to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entered into by and between Silver Spike Acquisition Corp.,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Credit Suisse Securities (USA)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LLC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as the representative of the several underwriters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 of 28,750,000 of the Company’s units (including up to 3,750,000 units that may be purchased to cover over-allotments, if 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each comprised of one Class A ordinary share of the Company, par value $0.0001 per share (the “</w:t>
      </w: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 and one-half of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(each,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Each whole Warrant entitles the holder thereof to purchase one Class A ordinary share at a price of $11.50 per share,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The Units shall be sold in the Public Offering pursuant to a registration statement on Form S-1 and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filed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and the Company shall apply to have the Units listed on the Nasdaq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Certain capitalized terms used herein are defined in paragraph 11 hereof.</w:t>
      </w:r>
    </w:p>
    <w:p>
      <w:pPr>
        <w:spacing w:after="0" w:line="21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Public Offering and for other good and valuable consideration, the receipt and sufficiency of which are hereby acknowledged, Silver Spike Sponsor,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and the other undersigned persons (each, an “</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hereby agrees with the Company as follows:</w:t>
      </w:r>
    </w:p>
    <w:p>
      <w:pPr>
        <w:spacing w:after="0" w:line="187" w:lineRule="exact"/>
        <w:rPr>
          <w:sz w:val="20"/>
          <w:szCs w:val="20"/>
          <w:color w:val="auto"/>
        </w:rPr>
      </w:pPr>
    </w:p>
    <w:p>
      <w:pPr>
        <w:ind w:right="40" w:firstLine="332"/>
        <w:spacing w:after="0" w:line="264" w:lineRule="auto"/>
        <w:tabs>
          <w:tab w:leader="none" w:pos="771"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Sponsor and each Insider agrees that if the Company seeks shareholder approval of a proposed Business Combination, then in connection with such proposed Business Combination, it, he or she shall (i) vote any Shares owned by it, him or her in favor of any proposed Business Combination and (ii) not redeem any Shares owned by it, him or her in connection with such shareholder approval.</w:t>
      </w:r>
    </w:p>
    <w:p>
      <w:pPr>
        <w:spacing w:after="0" w:line="181" w:lineRule="exact"/>
        <w:rPr>
          <w:rFonts w:ascii="Arial" w:cs="Arial" w:eastAsia="Arial" w:hAnsi="Arial"/>
          <w:sz w:val="18"/>
          <w:szCs w:val="18"/>
          <w:color w:val="auto"/>
        </w:rPr>
      </w:pPr>
    </w:p>
    <w:p>
      <w:pPr>
        <w:ind w:right="20" w:firstLine="332"/>
        <w:spacing w:after="0" w:line="284" w:lineRule="auto"/>
        <w:tabs>
          <w:tab w:leader="none" w:pos="771"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within 24 months from the closing of the Public Offering, or such later period approved by the Company’s shareholders in accordance with the Company’s amended and restated memorandum and articles of association, the Sponsor and each Insider shall take all reasonable steps to cause the Company to (i) cease all operations except for the purpose of winding up, (ii) as promptly as reasonably possible but not more than ten (10) business days thereafter, subject to lawfully available funds therefor, redeem 100% of the Class A ordinary shares sold as part of the Units in the Public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 at a per share price, payable in cash, equal to the aggregate amount then on deposit in the Trust Account, including interest (which interest shall be net of taxes payable and less up to $100,000 of interest to pay dissolution expenses), divided by the number of then outstanding Offering Shares, which redemption will completely extinguish all Public Shareholders’ rights as shareholders (including the right to receive further liquidation distributions, if any), subject to applicable law, and</w:t>
      </w:r>
    </w:p>
    <w:p>
      <w:pPr>
        <w:spacing w:after="0" w:line="1" w:lineRule="exact"/>
        <w:rPr>
          <w:rFonts w:ascii="Arial" w:cs="Arial" w:eastAsia="Arial" w:hAnsi="Arial"/>
          <w:sz w:val="16"/>
          <w:szCs w:val="16"/>
          <w:color w:val="auto"/>
        </w:rPr>
      </w:pPr>
    </w:p>
    <w:p>
      <w:pPr>
        <w:ind w:right="20" w:firstLine="8"/>
        <w:spacing w:after="0" w:line="287" w:lineRule="auto"/>
        <w:tabs>
          <w:tab w:leader="none" w:pos="31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other requirements of applicable law. The Sponsor and each Insider agrees to not propose any amendment to the Company’s amended and restated memorandum and articles of association (a) that would modify the substance or timing of the Company’s obligation to redeem 100% of the Offering Shares if the Company does not complete a Business Combination within 24 months from the closing of the Public Offering or (b) with respect to any other provision relating to shareholders’ rights or pre-initial Business Combination activity, unless the Company provides its Public Shareholders with the opportunity to redeem their Offering Shares upon approval of any such amendment at a per share price, payable in cash, equal to the aggregate amount then on deposit in the Trust Account, including interest (which interest shall be net of taxes payable), divided by the number of then outstanding Offering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0" w:name="page311"/>
    <w:bookmarkEnd w:id="310"/>
    <w:p>
      <w:pPr>
        <w:ind w:right="40" w:firstLine="324"/>
        <w:spacing w:after="0" w:line="272" w:lineRule="auto"/>
        <w:rPr>
          <w:sz w:val="20"/>
          <w:szCs w:val="20"/>
          <w:color w:val="auto"/>
        </w:rPr>
      </w:pPr>
      <w:r>
        <w:rPr>
          <w:rFonts w:ascii="Arial" w:cs="Arial" w:eastAsia="Arial" w:hAnsi="Arial"/>
          <w:sz w:val="17"/>
          <w:szCs w:val="17"/>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held by it. The Sponsor and each Insider hereby further waives, with respect to any Shares held by it, him or her, if any, any redemption rights it, he or she may have in connection with the consummation of a Business Combination, including, without limitation, any such rights available in the context of a shareholder vote to approve such Business Combination or in the context of a tender offer made by the Company to purchase Class A ordinary shares (although the Sponsor and the Insiders shall be entitled to redemption and liquidation rights with respect to any Offering Shares it or they hold if the Company fails to consummate a Business Combination within 24 months from the date of the closing of the Public Offering).</w:t>
      </w:r>
    </w:p>
    <w:p>
      <w:pPr>
        <w:spacing w:after="0" w:line="178" w:lineRule="exact"/>
        <w:rPr>
          <w:sz w:val="20"/>
          <w:szCs w:val="20"/>
          <w:color w:val="auto"/>
        </w:rPr>
      </w:pPr>
    </w:p>
    <w:p>
      <w:pPr>
        <w:ind w:right="20" w:firstLine="332"/>
        <w:spacing w:after="0" w:line="268" w:lineRule="auto"/>
        <w:tabs>
          <w:tab w:leader="none" w:pos="77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Notwithstanding the provisions set forth in paragraphs 7(a) and (b) below, during the period commencing on the effective date of the Underwriting Agreement and ending 180 days after such date, the Sponsor and each Insider shall not, without the prior written consent of the Representative, offer, sell, contract to sell, pledge or otherwise dispose of (or enter into any transaction that is designed to, or might reasonably be expected to, result in the disposition (whether by actual disposition or effective economic disposition due to cash settlement or otherwise)),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the rules and regulations of the Commission promulgated thereunder, with respect to, any Units, Shares, Warrants or any securities convertible into, or exercisable, or exchangeable for, Class A ordinary shares or publicly announce an intention to effect any such transaction.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release or waiver granted shall only be effective two business days after the publication date of such press release.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187" w:lineRule="exact"/>
        <w:rPr>
          <w:rFonts w:ascii="Arial" w:cs="Arial" w:eastAsia="Arial" w:hAnsi="Arial"/>
          <w:sz w:val="17"/>
          <w:szCs w:val="17"/>
          <w:color w:val="auto"/>
        </w:rPr>
      </w:pPr>
    </w:p>
    <w:p>
      <w:pPr>
        <w:ind w:firstLine="332"/>
        <w:spacing w:after="0" w:line="268" w:lineRule="auto"/>
        <w:tabs>
          <w:tab w:leader="none" w:pos="77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event of the liquidation of the Trust Account, the Sponsor (which for purposes of clarification shall not extend to any other equityholders, members or managers of the Sponsor)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the Company may become subject as a result of any claim by (i) any third party (other than the Company’s independent public accountants) for services rendered or products sold to the Company or (ii) a prospective target business with which the Company has discussed entering into a transaction agreement (a “</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indemnification of the Company by the Sponsor shall apply only to the extent necessary to ensure that such claims by a third party for services rendered (other than the Company’s independent public accountants) or products sold to the Company or a Target do not reduce the amount of funds in the Trust Account to below (i) $10.00 per share of the Offering Shares or (ii) such lesser amount per share of the Offering Shares held in the Trust Account due to reductions in the value of the trust assets as of the date of the liquidation of the Trust Account, in each case, net of the amount of interest earned on the property in the Trust Account which may be withdrawn to pay taxes, except as to any claims by a third party (including a Target) who executed a waiver of any and all rights to seek access to the Trust Account and except as to any claims under the Company’s indemnity of the Underwriters against certain liabilities, including liabilities under the Securities Act of 1933, as amended. In the event that any such executed waiver is deemed to be unenforceable against such third party, the Sponsor shall not be responsible to the extent of any liability for such third party claims. The Sponsor shall have the right to defend against any such claim with counsel of its choice reasonably satisfactory to the Company if, within 15 days following written receipt of notice of the claim to the Sponsor, the Sponsor notifies the Company in writing that it shall undertake such defense.</w:t>
      </w:r>
    </w:p>
    <w:p>
      <w:pPr>
        <w:spacing w:after="0" w:line="180" w:lineRule="exact"/>
        <w:rPr>
          <w:rFonts w:ascii="Arial" w:cs="Arial" w:eastAsia="Arial" w:hAnsi="Arial"/>
          <w:sz w:val="17"/>
          <w:szCs w:val="17"/>
          <w:color w:val="auto"/>
        </w:rPr>
      </w:pPr>
    </w:p>
    <w:p>
      <w:pPr>
        <w:ind w:right="60" w:firstLine="332"/>
        <w:spacing w:after="0" w:line="279" w:lineRule="auto"/>
        <w:tabs>
          <w:tab w:leader="none" w:pos="771"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To the extent that the Underwriters do not exercise their over-allotment option to purchase up to an additional 3,750,000 Units within 45 days from the date of the Prospectus (and as further described in the Prospectus), the Sponsor agrees that it shall forfeit, at no cost, a number of Founder Shares in the aggregate equal to 937,500 multiplied by a fraction, (i) the numerator of which is 3,750,000 minus the number of Units purchased by the Underwriters upon the exercise of their over-allotment option, and (ii) the denominator of which is 3,750,000.</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All references in this Letter Agreement to Founder Shares of the Company being forfeited shall take effect as surrenders for no consideration of such Founder Shares as a matter of Cayman Islands law. The forfeiture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1" w:name="page312"/>
    <w:bookmarkEnd w:id="311"/>
    <w:p>
      <w:pPr>
        <w:ind w:right="20"/>
        <w:spacing w:after="0" w:line="289" w:lineRule="auto"/>
        <w:rPr>
          <w:sz w:val="20"/>
          <w:szCs w:val="20"/>
          <w:color w:val="auto"/>
        </w:rPr>
      </w:pPr>
      <w:r>
        <w:rPr>
          <w:rFonts w:ascii="Arial" w:cs="Arial" w:eastAsia="Arial" w:hAnsi="Arial"/>
          <w:sz w:val="16"/>
          <w:szCs w:val="16"/>
          <w:color w:val="auto"/>
        </w:rPr>
        <w:t>adjusted to the extent that the over-allotment option is not exercised in full by the Underwriters so that the Founder Shares will represent 20.0% of the Company’s issued and outstanding Shares after the Public Offering. The Initial Shareholders further agree that to the extent that the size of the Public Offering is increased or decreased, the Company will effect a capitalization or share repurchase or redemption or other appropriate mechanism, as applicable, immediately prior to the consummation of the Public Offering in such amount as to maintain the ownership of the Initial Shareholders prior to the Public Offering at 20.0% of the Company’s issued and outstanding Shares upon the consummation of the Public Offering. In connection with such increase or decrease in the size of the Public Offering, then (A) the references to 3,750,000 in the numerator and denominator of the formula in the first sentence of this paragraph shall be changed to a number equal to 15% of the number of Class A ordinary shares included in the Units issued in the Public Offering and (B) the reference to 937,500 in the formula set forth in the immediately preceding sentence shall be adjusted to such number of Founder Shares that the Founder Shares would represent an aggregate of 20.0% of the Company’s issued and outstanding Shares after the Public Offering.</w:t>
      </w:r>
    </w:p>
    <w:p>
      <w:pPr>
        <w:spacing w:after="0" w:line="167" w:lineRule="exact"/>
        <w:rPr>
          <w:sz w:val="20"/>
          <w:szCs w:val="20"/>
          <w:color w:val="auto"/>
        </w:rPr>
      </w:pPr>
    </w:p>
    <w:p>
      <w:pPr>
        <w:ind w:right="220" w:firstLine="332"/>
        <w:spacing w:after="0" w:line="259" w:lineRule="auto"/>
        <w:tabs>
          <w:tab w:leader="none" w:pos="77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Sponsor and each Insider hereby agrees and acknowledges that: (i) the Underwriters and the Company would be irreparably injured in the event of a breach by such Sponsor or Insider of its, his or her obligations under paragraphs 1, 2, 3, 4, 5, 7(a), 7(b), and 9 of this Letter Agreement (ii) monetary damages may not be an adequate remedy for such breach and (iii) the non-breaching party shall be entitled to seek injunctive relief, in addition to any other remedy that such party may have in law or in equity, in the event of such breach.</w:t>
      </w:r>
    </w:p>
    <w:p>
      <w:pPr>
        <w:spacing w:after="0" w:line="186" w:lineRule="exact"/>
        <w:rPr>
          <w:rFonts w:ascii="Arial" w:cs="Arial" w:eastAsia="Arial" w:hAnsi="Arial"/>
          <w:sz w:val="18"/>
          <w:szCs w:val="18"/>
          <w:color w:val="auto"/>
        </w:rPr>
      </w:pPr>
    </w:p>
    <w:p>
      <w:pPr>
        <w:ind w:firstLine="332"/>
        <w:spacing w:after="0" w:line="254" w:lineRule="auto"/>
        <w:tabs>
          <w:tab w:leader="none" w:pos="77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The Sponsor and each Insider agrees that it, he or she shall not Transfer (as defined below) any Founder Shares (or Class A ordinary shares issuable upon conversion thereof) until the earlier of (A) one year after the completion of the Company’s initial Business Combination or (B) subsequent to the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the Company’s initial Business Combination or (y) the date following the completion of the Company’s initial Business Combination on which the Company completes a liquidation, merger, amalgamation, share exchange, reorganization or other similar transaction that results in all of the Company’s shareholders having the right to exchange their Class A ordinary shares for cash, securities or other property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340" w:right="40" w:firstLine="316"/>
        <w:spacing w:after="0" w:line="286" w:lineRule="auto"/>
        <w:tabs>
          <w:tab w:leader="none" w:pos="1186"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Sponsor and each Insider agrees that it, he or she shall not Transfer any Private Placement Warrants (or Class A ordinary shares issued or issuable upon the conversion or exercise of the Private Placement Warrants), until 30 days after the completion of a Business Combination (the “</w:t>
      </w:r>
      <w:r>
        <w:rPr>
          <w:rFonts w:ascii="Arial" w:cs="Arial" w:eastAsia="Arial" w:hAnsi="Arial"/>
          <w:sz w:val="17"/>
          <w:szCs w:val="17"/>
          <w:b w:val="1"/>
          <w:bCs w:val="1"/>
          <w:i w:val="1"/>
          <w:iCs w:val="1"/>
          <w:color w:val="auto"/>
        </w:rPr>
        <w:t>Private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Placement Warrants Lock-up Period</w:t>
      </w:r>
      <w:r>
        <w:rPr>
          <w:rFonts w:ascii="Arial" w:cs="Arial" w:eastAsia="Arial" w:hAnsi="Arial"/>
          <w:sz w:val="17"/>
          <w:szCs w:val="17"/>
          <w:color w:val="auto"/>
        </w:rPr>
        <w:t>”, together with the Founder Shares Lock-up Period, the “</w:t>
      </w:r>
      <w:r>
        <w:rPr>
          <w:rFonts w:ascii="Arial" w:cs="Arial" w:eastAsia="Arial" w:hAnsi="Arial"/>
          <w:sz w:val="17"/>
          <w:szCs w:val="17"/>
          <w:b w:val="1"/>
          <w:bCs w:val="1"/>
          <w:i w:val="1"/>
          <w:iCs w:val="1"/>
          <w:color w:val="auto"/>
        </w:rPr>
        <w:t>Lock-up Periods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340" w:firstLine="316"/>
        <w:spacing w:after="0" w:line="283" w:lineRule="auto"/>
        <w:tabs>
          <w:tab w:leader="none" w:pos="1179" w:val="left"/>
        </w:tabs>
        <w:numPr>
          <w:ilvl w:val="1"/>
          <w:numId w:val="214"/>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7(a) and (b), Transfers of the Founder Shares, Private Placement Warrants and Class A ordinary shares issued or issuable upon the exercise or conversion of the Private Placement Warrants or the Founder Shares, are permitted (a) to the Company’s officers or directors, any affiliates or family members of any of the Company’s officers or directors, any members of the Sponsor or any affiliates of the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the Company’s Business Combination at prices no greater than the price at which the securities were originally purchased; (f) in the event of the Company’s liquidation prior to the Company’s completion of an initial Business Combination; (g) by virtue of the laws of Delaware or the Sponsor’s limited liability company agreement, as amended from time to time, upon dissolution of the Sponsor; or (h) in the event of the Company’s completion of a liquidation, merger, amalgamation, share exchange, reorganization or other similar transaction which results in all of the Company’s shareholders having the right to exchange their Class A ordinary shares for cash, securities or other property subsequent to the completion of the Company’s initial Business Combination; provided, however, that, in the case of clauses (a) through</w:t>
      </w:r>
    </w:p>
    <w:p>
      <w:pPr>
        <w:spacing w:after="0" w:line="3" w:lineRule="exact"/>
        <w:rPr>
          <w:rFonts w:ascii="Arial" w:cs="Arial" w:eastAsia="Arial" w:hAnsi="Arial"/>
          <w:sz w:val="16"/>
          <w:szCs w:val="16"/>
          <w:color w:val="auto"/>
        </w:rPr>
      </w:pPr>
    </w:p>
    <w:p>
      <w:pPr>
        <w:ind w:left="340" w:right="60"/>
        <w:spacing w:after="0" w:line="261" w:lineRule="auto"/>
        <w:rPr>
          <w:rFonts w:ascii="Arial" w:cs="Arial" w:eastAsia="Arial" w:hAnsi="Arial"/>
          <w:sz w:val="16"/>
          <w:szCs w:val="16"/>
          <w:color w:val="auto"/>
        </w:rPr>
      </w:pPr>
      <w:r>
        <w:rPr>
          <w:rFonts w:ascii="Arial" w:cs="Arial" w:eastAsia="Arial" w:hAnsi="Arial"/>
          <w:sz w:val="18"/>
          <w:szCs w:val="18"/>
          <w:color w:val="auto"/>
        </w:rPr>
        <w:t>(e) and (g), these permitted transferees (the “</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must enter into a written agreement with the Company agreeing to be bound by the transfer restrictions in this Agreement.</w:t>
      </w:r>
    </w:p>
    <w:p>
      <w:pPr>
        <w:spacing w:after="0" w:line="183" w:lineRule="exact"/>
        <w:rPr>
          <w:rFonts w:ascii="Arial" w:cs="Arial" w:eastAsia="Arial" w:hAnsi="Arial"/>
          <w:sz w:val="16"/>
          <w:szCs w:val="16"/>
          <w:color w:val="auto"/>
        </w:rPr>
      </w:pPr>
    </w:p>
    <w:p>
      <w:pPr>
        <w:ind w:right="60" w:firstLine="332"/>
        <w:spacing w:after="0" w:line="264" w:lineRule="auto"/>
        <w:tabs>
          <w:tab w:leader="none" w:pos="77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312" w:name="page313"/>
    <w:bookmarkEnd w:id="312"/>
    <w:p>
      <w:pPr>
        <w:ind w:right="80"/>
        <w:spacing w:after="0" w:line="293" w:lineRule="auto"/>
        <w:rPr>
          <w:sz w:val="20"/>
          <w:szCs w:val="20"/>
          <w:color w:val="auto"/>
        </w:rPr>
      </w:pPr>
      <w:r>
        <w:rPr>
          <w:rFonts w:ascii="Arial" w:cs="Arial" w:eastAsia="Arial" w:hAnsi="Arial"/>
          <w:sz w:val="16"/>
          <w:szCs w:val="16"/>
          <w:color w:val="auto"/>
        </w:rPr>
        <w:t>to the Company, if any (including any such information included in the Prospectus), is true and accurate in all respects and does not omit any material information with respect to such Insider’s background. The Sponsor and each Insider’s questionnaire furnished to the Company, if 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165" w:lineRule="exact"/>
        <w:rPr>
          <w:sz w:val="20"/>
          <w:szCs w:val="20"/>
          <w:color w:val="auto"/>
        </w:rPr>
      </w:pPr>
    </w:p>
    <w:p>
      <w:pPr>
        <w:ind w:right="40" w:firstLine="332"/>
        <w:spacing w:after="0" w:line="269" w:lineRule="auto"/>
        <w:tabs>
          <w:tab w:leader="none" w:pos="77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Except as disclosed in the Prospectus, neither the Sponsor nor any Insider nor any affiliate of the Sponsor or any Insider, nor any director or officer of the Company, shall receive from the Company any finder’s fee, reimbursement, consulting fee,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(i) repayment of an aggregate of up to $250,000 in loans made to the Company by the Sponsor to cover offering-related and organizational expenses; (ii) reimbursement for any out-of-pocket expenses related to identifying, investigating and consummating an initial Business Combination; and (iii) repayment of loans, if any, and on such terms as to be determined by the Company from time to time, made by the Sponsor, an affiliate of the Sponsor or any of the Company’s officers or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warrants at a price of $1.00 per warrant at the option of the lender. Such warrants would be identical to the Private Placement Warrants.</w:t>
      </w:r>
    </w:p>
    <w:p>
      <w:pPr>
        <w:spacing w:after="0" w:line="179" w:lineRule="exact"/>
        <w:rPr>
          <w:rFonts w:ascii="Arial" w:cs="Arial" w:eastAsia="Arial" w:hAnsi="Arial"/>
          <w:sz w:val="17"/>
          <w:szCs w:val="17"/>
          <w:color w:val="auto"/>
        </w:rPr>
      </w:pPr>
    </w:p>
    <w:p>
      <w:pPr>
        <w:ind w:right="180" w:firstLine="332"/>
        <w:spacing w:after="0" w:line="259" w:lineRule="auto"/>
        <w:tabs>
          <w:tab w:leader="none" w:pos="86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officer/and or director of the Company.</w:t>
      </w:r>
    </w:p>
    <w:p>
      <w:pPr>
        <w:spacing w:after="0" w:line="186" w:lineRule="exact"/>
        <w:rPr>
          <w:rFonts w:ascii="Arial" w:cs="Arial" w:eastAsia="Arial" w:hAnsi="Arial"/>
          <w:sz w:val="18"/>
          <w:szCs w:val="18"/>
          <w:color w:val="auto"/>
        </w:rPr>
      </w:pPr>
    </w:p>
    <w:p>
      <w:pPr>
        <w:ind w:firstLine="332"/>
        <w:spacing w:after="0" w:line="305" w:lineRule="auto"/>
        <w:tabs>
          <w:tab w:leader="none" w:pos="848" w:val="left"/>
        </w:tabs>
        <w:numPr>
          <w:ilvl w:val="1"/>
          <w:numId w:val="215"/>
        </w:numPr>
        <w:rPr>
          <w:rFonts w:ascii="Arial" w:cs="Arial" w:eastAsia="Arial" w:hAnsi="Arial"/>
          <w:sz w:val="15"/>
          <w:szCs w:val="15"/>
          <w:color w:val="auto"/>
        </w:rPr>
      </w:pPr>
      <w:r>
        <w:rPr>
          <w:rFonts w:ascii="Arial" w:cs="Arial" w:eastAsia="Arial" w:hAnsi="Arial"/>
          <w:sz w:val="15"/>
          <w:szCs w:val="15"/>
          <w:color w:val="auto"/>
        </w:rPr>
        <w:t>As used herein, (i) “</w:t>
      </w:r>
      <w:r>
        <w:rPr>
          <w:rFonts w:ascii="Arial" w:cs="Arial" w:eastAsia="Arial" w:hAnsi="Arial"/>
          <w:sz w:val="15"/>
          <w:szCs w:val="15"/>
          <w:b w:val="1"/>
          <w:bCs w:val="1"/>
          <w:i w:val="1"/>
          <w:iCs w:val="1"/>
          <w:color w:val="auto"/>
        </w:rPr>
        <w:t>Business Combination</w:t>
      </w:r>
      <w:r>
        <w:rPr>
          <w:rFonts w:ascii="Arial" w:cs="Arial" w:eastAsia="Arial" w:hAnsi="Arial"/>
          <w:sz w:val="15"/>
          <w:szCs w:val="15"/>
          <w:color w:val="auto"/>
        </w:rPr>
        <w:t>” shall mean a merger, amalgamation, share exchange, asset acquisition, share purchase, reorganization or similar business combination, involving the Company and one or more businesses; (ii)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shall mean, collectively, the Class A ordinary shares and the Class B ordinary shares; (iii) “</w:t>
      </w:r>
      <w:r>
        <w:rPr>
          <w:rFonts w:ascii="Arial" w:cs="Arial" w:eastAsia="Arial" w:hAnsi="Arial"/>
          <w:sz w:val="15"/>
          <w:szCs w:val="15"/>
          <w:b w:val="1"/>
          <w:bCs w:val="1"/>
          <w:i w:val="1"/>
          <w:iCs w:val="1"/>
          <w:color w:val="auto"/>
        </w:rPr>
        <w:t>Founder Shares</w:t>
      </w:r>
      <w:r>
        <w:rPr>
          <w:rFonts w:ascii="Arial" w:cs="Arial" w:eastAsia="Arial" w:hAnsi="Arial"/>
          <w:sz w:val="15"/>
          <w:szCs w:val="15"/>
          <w:color w:val="auto"/>
        </w:rPr>
        <w:t>” shall mean the 7,187,500 Class A ordinary shares, par value $0.0001 per share, issued and outstanding immediately prior to the consummation of the Public Offering; (iv) “</w:t>
      </w:r>
      <w:r>
        <w:rPr>
          <w:rFonts w:ascii="Arial" w:cs="Arial" w:eastAsia="Arial" w:hAnsi="Arial"/>
          <w:sz w:val="15"/>
          <w:szCs w:val="15"/>
          <w:b w:val="1"/>
          <w:bCs w:val="1"/>
          <w:i w:val="1"/>
          <w:iCs w:val="1"/>
          <w:color w:val="auto"/>
        </w:rPr>
        <w:t>Initial Shareholders</w:t>
      </w:r>
      <w:r>
        <w:rPr>
          <w:rFonts w:ascii="Arial" w:cs="Arial" w:eastAsia="Arial" w:hAnsi="Arial"/>
          <w:sz w:val="15"/>
          <w:szCs w:val="15"/>
          <w:color w:val="auto"/>
        </w:rPr>
        <w:t>” shall mean the Sponsor and any Insider that holds Founder Shares;</w:t>
      </w:r>
    </w:p>
    <w:p>
      <w:pPr>
        <w:spacing w:after="0" w:line="1" w:lineRule="exact"/>
        <w:rPr>
          <w:rFonts w:ascii="Arial" w:cs="Arial" w:eastAsia="Arial" w:hAnsi="Arial"/>
          <w:sz w:val="15"/>
          <w:szCs w:val="15"/>
          <w:color w:val="auto"/>
        </w:rPr>
      </w:pPr>
    </w:p>
    <w:p>
      <w:pPr>
        <w:ind w:firstLine="8"/>
        <w:spacing w:after="0" w:line="267" w:lineRule="auto"/>
        <w:tabs>
          <w:tab w:leader="none" w:pos="25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Private Placement Warrants</w:t>
      </w:r>
      <w:r>
        <w:rPr>
          <w:rFonts w:ascii="Arial" w:cs="Arial" w:eastAsia="Arial" w:hAnsi="Arial"/>
          <w:sz w:val="17"/>
          <w:szCs w:val="17"/>
          <w:color w:val="auto"/>
        </w:rPr>
        <w:t>” shall mean the Warrants to purchase up to 7,000,000 Class A ordinary shares of the Company (or 7,750,000 Class A ordinary shares if the over-allotment option is exercised in full) that the Sponsor has agreed to purchase for an aggregate purchase price of $7,000,000 in the aggregate (or $7,750,000 if the over-allotment option is exercised in full), or $1.00 per Warrant, in a private placement that shall occur simultaneously with the consummation of the Public Offering; (vi) “</w:t>
      </w:r>
      <w:r>
        <w:rPr>
          <w:rFonts w:ascii="Arial" w:cs="Arial" w:eastAsia="Arial" w:hAnsi="Arial"/>
          <w:sz w:val="17"/>
          <w:szCs w:val="17"/>
          <w:b w:val="1"/>
          <w:bCs w:val="1"/>
          <w:i w:val="1"/>
          <w:iCs w:val="1"/>
          <w:color w:val="auto"/>
        </w:rPr>
        <w:t>Public Shareholders</w:t>
      </w:r>
      <w:r>
        <w:rPr>
          <w:rFonts w:ascii="Arial" w:cs="Arial" w:eastAsia="Arial" w:hAnsi="Arial"/>
          <w:sz w:val="17"/>
          <w:szCs w:val="17"/>
          <w:color w:val="auto"/>
        </w:rPr>
        <w:t>” shall mean the holders of securities issued in the Public Offering; (vii)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shall mean the trust fund into which a portion of the net proceeds of the Public Offering shall be deposited; and (viii)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86" w:lineRule="exact"/>
        <w:rPr>
          <w:rFonts w:ascii="Arial" w:cs="Arial" w:eastAsia="Arial" w:hAnsi="Arial"/>
          <w:sz w:val="17"/>
          <w:szCs w:val="17"/>
          <w:color w:val="auto"/>
        </w:rPr>
      </w:pPr>
    </w:p>
    <w:p>
      <w:pPr>
        <w:ind w:right="180" w:firstLine="332"/>
        <w:spacing w:after="0" w:line="312" w:lineRule="auto"/>
        <w:tabs>
          <w:tab w:leader="none" w:pos="861"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3" w:name="page314"/>
    <w:bookmarkEnd w:id="313"/>
    <w:p>
      <w:pPr>
        <w:ind w:right="20"/>
        <w:spacing w:after="0" w:line="277" w:lineRule="auto"/>
        <w:rPr>
          <w:sz w:val="20"/>
          <w:szCs w:val="20"/>
          <w:color w:val="auto"/>
        </w:rPr>
      </w:pPr>
      <w:r>
        <w:rPr>
          <w:rFonts w:ascii="Arial" w:cs="Arial" w:eastAsia="Arial" w:hAnsi="Arial"/>
          <w:sz w:val="18"/>
          <w:szCs w:val="18"/>
          <w:color w:val="auto"/>
        </w:rPr>
        <w:t>correct a typographical error) as to any particular provision, except by a written instrument executed by the Sponsor and each Insider that is the subject of any such change, amendment modification or waiver.</w:t>
      </w:r>
    </w:p>
    <w:p>
      <w:pPr>
        <w:spacing w:after="0" w:line="170" w:lineRule="exact"/>
        <w:rPr>
          <w:sz w:val="20"/>
          <w:szCs w:val="20"/>
          <w:color w:val="auto"/>
        </w:rPr>
      </w:pPr>
    </w:p>
    <w:p>
      <w:pPr>
        <w:ind w:right="160" w:firstLine="332"/>
        <w:spacing w:after="0" w:line="259" w:lineRule="auto"/>
        <w:tabs>
          <w:tab w:leader="none" w:pos="8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86" w:lineRule="exact"/>
        <w:rPr>
          <w:rFonts w:ascii="Arial" w:cs="Arial" w:eastAsia="Arial" w:hAnsi="Arial"/>
          <w:sz w:val="18"/>
          <w:szCs w:val="18"/>
          <w:color w:val="auto"/>
        </w:rPr>
      </w:pPr>
    </w:p>
    <w:p>
      <w:pPr>
        <w:ind w:right="180" w:firstLine="332"/>
        <w:spacing w:after="0" w:line="277" w:lineRule="auto"/>
        <w:tabs>
          <w:tab w:leader="none" w:pos="86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rFonts w:ascii="Arial" w:cs="Arial" w:eastAsia="Arial" w:hAnsi="Arial"/>
          <w:sz w:val="18"/>
          <w:szCs w:val="18"/>
          <w:color w:val="auto"/>
        </w:rPr>
      </w:pPr>
    </w:p>
    <w:p>
      <w:pPr>
        <w:ind w:right="60" w:firstLine="332"/>
        <w:spacing w:after="0" w:line="259" w:lineRule="auto"/>
        <w:tabs>
          <w:tab w:leader="none" w:pos="86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86" w:lineRule="exact"/>
        <w:rPr>
          <w:rFonts w:ascii="Arial" w:cs="Arial" w:eastAsia="Arial" w:hAnsi="Arial"/>
          <w:sz w:val="18"/>
          <w:szCs w:val="18"/>
          <w:color w:val="auto"/>
        </w:rPr>
      </w:pPr>
    </w:p>
    <w:p>
      <w:pPr>
        <w:ind w:right="120" w:firstLine="332"/>
        <w:spacing w:after="0" w:line="276" w:lineRule="auto"/>
        <w:tabs>
          <w:tab w:leader="none" w:pos="86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72" w:lineRule="exact"/>
        <w:rPr>
          <w:rFonts w:ascii="Arial" w:cs="Arial" w:eastAsia="Arial" w:hAnsi="Arial"/>
          <w:sz w:val="17"/>
          <w:szCs w:val="17"/>
          <w:color w:val="auto"/>
        </w:rPr>
      </w:pPr>
    </w:p>
    <w:p>
      <w:pPr>
        <w:ind w:right="60" w:firstLine="332"/>
        <w:spacing w:after="0" w:line="308" w:lineRule="auto"/>
        <w:tabs>
          <w:tab w:leader="none" w:pos="85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46" w:lineRule="exact"/>
        <w:rPr>
          <w:rFonts w:ascii="Arial" w:cs="Arial" w:eastAsia="Arial" w:hAnsi="Arial"/>
          <w:sz w:val="17"/>
          <w:szCs w:val="17"/>
          <w:color w:val="auto"/>
        </w:rPr>
      </w:pPr>
    </w:p>
    <w:p>
      <w:pPr>
        <w:ind w:right="40" w:firstLine="332"/>
        <w:spacing w:after="0" w:line="264" w:lineRule="auto"/>
        <w:tabs>
          <w:tab w:leader="none" w:pos="8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party hereto shall not be liable for any breaches or misrepresentations contained in this Letter Agreement by any other party to this Letter Agreement (including, for the avoidance of doubt, any Insider with respect to any other Insider), and no party shall be liable or responsible for the obligations of another party, including, without limitation, indemnification obligations and notice obligations.</w:t>
      </w:r>
    </w:p>
    <w:p>
      <w:pPr>
        <w:spacing w:after="0" w:line="181" w:lineRule="exact"/>
        <w:rPr>
          <w:rFonts w:ascii="Arial" w:cs="Arial" w:eastAsia="Arial" w:hAnsi="Arial"/>
          <w:sz w:val="18"/>
          <w:szCs w:val="18"/>
          <w:color w:val="auto"/>
        </w:rPr>
      </w:pPr>
    </w:p>
    <w:p>
      <w:pPr>
        <w:ind w:firstLine="332"/>
        <w:spacing w:after="0" w:line="264" w:lineRule="auto"/>
        <w:tabs>
          <w:tab w:leader="none" w:pos="86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This Letter Agreement shall terminate on the earlier of (i) the expiration of the Lock-up Periods or (ii) the liquidation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Letter Agreement shall earlier terminate in the event that the Public Offering is not consummated and closed by January 31, 2020; provided further that paragraph 4 of this Letter Agreement shall survive such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14" w:name="page315"/>
    <w:bookmarkEnd w:id="314"/>
    <w:p>
      <w:pPr>
        <w:ind w:left="5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jc w:val="right"/>
        <w:ind w:right="2019"/>
        <w:spacing w:after="0"/>
        <w:rPr>
          <w:sz w:val="20"/>
          <w:szCs w:val="20"/>
          <w:color w:val="auto"/>
        </w:rPr>
      </w:pPr>
      <w:r>
        <w:rPr>
          <w:rFonts w:ascii="Arial" w:cs="Arial" w:eastAsia="Arial" w:hAnsi="Arial"/>
          <w:sz w:val="18"/>
          <w:szCs w:val="18"/>
          <w:b w:val="1"/>
          <w:bCs w:val="1"/>
          <w:color w:val="auto"/>
        </w:rPr>
        <w:t>SILVER SPIKE SPONSOR, LLC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tabs>
          <w:tab w:leader="none" w:pos="6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William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Mohammed Grimeh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Ken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Rich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Dr. Orrin Devinsky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Scott Gordon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80"/>
              <w:spacing w:after="0"/>
              <w:rPr>
                <w:sz w:val="20"/>
                <w:szCs w:val="20"/>
                <w:color w:val="auto"/>
              </w:rPr>
            </w:pPr>
            <w:r>
              <w:rPr>
                <w:rFonts w:ascii="Arial" w:cs="Arial" w:eastAsia="Arial" w:hAnsi="Arial"/>
                <w:sz w:val="18"/>
                <w:szCs w:val="18"/>
                <w:color w:val="auto"/>
              </w:rPr>
              <w:t>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15" w:name="page316"/>
    <w:bookmarkEnd w:id="315"/>
    <w:p>
      <w:pPr>
        <w:ind w:left="104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5" w:lineRule="exact"/>
        <w:rPr>
          <w:sz w:val="20"/>
          <w:szCs w:val="20"/>
          <w:color w:val="auto"/>
        </w:rPr>
      </w:pPr>
    </w:p>
    <w:p>
      <w:pPr>
        <w:ind w:left="660"/>
        <w:spacing w:after="0"/>
        <w:tabs>
          <w:tab w:leader="none" w:pos="7900" w:val="left"/>
        </w:tabs>
        <w:rPr>
          <w:sz w:val="20"/>
          <w:szCs w:val="20"/>
          <w:color w:val="auto"/>
        </w:rPr>
      </w:pPr>
      <w:r>
        <w:rPr>
          <w:rFonts w:ascii="Arial" w:cs="Arial" w:eastAsia="Arial" w:hAnsi="Arial"/>
          <w:sz w:val="18"/>
          <w:szCs w:val="18"/>
          <w:color w:val="auto"/>
        </w:rPr>
        <w:t>This Investment Management Trust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effective as of</w:t>
      </w:r>
      <w:r>
        <w:rPr>
          <w:sz w:val="20"/>
          <w:szCs w:val="20"/>
          <w:color w:val="auto"/>
        </w:rPr>
        <w:tab/>
      </w:r>
      <w:r>
        <w:rPr>
          <w:rFonts w:ascii="Arial" w:cs="Arial" w:eastAsia="Arial" w:hAnsi="Arial"/>
          <w:sz w:val="16"/>
          <w:szCs w:val="16"/>
          <w:color w:val="auto"/>
        </w:rPr>
        <w:t>, 2019, by and between Silver Spike Acquisition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Corp., a Cayman Islands exempted company (the “</w:t>
      </w:r>
      <w:r>
        <w:rPr>
          <w:rFonts w:ascii="Arial" w:cs="Arial" w:eastAsia="Arial" w:hAnsi="Arial"/>
          <w:sz w:val="16"/>
          <w:szCs w:val="16"/>
          <w:b w:val="1"/>
          <w:bCs w:val="1"/>
          <w:color w:val="auto"/>
        </w:rPr>
        <w:t>Company</w:t>
      </w:r>
      <w:r>
        <w:rPr>
          <w:rFonts w:ascii="Arial" w:cs="Arial" w:eastAsia="Arial" w:hAnsi="Arial"/>
          <w:sz w:val="16"/>
          <w:szCs w:val="16"/>
          <w:color w:val="auto"/>
        </w:rPr>
        <w:t>”), and Continental Stock Transfer &amp; Trust Company, a New York corporation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registration statement on Form S-1, File No. 333-232734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prospectus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for the initial public offering of the Company’s units (the “</w:t>
      </w:r>
      <w:r>
        <w:rPr>
          <w:rFonts w:ascii="Arial" w:cs="Arial" w:eastAsia="Arial" w:hAnsi="Arial"/>
          <w:sz w:val="16"/>
          <w:szCs w:val="16"/>
          <w:b w:val="1"/>
          <w:bCs w:val="1"/>
          <w:color w:val="auto"/>
        </w:rPr>
        <w:t>Units</w:t>
      </w:r>
      <w:r>
        <w:rPr>
          <w:rFonts w:ascii="Arial" w:cs="Arial" w:eastAsia="Arial" w:hAnsi="Arial"/>
          <w:sz w:val="16"/>
          <w:szCs w:val="16"/>
          <w:color w:val="auto"/>
        </w:rPr>
        <w:t>”), each of which consists of one of the Company’s Class A ordinary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 value $0.0001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and one-half of one warrant, each whole warrant entitling the holder thereof to purchase one Ordinary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(such initial public offering hereinafter referred to as the “</w:t>
      </w:r>
      <w:r>
        <w:rPr>
          <w:rFonts w:ascii="Arial" w:cs="Arial" w:eastAsia="Arial" w:hAnsi="Arial"/>
          <w:sz w:val="17"/>
          <w:szCs w:val="17"/>
          <w:b w:val="1"/>
          <w:bCs w:val="1"/>
          <w:color w:val="auto"/>
        </w:rPr>
        <w:t>Offering</w:t>
      </w:r>
      <w:r>
        <w:rPr>
          <w:rFonts w:ascii="Arial" w:cs="Arial" w:eastAsia="Arial" w:hAnsi="Arial"/>
          <w:sz w:val="17"/>
          <w:szCs w:val="17"/>
          <w:color w:val="auto"/>
        </w:rPr>
        <w:t>”), has been declared effective as of the date hereof by the U.S.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and</w:t>
      </w:r>
    </w:p>
    <w:p>
      <w:pPr>
        <w:spacing w:after="0" w:line="207"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entered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Credit Suisse Securities (USA)</w:t>
      </w:r>
      <w:r>
        <w:rPr>
          <w:rFonts w:ascii="Arial" w:cs="Arial" w:eastAsia="Arial" w:hAnsi="Arial"/>
          <w:sz w:val="18"/>
          <w:szCs w:val="18"/>
          <w:b w:val="1"/>
          <w:bCs w:val="1"/>
          <w:color w:val="auto"/>
        </w:rPr>
        <w:t xml:space="preserve"> </w:t>
      </w:r>
      <w:r>
        <w:rPr>
          <w:rFonts w:ascii="Arial" w:cs="Arial" w:eastAsia="Arial" w:hAnsi="Arial"/>
          <w:sz w:val="18"/>
          <w:szCs w:val="18"/>
          <w:color w:val="auto"/>
        </w:rPr>
        <w:t>LLC, as representative (the “</w:t>
      </w:r>
      <w:r>
        <w:rPr>
          <w:rFonts w:ascii="Arial" w:cs="Arial" w:eastAsia="Arial" w:hAnsi="Arial"/>
          <w:sz w:val="18"/>
          <w:szCs w:val="18"/>
          <w:b w:val="1"/>
          <w:bCs w:val="1"/>
          <w:color w:val="auto"/>
        </w:rPr>
        <w:t>Representative</w:t>
      </w:r>
      <w:r>
        <w:rPr>
          <w:rFonts w:ascii="Arial" w:cs="Arial" w:eastAsia="Arial" w:hAnsi="Arial"/>
          <w:sz w:val="18"/>
          <w:szCs w:val="18"/>
          <w:color w:val="auto"/>
        </w:rPr>
        <w:t>”) of the several underwriters (the “</w:t>
      </w:r>
      <w:r>
        <w:rPr>
          <w:rFonts w:ascii="Arial" w:cs="Arial" w:eastAsia="Arial" w:hAnsi="Arial"/>
          <w:sz w:val="18"/>
          <w:szCs w:val="18"/>
          <w:b w:val="1"/>
          <w:bCs w:val="1"/>
          <w:color w:val="auto"/>
        </w:rPr>
        <w:t>Underwriters</w:t>
      </w:r>
      <w:r>
        <w:rPr>
          <w:rFonts w:ascii="Arial" w:cs="Arial" w:eastAsia="Arial" w:hAnsi="Arial"/>
          <w:sz w:val="18"/>
          <w:szCs w:val="18"/>
          <w:color w:val="auto"/>
        </w:rPr>
        <w:t>”) named therein; and</w:t>
      </w:r>
    </w:p>
    <w:p>
      <w:pPr>
        <w:spacing w:after="0" w:line="162"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described in the Prospectus, $250,000,000 of the gross proceeds of the Offering and sale of the Private Placement Warrants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Underwriting Agreement) (or $287,500,000 if the Underwriters’ over-allotment option is exercised in full) will be delivered to the Trustee to be deposited and held in a trust account located at all times in the United States (the “</w:t>
      </w:r>
      <w:r>
        <w:rPr>
          <w:rFonts w:ascii="Arial" w:cs="Arial" w:eastAsia="Arial" w:hAnsi="Arial"/>
          <w:sz w:val="17"/>
          <w:szCs w:val="17"/>
          <w:b w:val="1"/>
          <w:bCs w:val="1"/>
          <w:color w:val="auto"/>
        </w:rPr>
        <w:t>Trust Account</w:t>
      </w:r>
      <w:r>
        <w:rPr>
          <w:rFonts w:ascii="Arial" w:cs="Arial" w:eastAsia="Arial" w:hAnsi="Arial"/>
          <w:sz w:val="17"/>
          <w:szCs w:val="17"/>
          <w:color w:val="auto"/>
        </w:rPr>
        <w:t>”) for the benefit of the Company and the holders of Ordinary Shares included in the Units issued in the Offering as hereinafter provided (the amount to be delivered to the Trustee (and any interest subsequently earned thereon) is referred to herein as the “</w:t>
      </w:r>
      <w:r>
        <w:rPr>
          <w:rFonts w:ascii="Arial" w:cs="Arial" w:eastAsia="Arial" w:hAnsi="Arial"/>
          <w:sz w:val="17"/>
          <w:szCs w:val="17"/>
          <w:b w:val="1"/>
          <w:bCs w:val="1"/>
          <w:color w:val="auto"/>
        </w:rPr>
        <w:t>Property,</w:t>
      </w:r>
      <w:r>
        <w:rPr>
          <w:rFonts w:ascii="Arial" w:cs="Arial" w:eastAsia="Arial" w:hAnsi="Arial"/>
          <w:sz w:val="17"/>
          <w:szCs w:val="17"/>
          <w:color w:val="auto"/>
        </w:rPr>
        <w:t>” the shareholders for whose benefit the Trustee shall hold the Property will be referred to as the “</w:t>
      </w:r>
      <w:r>
        <w:rPr>
          <w:rFonts w:ascii="Arial" w:cs="Arial" w:eastAsia="Arial" w:hAnsi="Arial"/>
          <w:sz w:val="17"/>
          <w:szCs w:val="17"/>
          <w:b w:val="1"/>
          <w:bCs w:val="1"/>
          <w:color w:val="auto"/>
        </w:rPr>
        <w:t>Public Shareholders,</w:t>
      </w:r>
      <w:r>
        <w:rPr>
          <w:rFonts w:ascii="Arial" w:cs="Arial" w:eastAsia="Arial" w:hAnsi="Arial"/>
          <w:sz w:val="17"/>
          <w:szCs w:val="17"/>
          <w:color w:val="auto"/>
        </w:rPr>
        <w:t>” and the Public Shareholders and the Company will be referred to together as the “</w:t>
      </w:r>
      <w:r>
        <w:rPr>
          <w:rFonts w:ascii="Arial" w:cs="Arial" w:eastAsia="Arial" w:hAnsi="Arial"/>
          <w:sz w:val="17"/>
          <w:szCs w:val="17"/>
          <w:b w:val="1"/>
          <w:bCs w:val="1"/>
          <w:color w:val="auto"/>
        </w:rPr>
        <w:t>Beneficiaries</w:t>
      </w:r>
      <w:r>
        <w:rPr>
          <w:rFonts w:ascii="Arial" w:cs="Arial" w:eastAsia="Arial" w:hAnsi="Arial"/>
          <w:sz w:val="17"/>
          <w:szCs w:val="17"/>
          <w:color w:val="auto"/>
        </w:rPr>
        <w:t>”); and</w:t>
      </w:r>
    </w:p>
    <w:p>
      <w:pPr>
        <w:spacing w:after="0" w:line="174" w:lineRule="exact"/>
        <w:rPr>
          <w:sz w:val="20"/>
          <w:szCs w:val="20"/>
          <w:color w:val="auto"/>
        </w:rPr>
      </w:pPr>
    </w:p>
    <w:p>
      <w:pPr>
        <w:ind w:right="42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Underwriting Agreement, a portion of the Property equal to $8,750,000, or $10,062,500 if the Underwriters’ over-allotment option is exercised in full, is attributable to deferred underwriting discounts and commissions that may be payable by the Company to the Underwriters upon the consummation of the Business Combination (as defined below) (the “</w:t>
      </w:r>
      <w:r>
        <w:rPr>
          <w:rFonts w:ascii="Arial" w:cs="Arial" w:eastAsia="Arial" w:hAnsi="Arial"/>
          <w:sz w:val="17"/>
          <w:szCs w:val="17"/>
          <w:b w:val="1"/>
          <w:bCs w:val="1"/>
          <w:color w:val="auto"/>
        </w:rPr>
        <w:t>Deferred Discount</w:t>
      </w:r>
      <w:r>
        <w:rPr>
          <w:rFonts w:ascii="Arial" w:cs="Arial" w:eastAsia="Arial" w:hAnsi="Arial"/>
          <w:sz w:val="17"/>
          <w:szCs w:val="17"/>
          <w:color w:val="auto"/>
        </w:rPr>
        <w:t>”); and</w:t>
      </w:r>
    </w:p>
    <w:p>
      <w:pPr>
        <w:spacing w:after="0" w:line="158"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Trustee desire to enter into this Agreement to set forth the terms and conditions pursuant to which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hold the Property.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1300" w:hanging="449"/>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Agreements and Covenants of Trustee</w:t>
      </w:r>
      <w:r>
        <w:rPr>
          <w:rFonts w:ascii="Arial" w:cs="Arial" w:eastAsia="Arial" w:hAnsi="Arial"/>
          <w:sz w:val="18"/>
          <w:szCs w:val="18"/>
          <w:color w:val="auto"/>
        </w:rPr>
        <w:t>. The Trustee hereby agrees and covenants to:</w:t>
      </w:r>
    </w:p>
    <w:p>
      <w:pPr>
        <w:sectPr>
          <w:pgSz w:w="11900" w:h="16838" w:orient="portrait"/>
          <w:cols w:equalWidth="0" w:num="1">
            <w:col w:w="11420"/>
          </w:cols>
          <w:pgMar w:left="240" w:top="121" w:right="239" w:bottom="1440" w:gutter="0" w:footer="0" w:header="0"/>
        </w:sectPr>
      </w:pPr>
    </w:p>
    <w:bookmarkStart w:id="316" w:name="page317"/>
    <w:bookmarkEnd w:id="316"/>
    <w:p>
      <w:pPr>
        <w:ind w:left="-540" w:right="40" w:firstLine="969"/>
        <w:spacing w:after="0" w:line="264" w:lineRule="auto"/>
        <w:tabs>
          <w:tab w:leader="none" w:pos="9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the Trust Account established by the Trustee in the United States at J.P. Morgan Chase Bank, N.A. and at a brokerage institution selected by the Trustee that is reasonably satisfactory to the Company;</w:t>
      </w:r>
    </w:p>
    <w:p>
      <w:pPr>
        <w:spacing w:after="0" w:line="181" w:lineRule="exact"/>
        <w:rPr>
          <w:rFonts w:ascii="Arial" w:cs="Arial" w:eastAsia="Arial" w:hAnsi="Arial"/>
          <w:sz w:val="18"/>
          <w:szCs w:val="18"/>
          <w:color w:val="auto"/>
        </w:rPr>
      </w:pPr>
    </w:p>
    <w:p>
      <w:pPr>
        <w:ind w:left="960" w:hanging="531"/>
        <w:spacing w:after="0"/>
        <w:tabs>
          <w:tab w:leader="none" w:pos="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left="-540" w:right="40" w:firstLine="969"/>
        <w:spacing w:after="0" w:line="293" w:lineRule="auto"/>
        <w:tabs>
          <w:tab w:leader="none" w:pos="94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 a timely manner, upon the written instruction of the Company, invest and reinvest the Property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while on deposit, the Trustee may earn bank credits or other consideration;</w:t>
      </w:r>
    </w:p>
    <w:p>
      <w:pPr>
        <w:spacing w:after="0" w:line="164" w:lineRule="exact"/>
        <w:rPr>
          <w:rFonts w:ascii="Arial" w:cs="Arial" w:eastAsia="Arial" w:hAnsi="Arial"/>
          <w:sz w:val="16"/>
          <w:szCs w:val="16"/>
          <w:color w:val="auto"/>
        </w:rPr>
      </w:pPr>
    </w:p>
    <w:p>
      <w:pPr>
        <w:ind w:left="-540" w:firstLine="969"/>
        <w:spacing w:after="0" w:line="277" w:lineRule="auto"/>
        <w:tabs>
          <w:tab w:leader="none" w:pos="95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Collect and receive, when due, all interest or other income arising from the Property, which shall become part of the “Property,” as such term is used herein;</w:t>
      </w:r>
    </w:p>
    <w:p>
      <w:pPr>
        <w:spacing w:after="0" w:line="170" w:lineRule="exact"/>
        <w:rPr>
          <w:rFonts w:ascii="Arial" w:cs="Arial" w:eastAsia="Arial" w:hAnsi="Arial"/>
          <w:sz w:val="18"/>
          <w:szCs w:val="18"/>
          <w:color w:val="auto"/>
        </w:rPr>
      </w:pPr>
    </w:p>
    <w:p>
      <w:pPr>
        <w:ind w:left="-540" w:right="600" w:firstLine="969"/>
        <w:spacing w:after="0" w:line="277" w:lineRule="auto"/>
        <w:tabs>
          <w:tab w:leader="none" w:pos="9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Promptly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left="-540" w:right="40" w:firstLine="969"/>
        <w:spacing w:after="0" w:line="264" w:lineRule="auto"/>
        <w:tabs>
          <w:tab w:leader="none" w:pos="92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 or in connection with the preparation or completing of the audit of the Company’s financial statements by the Company’s auditors;</w:t>
      </w:r>
    </w:p>
    <w:p>
      <w:pPr>
        <w:spacing w:after="0" w:line="181" w:lineRule="exact"/>
        <w:rPr>
          <w:rFonts w:ascii="Arial" w:cs="Arial" w:eastAsia="Arial" w:hAnsi="Arial"/>
          <w:sz w:val="18"/>
          <w:szCs w:val="18"/>
          <w:color w:val="auto"/>
        </w:rPr>
      </w:pPr>
    </w:p>
    <w:p>
      <w:pPr>
        <w:ind w:left="-540" w:right="140" w:firstLine="969"/>
        <w:spacing w:after="0" w:line="277" w:lineRule="auto"/>
        <w:tabs>
          <w:tab w:leader="none" w:pos="95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left="-540" w:firstLine="969"/>
        <w:spacing w:after="0" w:line="277" w:lineRule="auto"/>
        <w:tabs>
          <w:tab w:leader="none" w:pos="95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ind w:left="-540" w:right="80" w:firstLine="969"/>
        <w:spacing w:after="0" w:line="259" w:lineRule="auto"/>
        <w:tabs>
          <w:tab w:leader="none" w:pos="91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Commence liquidation of the Trust Account only after and promptly after (x) receipt of, and only in accordance with, the terms of a letter from the Company (“</w:t>
      </w:r>
      <w:r>
        <w:rPr>
          <w:rFonts w:ascii="Arial" w:cs="Arial" w:eastAsia="Arial" w:hAnsi="Arial"/>
          <w:sz w:val="18"/>
          <w:szCs w:val="18"/>
          <w:b w:val="1"/>
          <w:bCs w:val="1"/>
          <w:color w:val="auto"/>
        </w:rPr>
        <w:t>Termination Letter</w:t>
      </w:r>
      <w:r>
        <w:rPr>
          <w:rFonts w:ascii="Arial" w:cs="Arial" w:eastAsia="Arial" w:hAnsi="Arial"/>
          <w:sz w:val="18"/>
          <w:szCs w:val="18"/>
          <w:color w:val="auto"/>
        </w:rPr>
        <w:t xml:space="preserve">”) in a form substantially similar to that attached hereto as either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B</w:t>
      </w:r>
      <w:r>
        <w:rPr>
          <w:rFonts w:ascii="Arial" w:cs="Arial" w:eastAsia="Arial" w:hAnsi="Arial"/>
          <w:sz w:val="18"/>
          <w:szCs w:val="18"/>
          <w:color w:val="auto"/>
        </w:rPr>
        <w:t>, as applicable, signed on behalf of the Company by its Chief Executive Officer or Chairman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and complete the liquidation of the Trust Account</w:t>
      </w:r>
    </w:p>
    <w:p>
      <w:pPr>
        <w:sectPr>
          <w:pgSz w:w="11900" w:h="16838" w:orient="portrait"/>
          <w:cols w:equalWidth="0" w:num="1">
            <w:col w:w="10160"/>
          </w:cols>
          <w:pgMar w:left="1440" w:top="476" w:right="299" w:bottom="1440" w:gutter="0" w:footer="0" w:header="0"/>
        </w:sectPr>
      </w:pPr>
    </w:p>
    <w:bookmarkStart w:id="317" w:name="page318"/>
    <w:bookmarkEnd w:id="317"/>
    <w:p>
      <w:pPr>
        <w:spacing w:after="0" w:line="269" w:lineRule="auto"/>
        <w:rPr>
          <w:sz w:val="20"/>
          <w:szCs w:val="20"/>
          <w:color w:val="auto"/>
        </w:rPr>
      </w:pPr>
      <w:r>
        <w:rPr>
          <w:rFonts w:ascii="Arial" w:cs="Arial" w:eastAsia="Arial" w:hAnsi="Arial"/>
          <w:sz w:val="17"/>
          <w:szCs w:val="17"/>
          <w:color w:val="auto"/>
        </w:rPr>
        <w:t xml:space="preserve">and distribute the Property in the Trust Account, including interest (which interest shall be net of any taxes payable and, in the case of a Termination Letter in a form substantially similar to that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less up to $100,000 of interest to pay dissolution expenses), only as directed in the Termination Letter and the other documents referred to therein, or (y) upon the date which is the later of (i) 24 months after the closing of the Offering and (ii)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the Property in the Trust Account, including interest (which interest shall be net of any taxes payable and less up to $100,000 of interest to pay dissolution expenses), shall be distributed to the Public Shareholders of record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event the Trustee receives a Termination Letter in a form substantially similar to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or if the Trustee begins to liquidate the Property because it has received no such Termination Letter by the date specified in clause (y) of this </w:t>
      </w:r>
      <w:r>
        <w:rPr>
          <w:rFonts w:ascii="Arial" w:cs="Arial" w:eastAsia="Arial" w:hAnsi="Arial"/>
          <w:sz w:val="17"/>
          <w:szCs w:val="17"/>
          <w:u w:val="single" w:color="auto"/>
          <w:color w:val="auto"/>
        </w:rPr>
        <w:t>Section 1(i)</w:t>
      </w:r>
      <w:r>
        <w:rPr>
          <w:rFonts w:ascii="Arial" w:cs="Arial" w:eastAsia="Arial" w:hAnsi="Arial"/>
          <w:sz w:val="17"/>
          <w:szCs w:val="17"/>
          <w:color w:val="auto"/>
        </w:rPr>
        <w:t>, the Trustee shall keep the Trust Account open until twelve (12) months following the date the Property has been distributed to the Public Shareholders;</w:t>
      </w:r>
    </w:p>
    <w:p>
      <w:pPr>
        <w:spacing w:after="0" w:line="183" w:lineRule="exact"/>
        <w:rPr>
          <w:sz w:val="20"/>
          <w:szCs w:val="20"/>
          <w:color w:val="auto"/>
        </w:rPr>
      </w:pPr>
    </w:p>
    <w:p>
      <w:pPr>
        <w:ind w:right="40" w:firstLine="969"/>
        <w:spacing w:after="0" w:line="287" w:lineRule="auto"/>
        <w:tabs>
          <w:tab w:leader="none" w:pos="145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to the extent there is not sufficient cash in the Trust Account to pay such tax obligation, the Trustee shall liquidate such assets held in the Trust Account as shall be designated by the Company in writing to make such distribution so long as there is no reduction in the principal amount initially deposited in the Trust Account;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tax to be paid is a franchise tax, the written request by the Company to make such distribution shall be accompanied by a copy of the franchise tax bill for the Company and a written statement from the principal financial officer of the Company setting forth the actual amount payable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168" w:lineRule="exact"/>
        <w:rPr>
          <w:rFonts w:ascii="Arial" w:cs="Arial" w:eastAsia="Arial" w:hAnsi="Arial"/>
          <w:sz w:val="16"/>
          <w:szCs w:val="16"/>
          <w:color w:val="auto"/>
        </w:rPr>
      </w:pPr>
    </w:p>
    <w:p>
      <w:pPr>
        <w:ind w:right="80" w:firstLine="969"/>
        <w:spacing w:after="0" w:line="277" w:lineRule="auto"/>
        <w:tabs>
          <w:tab w:leader="none" w:pos="149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the Trustee shall distribute to the Public Shareholders of record as of</w:t>
      </w:r>
    </w:p>
    <w:p>
      <w:pPr>
        <w:sectPr>
          <w:pgSz w:w="11900" w:h="16838" w:orient="portrait"/>
          <w:cols w:equalWidth="0" w:num="1">
            <w:col w:w="10680"/>
          </w:cols>
          <w:pgMar w:left="900" w:top="476" w:right="319" w:bottom="1440" w:gutter="0" w:footer="0" w:header="0"/>
        </w:sectPr>
      </w:pPr>
    </w:p>
    <w:bookmarkStart w:id="318" w:name="page319"/>
    <w:bookmarkEnd w:id="318"/>
    <w:p>
      <w:pPr>
        <w:spacing w:after="0" w:line="297" w:lineRule="auto"/>
        <w:rPr>
          <w:sz w:val="20"/>
          <w:szCs w:val="20"/>
          <w:color w:val="auto"/>
        </w:rPr>
      </w:pPr>
      <w:r>
        <w:rPr>
          <w:rFonts w:ascii="Arial" w:cs="Arial" w:eastAsia="Arial" w:hAnsi="Arial"/>
          <w:sz w:val="16"/>
          <w:szCs w:val="16"/>
          <w:color w:val="auto"/>
        </w:rPr>
        <w:t>such date the amount requested by the Company to be used to redeem Ordinary Shares from Public Shareholders properly submitted in connection with a shareholder vote to approve an amendment to the Company’s amended and restated memorandum and articles of association (i) that would affect the substance or timing of the Company’s obligation to redeem 100% of its public Ordinary Shares if the Company has not consummated an initial Business Combination within such time as is described in the Company’s amended and restated memorandum and articles of association or (ii) with respect to any other provision relating to shareholders’ rights or pre-initial Business Combination activity; and</w:t>
      </w:r>
    </w:p>
    <w:p>
      <w:pPr>
        <w:spacing w:after="0" w:line="158" w:lineRule="exact"/>
        <w:rPr>
          <w:sz w:val="20"/>
          <w:szCs w:val="20"/>
          <w:color w:val="auto"/>
        </w:rPr>
      </w:pPr>
    </w:p>
    <w:p>
      <w:pPr>
        <w:ind w:left="1460" w:hanging="491"/>
        <w:spacing w:after="0"/>
        <w:tabs>
          <w:tab w:leader="none" w:pos="146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 xml:space="preserve">Not make any withdrawals or distributions from the Trust Account other than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1(k)</w:t>
      </w:r>
      <w:r>
        <w:rPr>
          <w:rFonts w:ascii="Arial" w:cs="Arial" w:eastAsia="Arial" w:hAnsi="Arial"/>
          <w:sz w:val="17"/>
          <w:szCs w:val="17"/>
          <w:color w:val="auto"/>
        </w:rPr>
        <w:t xml:space="preserve"> above.</w:t>
      </w:r>
    </w:p>
    <w:p>
      <w:pPr>
        <w:spacing w:after="0" w:line="236" w:lineRule="exact"/>
        <w:rPr>
          <w:rFonts w:ascii="Arial" w:cs="Arial" w:eastAsia="Arial" w:hAnsi="Arial"/>
          <w:sz w:val="17"/>
          <w:szCs w:val="17"/>
          <w:color w:val="auto"/>
        </w:rPr>
      </w:pPr>
    </w:p>
    <w:p>
      <w:pPr>
        <w:ind w:left="640" w:hanging="449"/>
        <w:spacing w:after="0"/>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ind w:right="120" w:firstLine="969"/>
        <w:spacing w:after="0" w:line="279" w:lineRule="auto"/>
        <w:tabs>
          <w:tab w:leader="none" w:pos="1487"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Give all instructions to the Trustee hereunder in writing, signed by the Company’s Chief Executive Officer. In addition, except with respect to its duties under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1(k)</w:t>
      </w:r>
      <w:r>
        <w:rPr>
          <w:rFonts w:ascii="Arial" w:cs="Arial" w:eastAsia="Arial" w:hAnsi="Arial"/>
          <w:sz w:val="17"/>
          <w:szCs w:val="17"/>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71" w:lineRule="exact"/>
        <w:rPr>
          <w:rFonts w:ascii="Arial" w:cs="Arial" w:eastAsia="Arial" w:hAnsi="Arial"/>
          <w:sz w:val="17"/>
          <w:szCs w:val="17"/>
          <w:color w:val="auto"/>
        </w:rPr>
      </w:pPr>
    </w:p>
    <w:p>
      <w:pPr>
        <w:ind w:right="60" w:firstLine="969"/>
        <w:spacing w:after="0" w:line="287" w:lineRule="auto"/>
        <w:tabs>
          <w:tab w:leader="none" w:pos="1497"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out-of-pocket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color w:val="auto"/>
        </w:rPr>
        <w:t>Indemnified Claim</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or delayed. The Trustee may not agree to settle any Indemnified Claim without the prior written consent of the Company, which such consent shall not be unreasonably withheld or delayed. The Company may participate in such action with its own counsel;</w:t>
      </w:r>
    </w:p>
    <w:p>
      <w:pPr>
        <w:sectPr>
          <w:pgSz w:w="11900" w:h="16838" w:orient="portrait"/>
          <w:cols w:equalWidth="0" w:num="1">
            <w:col w:w="10760"/>
          </w:cols>
          <w:pgMar w:left="900" w:top="476" w:right="239" w:bottom="1440" w:gutter="0" w:footer="0" w:header="0"/>
        </w:sectPr>
      </w:pPr>
    </w:p>
    <w:bookmarkStart w:id="319" w:name="page320"/>
    <w:bookmarkEnd w:id="319"/>
    <w:p>
      <w:pPr>
        <w:ind w:right="120" w:firstLine="969"/>
        <w:spacing w:after="0" w:line="255" w:lineRule="auto"/>
        <w:tabs>
          <w:tab w:leader="none" w:pos="148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Pay the Trustee the fees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as may be provided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w:t>
      </w:r>
    </w:p>
    <w:p>
      <w:pPr>
        <w:spacing w:after="0" w:line="193" w:lineRule="exact"/>
        <w:rPr>
          <w:rFonts w:ascii="Arial" w:cs="Arial" w:eastAsia="Arial" w:hAnsi="Arial"/>
          <w:sz w:val="18"/>
          <w:szCs w:val="18"/>
          <w:color w:val="auto"/>
        </w:rPr>
      </w:pPr>
    </w:p>
    <w:p>
      <w:pPr>
        <w:ind w:right="140" w:firstLine="969"/>
        <w:spacing w:after="0" w:line="259" w:lineRule="auto"/>
        <w:tabs>
          <w:tab w:leader="none" w:pos="149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merger, amalgamation, share exchange, asset acquisition, share purchase, reorganization or similar business combination involving the Company and one or more businesses (a “</w:t>
      </w:r>
      <w:r>
        <w:rPr>
          <w:rFonts w:ascii="Arial" w:cs="Arial" w:eastAsia="Arial" w:hAnsi="Arial"/>
          <w:sz w:val="18"/>
          <w:szCs w:val="18"/>
          <w:b w:val="1"/>
          <w:b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Combination</w:t>
      </w:r>
      <w:r>
        <w:rPr>
          <w:rFonts w:ascii="Arial" w:cs="Arial" w:eastAsia="Arial" w:hAnsi="Arial"/>
          <w:sz w:val="18"/>
          <w:szCs w:val="18"/>
          <w:color w:val="auto"/>
        </w:rPr>
        <w:t>”), provide to the Trustee an affidavit or certificate of the inspector of elections for the shareholder meeting verifying the vote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regarding such Business Combination;</w:t>
      </w:r>
    </w:p>
    <w:p>
      <w:pPr>
        <w:spacing w:after="0" w:line="186" w:lineRule="exact"/>
        <w:rPr>
          <w:rFonts w:ascii="Arial" w:cs="Arial" w:eastAsia="Arial" w:hAnsi="Arial"/>
          <w:sz w:val="18"/>
          <w:szCs w:val="18"/>
          <w:color w:val="auto"/>
        </w:rPr>
      </w:pPr>
    </w:p>
    <w:p>
      <w:pPr>
        <w:ind w:right="100" w:firstLine="969"/>
        <w:spacing w:after="0" w:line="277" w:lineRule="auto"/>
        <w:tabs>
          <w:tab w:leader="none" w:pos="148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ind w:right="260" w:firstLine="969"/>
        <w:spacing w:after="0" w:line="277" w:lineRule="auto"/>
        <w:tabs>
          <w:tab w:leader="none" w:pos="146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w:t>
      </w:r>
    </w:p>
    <w:p>
      <w:pPr>
        <w:spacing w:after="0" w:line="170" w:lineRule="exact"/>
        <w:rPr>
          <w:rFonts w:ascii="Arial" w:cs="Arial" w:eastAsia="Arial" w:hAnsi="Arial"/>
          <w:sz w:val="18"/>
          <w:szCs w:val="18"/>
          <w:color w:val="auto"/>
        </w:rPr>
      </w:pPr>
    </w:p>
    <w:p>
      <w:pPr>
        <w:ind w:firstLine="969"/>
        <w:spacing w:after="0" w:line="264" w:lineRule="auto"/>
        <w:tabs>
          <w:tab w:leader="none" w:pos="149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Expressly provide in any Instruction Letter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delivered in connection with a Termination Letter in a form substantially similar to that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the Deferred Discount be paid directly to the account or accounts directed by the Representative; and</w:t>
      </w:r>
    </w:p>
    <w:p>
      <w:pPr>
        <w:spacing w:after="0" w:line="181" w:lineRule="exact"/>
        <w:rPr>
          <w:rFonts w:ascii="Arial" w:cs="Arial" w:eastAsia="Arial" w:hAnsi="Arial"/>
          <w:sz w:val="18"/>
          <w:szCs w:val="18"/>
          <w:color w:val="auto"/>
        </w:rPr>
      </w:pPr>
    </w:p>
    <w:p>
      <w:pPr>
        <w:ind w:right="80" w:firstLine="969"/>
        <w:spacing w:after="0" w:line="286" w:lineRule="auto"/>
        <w:tabs>
          <w:tab w:leader="none" w:pos="1494" w:val="left"/>
        </w:tabs>
        <w:numPr>
          <w:ilvl w:val="1"/>
          <w:numId w:val="223"/>
        </w:numPr>
        <w:rPr>
          <w:rFonts w:ascii="Arial" w:cs="Arial" w:eastAsia="Arial" w:hAnsi="Arial"/>
          <w:sz w:val="17"/>
          <w:szCs w:val="17"/>
          <w:color w:val="auto"/>
        </w:rPr>
      </w:pPr>
      <w:r>
        <w:rPr>
          <w:rFonts w:ascii="Arial" w:cs="Arial" w:eastAsia="Arial" w:hAnsi="Arial"/>
          <w:sz w:val="17"/>
          <w:szCs w:val="17"/>
          <w:color w:val="auto"/>
        </w:rPr>
        <w:t>Within four (4) business days after the Underwriters’ exercise of the over-allotment option (or any unexercised portion thereof) or such over-allotment option expires, provide the Trustee with a notice in writing of the total amount of the Deferred Discount, which shall in no event be less than $8,750,000 (or $10,062,500 if the Underwriters’ over-allotment option is exercised in full).</w:t>
      </w:r>
    </w:p>
    <w:p>
      <w:pPr>
        <w:spacing w:after="0" w:line="165" w:lineRule="exact"/>
        <w:rPr>
          <w:rFonts w:ascii="Arial" w:cs="Arial" w:eastAsia="Arial" w:hAnsi="Arial"/>
          <w:sz w:val="17"/>
          <w:szCs w:val="17"/>
          <w:color w:val="auto"/>
        </w:rPr>
      </w:pPr>
    </w:p>
    <w:p>
      <w:pPr>
        <w:ind w:left="640" w:hanging="449"/>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right="260" w:firstLine="969"/>
        <w:spacing w:after="0" w:line="277" w:lineRule="auto"/>
        <w:tabs>
          <w:tab w:leader="none" w:pos="148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left="1500" w:hanging="531"/>
        <w:spacing w:after="0"/>
        <w:tabs>
          <w:tab w:leader="none" w:pos="15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Take any action with respect to the Property, other than as directed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 and the Trustee shall have no liability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third party</w:t>
      </w:r>
    </w:p>
    <w:p>
      <w:pPr>
        <w:sectPr>
          <w:pgSz w:w="11900" w:h="16838" w:orient="portrait"/>
          <w:cols w:equalWidth="0" w:num="1">
            <w:col w:w="10740"/>
          </w:cols>
          <w:pgMar w:left="900" w:top="476" w:right="25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color w:val="auto"/>
        </w:rPr>
        <w:t>except for liability arising out of the Trustee’s gross negligence, fraud or willful misconduct;</w:t>
      </w:r>
    </w:p>
    <w:p>
      <w:pPr>
        <w:spacing w:after="0" w:line="225" w:lineRule="exact"/>
        <w:rPr>
          <w:sz w:val="20"/>
          <w:szCs w:val="20"/>
          <w:color w:val="auto"/>
        </w:rPr>
      </w:pPr>
    </w:p>
    <w:p>
      <w:pPr>
        <w:ind w:right="140" w:firstLine="969"/>
        <w:spacing w:after="0" w:line="286" w:lineRule="auto"/>
        <w:tabs>
          <w:tab w:leader="none" w:pos="1487"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65" w:lineRule="exact"/>
        <w:rPr>
          <w:rFonts w:ascii="Arial" w:cs="Arial" w:eastAsia="Arial" w:hAnsi="Arial"/>
          <w:sz w:val="17"/>
          <w:szCs w:val="17"/>
          <w:color w:val="auto"/>
        </w:rPr>
      </w:pPr>
    </w:p>
    <w:p>
      <w:pPr>
        <w:ind w:left="1500" w:hanging="531"/>
        <w:spacing w:after="0"/>
        <w:tabs>
          <w:tab w:leader="none" w:pos="15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right="380" w:firstLine="969"/>
        <w:spacing w:after="0" w:line="342" w:lineRule="auto"/>
        <w:tabs>
          <w:tab w:leader="none" w:pos="147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23" w:lineRule="exact"/>
        <w:rPr>
          <w:rFonts w:ascii="Arial" w:cs="Arial" w:eastAsia="Arial" w:hAnsi="Arial"/>
          <w:sz w:val="16"/>
          <w:szCs w:val="16"/>
          <w:color w:val="auto"/>
        </w:rPr>
      </w:pPr>
    </w:p>
    <w:p>
      <w:pPr>
        <w:ind w:firstLine="969"/>
        <w:spacing w:after="0" w:line="270" w:lineRule="auto"/>
        <w:tabs>
          <w:tab w:leader="none" w:pos="146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81" w:lineRule="exact"/>
        <w:rPr>
          <w:rFonts w:ascii="Arial" w:cs="Arial" w:eastAsia="Arial" w:hAnsi="Arial"/>
          <w:sz w:val="17"/>
          <w:szCs w:val="17"/>
          <w:color w:val="auto"/>
        </w:rPr>
      </w:pPr>
    </w:p>
    <w:p>
      <w:pPr>
        <w:ind w:left="1500" w:hanging="531"/>
        <w:spacing w:after="0"/>
        <w:tabs>
          <w:tab w:leader="none" w:pos="15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right="140" w:firstLine="969"/>
        <w:spacing w:after="0" w:line="277" w:lineRule="auto"/>
        <w:tabs>
          <w:tab w:leader="none" w:pos="149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jc w:val="both"/>
        <w:ind w:right="240" w:firstLine="969"/>
        <w:spacing w:after="0" w:line="342" w:lineRule="auto"/>
        <w:tabs>
          <w:tab w:leader="none" w:pos="145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23" w:lineRule="exact"/>
        <w:rPr>
          <w:rFonts w:ascii="Arial" w:cs="Arial" w:eastAsia="Arial" w:hAnsi="Arial"/>
          <w:sz w:val="16"/>
          <w:szCs w:val="16"/>
          <w:color w:val="auto"/>
        </w:rPr>
      </w:pPr>
    </w:p>
    <w:p>
      <w:pPr>
        <w:ind w:left="1460" w:hanging="491"/>
        <w:spacing w:after="0"/>
        <w:tabs>
          <w:tab w:leader="none" w:pos="14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Prepare, execute and file tax reports, income or other tax returns and pay any taxes with respect to any income generated by,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activities relating</w:t>
      </w:r>
    </w:p>
    <w:p>
      <w:pPr>
        <w:sectPr>
          <w:pgSz w:w="11900" w:h="16838" w:orient="portrait"/>
          <w:cols w:equalWidth="0" w:num="1">
            <w:col w:w="10740"/>
          </w:cols>
          <w:pgMar w:left="900" w:top="476" w:right="259" w:bottom="1440" w:gutter="0" w:footer="0" w:header="0"/>
        </w:sectPr>
      </w:pPr>
    </w:p>
    <w:bookmarkStart w:id="321" w:name="page322"/>
    <w:bookmarkEnd w:id="321"/>
    <w:p>
      <w:pPr>
        <w:ind w:right="260"/>
        <w:spacing w:after="0" w:line="277" w:lineRule="auto"/>
        <w:rPr>
          <w:sz w:val="20"/>
          <w:szCs w:val="20"/>
          <w:color w:val="auto"/>
        </w:rPr>
      </w:pPr>
      <w:r>
        <w:rPr>
          <w:rFonts w:ascii="Arial" w:cs="Arial" w:eastAsia="Arial" w:hAnsi="Arial"/>
          <w:sz w:val="18"/>
          <w:szCs w:val="18"/>
          <w:color w:val="auto"/>
        </w:rPr>
        <w:t xml:space="preserve">to, the Trust Account, regardless of whether such tax is payable by the Trust Account or the Company, including, but not limited to, franchise and income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70" w:lineRule="exact"/>
        <w:rPr>
          <w:sz w:val="20"/>
          <w:szCs w:val="20"/>
          <w:color w:val="auto"/>
        </w:rPr>
      </w:pPr>
    </w:p>
    <w:p>
      <w:pPr>
        <w:ind w:left="1500" w:hanging="531"/>
        <w:spacing w:after="0"/>
        <w:tabs>
          <w:tab w:leader="none" w:pos="150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 xml:space="preserve">Verify calculations, qualify or otherwise approve the Company’s written requests for distributions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1(k</w:t>
      </w:r>
      <w:r>
        <w:rPr>
          <w:rFonts w:ascii="Arial" w:cs="Arial" w:eastAsia="Arial" w:hAnsi="Arial"/>
          <w:sz w:val="18"/>
          <w:szCs w:val="18"/>
          <w:color w:val="auto"/>
        </w:rPr>
        <w:t>) hereof.</w:t>
      </w:r>
    </w:p>
    <w:p>
      <w:pPr>
        <w:spacing w:after="0" w:line="206" w:lineRule="exact"/>
        <w:rPr>
          <w:rFonts w:ascii="Arial" w:cs="Arial" w:eastAsia="Arial" w:hAnsi="Arial"/>
          <w:sz w:val="16"/>
          <w:szCs w:val="16"/>
          <w:color w:val="auto"/>
        </w:rPr>
      </w:pPr>
    </w:p>
    <w:p>
      <w:pPr>
        <w:jc w:val="both"/>
        <w:ind w:left="-660" w:right="80" w:firstLine="851"/>
        <w:spacing w:after="0" w:line="303" w:lineRule="auto"/>
        <w:tabs>
          <w:tab w:leader="none" w:pos="633"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t>Trust Account Waiver</w:t>
      </w:r>
      <w:r>
        <w:rPr>
          <w:rFonts w:ascii="Arial" w:cs="Arial" w:eastAsia="Arial" w:hAnsi="Arial"/>
          <w:sz w:val="16"/>
          <w:szCs w:val="16"/>
          <w:color w:val="auto"/>
        </w:rPr>
        <w:t>. The Trustee has no right of set-off or any right, title, interest or claim of any kind (“</w:t>
      </w:r>
      <w:r>
        <w:rPr>
          <w:rFonts w:ascii="Arial" w:cs="Arial" w:eastAsia="Arial" w:hAnsi="Arial"/>
          <w:sz w:val="16"/>
          <w:szCs w:val="16"/>
          <w:b w:val="1"/>
          <w:bCs w:val="1"/>
          <w:color w:val="auto"/>
        </w:rPr>
        <w:t>Claim</w:t>
      </w:r>
      <w:r>
        <w:rPr>
          <w:rFonts w:ascii="Arial" w:cs="Arial" w:eastAsia="Arial" w:hAnsi="Arial"/>
          <w:sz w:val="16"/>
          <w:szCs w:val="16"/>
          <w:color w:val="auto"/>
        </w:rPr>
        <w:t>”) to, or to any monies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the Trustee shall pursue such Claim solely against the Company and its assets outside the Trust Account and not against the Property or any monies in the Trust Account.</w:t>
      </w:r>
    </w:p>
    <w:p>
      <w:pPr>
        <w:spacing w:after="0" w:line="155" w:lineRule="exact"/>
        <w:rPr>
          <w:rFonts w:ascii="Arial" w:cs="Arial" w:eastAsia="Arial" w:hAnsi="Arial"/>
          <w:sz w:val="16"/>
          <w:szCs w:val="16"/>
          <w:color w:val="auto"/>
        </w:rPr>
      </w:pPr>
    </w:p>
    <w:p>
      <w:pPr>
        <w:ind w:left="640" w:hanging="449"/>
        <w:spacing w:after="0"/>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ind w:right="40" w:firstLine="969"/>
        <w:spacing w:after="0" w:line="290" w:lineRule="auto"/>
        <w:tabs>
          <w:tab w:leader="none" w:pos="1487" w:val="left"/>
        </w:tabs>
        <w:numPr>
          <w:ilvl w:val="1"/>
          <w:numId w:val="227"/>
        </w:numPr>
        <w:rPr>
          <w:rFonts w:ascii="Arial" w:cs="Arial" w:eastAsia="Arial" w:hAnsi="Arial"/>
          <w:sz w:val="16"/>
          <w:szCs w:val="16"/>
          <w:color w:val="auto"/>
        </w:rPr>
      </w:pPr>
      <w:r>
        <w:rPr>
          <w:rFonts w:ascii="Arial" w:cs="Arial" w:eastAsia="Arial" w:hAnsi="Arial"/>
          <w:sz w:val="16"/>
          <w:szCs w:val="16"/>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66" w:lineRule="exact"/>
        <w:rPr>
          <w:rFonts w:ascii="Arial" w:cs="Arial" w:eastAsia="Arial" w:hAnsi="Arial"/>
          <w:sz w:val="16"/>
          <w:szCs w:val="16"/>
          <w:color w:val="auto"/>
        </w:rPr>
      </w:pPr>
    </w:p>
    <w:p>
      <w:pPr>
        <w:jc w:val="both"/>
        <w:ind w:right="440" w:firstLine="969"/>
        <w:spacing w:after="0" w:line="264" w:lineRule="auto"/>
        <w:tabs>
          <w:tab w:leader="none" w:pos="148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firstLine="969"/>
        <w:spacing w:after="0" w:line="264" w:lineRule="auto"/>
        <w:tabs>
          <w:tab w:leader="none" w:pos="148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If the Offering is not consummated within ten (10) business days of the date of this Agreement, in which case any funds received by the Trustee from the Company or Silver Spike Sponsor, LLC for purposes of funding the Trust Account shall be promptly returned to the Company or Silver Spike Sponsor, LLC, as applicable.</w:t>
      </w:r>
    </w:p>
    <w:p>
      <w:pPr>
        <w:sectPr>
          <w:pgSz w:w="11900" w:h="16838" w:orient="portrait"/>
          <w:cols w:equalWidth="0" w:num="1">
            <w:col w:w="10740"/>
          </w:cols>
          <w:pgMar w:left="900" w:top="476" w:right="259" w:bottom="1440" w:gutter="0" w:footer="0" w:header="0"/>
        </w:sectPr>
      </w:pPr>
    </w:p>
    <w:bookmarkStart w:id="322" w:name="page323"/>
    <w:bookmarkEnd w:id="322"/>
    <w:p>
      <w:pPr>
        <w:ind w:left="640" w:hanging="449"/>
        <w:spacing w:after="0"/>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69"/>
        <w:spacing w:after="0" w:line="254" w:lineRule="auto"/>
        <w:tabs>
          <w:tab w:leader="none" w:pos="148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92" w:lineRule="exact"/>
        <w:rPr>
          <w:rFonts w:ascii="Arial" w:cs="Arial" w:eastAsia="Arial" w:hAnsi="Arial"/>
          <w:sz w:val="18"/>
          <w:szCs w:val="18"/>
          <w:color w:val="auto"/>
        </w:rPr>
      </w:pPr>
    </w:p>
    <w:p>
      <w:pPr>
        <w:ind w:firstLine="969"/>
        <w:spacing w:after="0" w:line="277" w:lineRule="auto"/>
        <w:tabs>
          <w:tab w:leader="none" w:pos="149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New York, without giving effect to conflicts of law principles that would result in the application of the substantive laws of another jurisdiction.</w:t>
      </w:r>
    </w:p>
    <w:p>
      <w:pPr>
        <w:spacing w:after="0" w:line="170" w:lineRule="exact"/>
        <w:rPr>
          <w:rFonts w:ascii="Arial" w:cs="Arial" w:eastAsia="Arial" w:hAnsi="Arial"/>
          <w:sz w:val="18"/>
          <w:szCs w:val="18"/>
          <w:color w:val="auto"/>
        </w:rPr>
      </w:pPr>
    </w:p>
    <w:p>
      <w:pPr>
        <w:ind w:right="20" w:firstLine="969"/>
        <w:spacing w:after="0" w:line="293" w:lineRule="auto"/>
        <w:tabs>
          <w:tab w:leader="none" w:pos="1484"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This Agreement contains the entire agreement and understanding of the parties hereto with respect to the subject matter hereof. Except for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hereof (which sections may not be modified, amended or deleted without the affirmative vote of sixty five percent (65%) of the then outstanding Ordinary Shares and Class B ordinary shares, par value $0.0001 per share, of the Company voting together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will affect any Public Shareholder who has otherwise indicated his, her or its election to redeem his, her or its Ordinary Shares in connection with a shareholder vote sought to amend this Agreement), this Agreement or any provision hereof may only be changed, amended or modified (other than to correct a typographical error) by a writing signed by each of the parties hereto.</w:t>
      </w:r>
    </w:p>
    <w:p>
      <w:pPr>
        <w:spacing w:after="0" w:line="164" w:lineRule="exact"/>
        <w:rPr>
          <w:rFonts w:ascii="Arial" w:cs="Arial" w:eastAsia="Arial" w:hAnsi="Arial"/>
          <w:sz w:val="16"/>
          <w:szCs w:val="16"/>
          <w:color w:val="auto"/>
        </w:rPr>
      </w:pPr>
    </w:p>
    <w:p>
      <w:pPr>
        <w:ind w:right="240" w:firstLine="969"/>
        <w:spacing w:after="0" w:line="291" w:lineRule="auto"/>
        <w:tabs>
          <w:tab w:leader="none" w:pos="1494"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The parties hereto consent to the jurisdiction and venue of any state or federal court located in the City of New York, State of New York, for purposes of resolving any disputes hereunder. </w:t>
      </w:r>
      <w:r>
        <w:rPr>
          <w:rFonts w:ascii="Arial" w:cs="Arial" w:eastAsia="Arial" w:hAnsi="Arial"/>
          <w:sz w:val="16"/>
          <w:szCs w:val="16"/>
          <w:b w:val="1"/>
          <w:bCs w:val="1"/>
          <w:color w:val="auto"/>
        </w:rPr>
        <w:t>AS TO ANY CLAIM, CROSS-CLAIM OR COUNTERCLAIM IN ANY WAY</w:t>
      </w:r>
    </w:p>
    <w:p>
      <w:pPr>
        <w:spacing w:after="0"/>
        <w:rPr>
          <w:rFonts w:ascii="Arial" w:cs="Arial" w:eastAsia="Arial" w:hAnsi="Arial"/>
          <w:sz w:val="16"/>
          <w:szCs w:val="16"/>
          <w:color w:val="auto"/>
        </w:rPr>
      </w:pPr>
      <w:r>
        <w:rPr>
          <w:rFonts w:ascii="Arial" w:cs="Arial" w:eastAsia="Arial" w:hAnsi="Arial"/>
          <w:sz w:val="18"/>
          <w:szCs w:val="18"/>
          <w:b w:val="1"/>
          <w:bCs w:val="1"/>
          <w:color w:val="auto"/>
        </w:rPr>
        <w:t>RELATING TO THIS AGREEMENT, EACH PARTY WAIVES THE RIGHT TO TRIAL BY JURY.</w:t>
      </w:r>
    </w:p>
    <w:p>
      <w:pPr>
        <w:spacing w:after="0" w:line="210" w:lineRule="exact"/>
        <w:rPr>
          <w:rFonts w:ascii="Arial" w:cs="Arial" w:eastAsia="Arial" w:hAnsi="Arial"/>
          <w:sz w:val="16"/>
          <w:szCs w:val="16"/>
          <w:color w:val="auto"/>
        </w:rPr>
      </w:pPr>
    </w:p>
    <w:p>
      <w:pPr>
        <w:ind w:right="520" w:firstLine="969"/>
        <w:spacing w:after="0" w:line="264" w:lineRule="auto"/>
        <w:tabs>
          <w:tab w:leader="none" w:pos="147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by electronic mail or by facsimile transmission: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 to:</w:t>
      </w:r>
    </w:p>
    <w:p>
      <w:pPr>
        <w:sectPr>
          <w:pgSz w:w="11900" w:h="16838" w:orient="portrait"/>
          <w:cols w:equalWidth="0" w:num="1">
            <w:col w:w="10740"/>
          </w:cols>
          <w:pgMar w:left="900" w:top="476" w:right="259" w:bottom="1440" w:gutter="0" w:footer="0" w:header="0"/>
        </w:sectPr>
      </w:pPr>
    </w:p>
    <w:bookmarkStart w:id="323" w:name="page324"/>
    <w:bookmarkEnd w:id="323"/>
    <w:p>
      <w:pPr>
        <w:ind w:left="64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1114 6th Ave, 41st Floor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Greg Gentile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notices@silverspikecap.com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Derek J. Dostal, Esq.</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derek.dostal@davispolk.com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New York 10010-3629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Niron Stabinsky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niron.stabinsky@credit-suisse.com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Jonathan Ko, Esq.</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Jonathan.Ko@skadden.com</w:t>
      </w:r>
    </w:p>
    <w:p>
      <w:pPr>
        <w:spacing w:after="0" w:line="211" w:lineRule="exact"/>
        <w:rPr>
          <w:sz w:val="20"/>
          <w:szCs w:val="20"/>
          <w:color w:val="auto"/>
        </w:rPr>
      </w:pPr>
    </w:p>
    <w:p>
      <w:pPr>
        <w:ind w:left="1460" w:hanging="491"/>
        <w:spacing w:after="0"/>
        <w:tabs>
          <w:tab w:leader="none" w:pos="1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jc w:val="both"/>
        <w:ind w:firstLine="969"/>
        <w:spacing w:after="0" w:line="259" w:lineRule="auto"/>
        <w:tabs>
          <w:tab w:leader="none" w:pos="149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ectPr>
          <w:pgSz w:w="11900" w:h="16838" w:orient="portrait"/>
          <w:cols w:equalWidth="0" w:num="1">
            <w:col w:w="10740"/>
          </w:cols>
          <w:pgMar w:left="900" w:top="476" w:right="259" w:bottom="1440" w:gutter="0" w:footer="0" w:header="0"/>
        </w:sectPr>
      </w:pPr>
    </w:p>
    <w:bookmarkStart w:id="324" w:name="page325"/>
    <w:bookmarkEnd w:id="324"/>
    <w:p>
      <w:pPr>
        <w:ind w:right="180" w:firstLine="969"/>
        <w:spacing w:after="0" w:line="277" w:lineRule="auto"/>
        <w:tabs>
          <w:tab w:leader="none" w:pos="149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ind w:right="180" w:firstLine="969"/>
        <w:spacing w:after="0" w:line="264" w:lineRule="auto"/>
        <w:tabs>
          <w:tab w:leader="none" w:pos="145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1" w:lineRule="exact"/>
        <w:rPr>
          <w:rFonts w:ascii="Arial" w:cs="Arial" w:eastAsia="Arial" w:hAnsi="Arial"/>
          <w:sz w:val="18"/>
          <w:szCs w:val="18"/>
          <w:color w:val="auto"/>
        </w:rPr>
      </w:pPr>
    </w:p>
    <w:p>
      <w:pPr>
        <w:ind w:firstLine="969"/>
        <w:spacing w:after="0" w:line="277" w:lineRule="auto"/>
        <w:tabs>
          <w:tab w:leader="none" w:pos="145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acknowledges and agrees that the Representative, on behalf of the Underwriters, is a third party beneficiary of this Agreement.</w:t>
      </w:r>
    </w:p>
    <w:p>
      <w:pPr>
        <w:spacing w:after="0" w:line="170" w:lineRule="exact"/>
        <w:rPr>
          <w:rFonts w:ascii="Arial" w:cs="Arial" w:eastAsia="Arial" w:hAnsi="Arial"/>
          <w:sz w:val="18"/>
          <w:szCs w:val="18"/>
          <w:color w:val="auto"/>
        </w:rPr>
      </w:pPr>
    </w:p>
    <w:p>
      <w:pPr>
        <w:ind w:left="1500" w:hanging="531"/>
        <w:spacing w:after="0"/>
        <w:tabs>
          <w:tab w:leader="none" w:pos="15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 or entity.</w:t>
      </w:r>
    </w:p>
    <w:p>
      <w:pPr>
        <w:spacing w:after="0" w:line="2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700"/>
          </w:cols>
          <w:pgMar w:left="900" w:top="476" w:right="299" w:bottom="1440" w:gutter="0" w:footer="0" w:header="0"/>
        </w:sectPr>
      </w:pPr>
    </w:p>
    <w:bookmarkStart w:id="325" w:name="page326"/>
    <w:bookmarkEnd w:id="325"/>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duly executed this Investment Management Trust Agreement as of the date first written above.</w:t>
      </w: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CONTINENTAL STOCK TRANSFER &amp; TRUST COMPANY, as</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-130810</wp:posOffset>
            </wp:positionV>
            <wp:extent cx="282130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SILVER SPIKE ACQUISITION CORP.</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-130810</wp:posOffset>
            </wp:positionV>
            <wp:extent cx="282130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[Signature Page to Investment Management Trust Agreement]</w:t>
      </w:r>
    </w:p>
    <w:p>
      <w:pPr>
        <w:sectPr>
          <w:pgSz w:w="11900" w:h="16838" w:orient="portrait"/>
          <w:cols w:equalWidth="0" w:num="1">
            <w:col w:w="10540"/>
          </w:cols>
          <w:pgMar w:left="900" w:top="472" w:right="45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60" w:type="dxa"/>
            <w:vAlign w:val="bottom"/>
          </w:tcPr>
          <w:p>
            <w:pPr>
              <w:ind w:left="1060"/>
              <w:spacing w:after="0"/>
              <w:rPr>
                <w:sz w:val="20"/>
                <w:szCs w:val="20"/>
                <w:color w:val="auto"/>
              </w:rPr>
            </w:pPr>
            <w:r>
              <w:rPr>
                <w:rFonts w:ascii="Arial" w:cs="Arial" w:eastAsia="Arial" w:hAnsi="Arial"/>
                <w:sz w:val="18"/>
                <w:szCs w:val="18"/>
                <w:b w:val="1"/>
                <w:bCs w:val="1"/>
                <w:color w:val="auto"/>
              </w:rPr>
              <w:t>SCHEDULE A</w:t>
            </w:r>
          </w:p>
        </w:tc>
      </w:tr>
      <w:tr>
        <w:trPr>
          <w:trHeight w:val="500"/>
        </w:trPr>
        <w:tc>
          <w:tcPr>
            <w:tcW w:w="386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Fee Item</w:t>
            </w:r>
          </w:p>
        </w:tc>
        <w:tc>
          <w:tcPr>
            <w:tcW w:w="140" w:type="dxa"/>
            <w:vAlign w:val="bottom"/>
          </w:tcPr>
          <w:p>
            <w:pPr>
              <w:spacing w:after="0"/>
              <w:rPr>
                <w:sz w:val="24"/>
                <w:szCs w:val="24"/>
                <w:color w:val="auto"/>
              </w:rPr>
            </w:pPr>
          </w:p>
        </w:tc>
        <w:tc>
          <w:tcPr>
            <w:tcW w:w="46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Time and method of payment</w:t>
            </w:r>
          </w:p>
        </w:tc>
      </w:tr>
      <w:tr>
        <w:trPr>
          <w:trHeight w:val="345"/>
        </w:trPr>
        <w:tc>
          <w:tcPr>
            <w:tcW w:w="3860" w:type="dxa"/>
            <w:vAlign w:val="bottom"/>
          </w:tcPr>
          <w:p>
            <w:pPr>
              <w:spacing w:after="0"/>
              <w:rPr>
                <w:sz w:val="20"/>
                <w:szCs w:val="20"/>
                <w:color w:val="auto"/>
              </w:rPr>
            </w:pPr>
            <w:r>
              <w:rPr>
                <w:rFonts w:ascii="Arial" w:cs="Arial" w:eastAsia="Arial" w:hAnsi="Arial"/>
                <w:sz w:val="18"/>
                <w:szCs w:val="18"/>
                <w:color w:val="auto"/>
              </w:rPr>
              <w:t>Initial acceptance fee</w:t>
            </w:r>
          </w:p>
        </w:tc>
        <w:tc>
          <w:tcPr>
            <w:tcW w:w="14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Initial closing of Offering by wire transfer</w:t>
            </w:r>
          </w:p>
        </w:tc>
      </w:tr>
      <w:tr>
        <w:trPr>
          <w:trHeight w:val="337"/>
        </w:trPr>
        <w:tc>
          <w:tcPr>
            <w:tcW w:w="3860" w:type="dxa"/>
            <w:vAlign w:val="bottom"/>
          </w:tcPr>
          <w:p>
            <w:pPr>
              <w:spacing w:after="0"/>
              <w:rPr>
                <w:sz w:val="20"/>
                <w:szCs w:val="20"/>
                <w:color w:val="auto"/>
              </w:rPr>
            </w:pPr>
            <w:r>
              <w:rPr>
                <w:rFonts w:ascii="Arial" w:cs="Arial" w:eastAsia="Arial" w:hAnsi="Arial"/>
                <w:sz w:val="18"/>
                <w:szCs w:val="18"/>
                <w:color w:val="auto"/>
              </w:rPr>
              <w:t>Trustee administration fee</w:t>
            </w:r>
          </w:p>
        </w:tc>
        <w:tc>
          <w:tcPr>
            <w:tcW w:w="14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4"/>
              </w:rPr>
              <w:t>First year, initial closing of Offering by wire transfer; thereafter</w:t>
            </w: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4"/>
              </w:rPr>
              <w:t>on the anniversary of the effective date of the Offering by wire</w:t>
            </w:r>
          </w:p>
        </w:tc>
      </w:tr>
      <w:tr>
        <w:trPr>
          <w:trHeight w:val="230"/>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transfer or check</w:t>
            </w:r>
          </w:p>
        </w:tc>
      </w:tr>
      <w:tr>
        <w:trPr>
          <w:trHeight w:val="337"/>
        </w:trPr>
        <w:tc>
          <w:tcPr>
            <w:tcW w:w="3860" w:type="dxa"/>
            <w:vAlign w:val="bottom"/>
          </w:tcPr>
          <w:p>
            <w:pPr>
              <w:spacing w:after="0"/>
              <w:rPr>
                <w:sz w:val="20"/>
                <w:szCs w:val="20"/>
                <w:color w:val="auto"/>
              </w:rPr>
            </w:pPr>
            <w:r>
              <w:rPr>
                <w:rFonts w:ascii="Arial" w:cs="Arial" w:eastAsia="Arial" w:hAnsi="Arial"/>
                <w:sz w:val="18"/>
                <w:szCs w:val="18"/>
                <w:color w:val="auto"/>
                <w:w w:val="99"/>
              </w:rPr>
              <w:t>Transaction processing fee for disbursements to</w:t>
            </w:r>
          </w:p>
        </w:tc>
        <w:tc>
          <w:tcPr>
            <w:tcW w:w="14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Deduction by Trustee from accumulated income following</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Company under Sections 1(i), 1(j) and 1(k)</w:t>
            </w:r>
          </w:p>
        </w:tc>
        <w:tc>
          <w:tcPr>
            <w:tcW w:w="1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disbursement made to Company under Section 1</w:t>
            </w:r>
          </w:p>
        </w:tc>
      </w:tr>
      <w:tr>
        <w:trPr>
          <w:trHeight w:val="337"/>
        </w:trPr>
        <w:tc>
          <w:tcPr>
            <w:tcW w:w="3860" w:type="dxa"/>
            <w:vAlign w:val="bottom"/>
          </w:tcPr>
          <w:p>
            <w:pPr>
              <w:spacing w:after="0"/>
              <w:rPr>
                <w:sz w:val="20"/>
                <w:szCs w:val="20"/>
                <w:color w:val="auto"/>
              </w:rPr>
            </w:pPr>
            <w:r>
              <w:rPr>
                <w:rFonts w:ascii="Arial" w:cs="Arial" w:eastAsia="Arial" w:hAnsi="Arial"/>
                <w:sz w:val="18"/>
                <w:szCs w:val="18"/>
                <w:color w:val="auto"/>
              </w:rPr>
              <w:t>Paying Agent services as required pursuant to</w:t>
            </w:r>
          </w:p>
        </w:tc>
        <w:tc>
          <w:tcPr>
            <w:tcW w:w="14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Billed to Company upon delivery of service pursuant to</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Sections 1(i) and 1(k)</w:t>
            </w:r>
          </w:p>
        </w:tc>
        <w:tc>
          <w:tcPr>
            <w:tcW w:w="1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Sections 1(i) and 1(k)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Sched. A-1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157797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$3,500.00</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$10,000.00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$250.00</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Prevailing rates</w:t>
      </w:r>
    </w:p>
    <w:p>
      <w:pPr>
        <w:sectPr>
          <w:pgSz w:w="11900" w:h="16838" w:orient="portrait"/>
          <w:cols w:equalWidth="0" w:num="2">
            <w:col w:w="8980" w:space="720"/>
            <w:col w:w="1560"/>
          </w:cols>
          <w:pgMar w:left="320" w:top="472" w:right="31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Wolf and Ms. Gonzalez:</w:t>
      </w:r>
    </w:p>
    <w:p>
      <w:pPr>
        <w:spacing w:after="0" w:line="22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Pursuant to Section 1(i) of the Investment Management Trust Agreement between Silver Spike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Trustee</w:t>
      </w:r>
      <w:r>
        <w:rPr>
          <w:rFonts w:ascii="Arial" w:cs="Arial" w:eastAsia="Arial" w:hAnsi="Arial"/>
          <w:sz w:val="18"/>
          <w:szCs w:val="18"/>
          <w:color w:val="auto"/>
        </w:rPr>
        <w:t>”), dated as of [·], 2019 (the “</w:t>
      </w:r>
      <w:r>
        <w:rPr>
          <w:rFonts w:ascii="Arial" w:cs="Arial" w:eastAsia="Arial" w:hAnsi="Arial"/>
          <w:sz w:val="18"/>
          <w:szCs w:val="18"/>
          <w:b w:val="1"/>
          <w:bCs w:val="1"/>
          <w:color w:val="auto"/>
        </w:rPr>
        <w:t>Trust Agreement</w:t>
      </w:r>
      <w:r>
        <w:rPr>
          <w:rFonts w:ascii="Arial" w:cs="Arial" w:eastAsia="Arial" w:hAnsi="Arial"/>
          <w:sz w:val="18"/>
          <w:szCs w:val="18"/>
          <w:color w:val="auto"/>
        </w:rPr>
        <w:t>”), this is to advise you that the Company has entered into an agreement with [·] (the “</w:t>
      </w:r>
      <w:r>
        <w:rPr>
          <w:rFonts w:ascii="Arial" w:cs="Arial" w:eastAsia="Arial" w:hAnsi="Arial"/>
          <w:sz w:val="18"/>
          <w:szCs w:val="18"/>
          <w:b w:val="1"/>
          <w:bCs w:val="1"/>
          <w:color w:val="auto"/>
        </w:rPr>
        <w:t>Target Business</w:t>
      </w:r>
      <w:r>
        <w:rPr>
          <w:rFonts w:ascii="Arial" w:cs="Arial" w:eastAsia="Arial" w:hAnsi="Arial"/>
          <w:sz w:val="18"/>
          <w:szCs w:val="18"/>
          <w:color w:val="auto"/>
        </w:rPr>
        <w:t>”) to consummate a business combination with Target Business (the “</w:t>
      </w:r>
      <w:r>
        <w:rPr>
          <w:rFonts w:ascii="Arial" w:cs="Arial" w:eastAsia="Arial" w:hAnsi="Arial"/>
          <w:sz w:val="18"/>
          <w:szCs w:val="18"/>
          <w:b w:val="1"/>
          <w:bCs w:val="1"/>
          <w:color w:val="auto"/>
        </w:rPr>
        <w:t>Business Combination</w:t>
      </w:r>
      <w:r>
        <w:rPr>
          <w:rFonts w:ascii="Arial" w:cs="Arial" w:eastAsia="Arial" w:hAnsi="Arial"/>
          <w:sz w:val="18"/>
          <w:szCs w:val="18"/>
          <w:color w:val="auto"/>
        </w:rPr>
        <w:t>”) on or about [</w:t>
      </w:r>
      <w:r>
        <w:rPr>
          <w:rFonts w:ascii="Arial" w:cs="Arial" w:eastAsia="Arial" w:hAnsi="Arial"/>
          <w:sz w:val="18"/>
          <w:szCs w:val="18"/>
          <w:b w:val="1"/>
          <w:bCs w:val="1"/>
          <w:color w:val="auto"/>
        </w:rPr>
        <w:t>insert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Company shall notify you at least seventy-two (72) hours in advance (or such shorter time as you may agree) of the actual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Business Combination (the “</w:t>
      </w:r>
      <w:r>
        <w:rPr>
          <w:rFonts w:ascii="Arial" w:cs="Arial" w:eastAsia="Arial" w:hAnsi="Arial"/>
          <w:sz w:val="18"/>
          <w:szCs w:val="18"/>
          <w:b w:val="1"/>
          <w:b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accordance with the terms of the Trust Agreement, we hereby authorize you to commence to liquidate all of the assets of the Trust Account and to transfer the proceeds into a segregated account held by you on behalf of the Beneficiaries to the effect that, on the Consummation Date, all of the funds held in the Trust Account will be immediately available for transfer to the account or accounts that Credit Suisse Securities (USA) LLC (the “</w:t>
      </w:r>
      <w:r>
        <w:rPr>
          <w:rFonts w:ascii="Arial" w:cs="Arial" w:eastAsia="Arial" w:hAnsi="Arial"/>
          <w:sz w:val="18"/>
          <w:szCs w:val="18"/>
          <w:b w:val="1"/>
          <w:bCs w:val="1"/>
          <w:color w:val="auto"/>
        </w:rPr>
        <w:t>Representative</w:t>
      </w:r>
      <w:r>
        <w:rPr>
          <w:rFonts w:ascii="Arial" w:cs="Arial" w:eastAsia="Arial" w:hAnsi="Arial"/>
          <w:sz w:val="18"/>
          <w:szCs w:val="18"/>
          <w:color w:val="auto"/>
        </w:rPr>
        <w:t>”) (with respect to the Deferred Discount) and the Company shall direct on the Consummation Date. It is acknowledged and agreed that while the funds are on deposit in the trust operating account at J.P. Morgan Chase Bank, N.A.awaiting distribution, neither the Company nor the Representative will earn any interest or dividends.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consummated, or will be consummated substantially, concurrently with your transfer of funds to the accounts as directed by the Company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Notification</w:t>
      </w:r>
      <w:r>
        <w:rPr>
          <w:rFonts w:ascii="Arial" w:cs="Arial" w:eastAsia="Arial" w:hAnsi="Arial"/>
          <w:sz w:val="17"/>
          <w:szCs w:val="17"/>
          <w:color w:val="auto"/>
        </w:rPr>
        <w:t>”) and (ii) the Company shall deliver to you (a) a certificate of the Chief Executive Officer or Chief Financial Officer of the Company,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verifies that the Business Combination has been approved by a vote of the Company’s shareholders, if a vote is held and (b) joint written instruction signed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the Representative with respect to the transfer of the funds held in the Trust Account, including payment of the Deferred Discount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Trust Account (the “</w:t>
      </w:r>
      <w:r>
        <w:rPr>
          <w:rFonts w:ascii="Arial" w:cs="Arial" w:eastAsia="Arial" w:hAnsi="Arial"/>
          <w:sz w:val="18"/>
          <w:szCs w:val="18"/>
          <w:b w:val="1"/>
          <w:bCs w:val="1"/>
          <w:color w:val="auto"/>
        </w:rPr>
        <w:t>Instruction Letter</w:t>
      </w:r>
      <w:r>
        <w:rPr>
          <w:rFonts w:ascii="Arial" w:cs="Arial" w:eastAsia="Arial" w:hAnsi="Arial"/>
          <w:sz w:val="18"/>
          <w:szCs w:val="18"/>
          <w:color w:val="auto"/>
        </w:rPr>
        <w:t>”). You are hereby directed and authorized to transfer the funds held</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72" w:right="239" w:bottom="1440" w:gutter="0" w:footer="0" w:header="0"/>
        </w:sectPr>
      </w:pPr>
    </w:p>
    <w:bookmarkStart w:id="328" w:name="page329"/>
    <w:bookmarkEnd w:id="328"/>
    <w:p>
      <w:pPr>
        <w:spacing w:after="0" w:line="257" w:lineRule="auto"/>
        <w:rPr>
          <w:sz w:val="20"/>
          <w:szCs w:val="20"/>
          <w:color w:val="auto"/>
        </w:rPr>
      </w:pPr>
      <w:r>
        <w:rPr>
          <w:rFonts w:ascii="Arial" w:cs="Arial" w:eastAsia="Arial" w:hAnsi="Arial"/>
          <w:sz w:val="18"/>
          <w:szCs w:val="18"/>
          <w:color w:val="auto"/>
        </w:rPr>
        <w:t>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written instruction as soon thereafter as possible.</w:t>
      </w:r>
    </w:p>
    <w:p>
      <w:pPr>
        <w:spacing w:after="0" w:line="18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Silver Spike Acquisition Corp.</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Credit Suisse Securities (USA) LLC</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76" w:right="25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Wolf and Ms. Gonzalez:</w:t>
      </w:r>
    </w:p>
    <w:p>
      <w:pPr>
        <w:spacing w:after="0" w:line="22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Pursuant to Section 1(i) of the Investment Management Trust Agreement between Silver Spike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Trustee</w:t>
      </w:r>
      <w:r>
        <w:rPr>
          <w:rFonts w:ascii="Arial" w:cs="Arial" w:eastAsia="Arial" w:hAnsi="Arial"/>
          <w:sz w:val="18"/>
          <w:szCs w:val="18"/>
          <w:color w:val="auto"/>
        </w:rPr>
        <w:t>”), dated as of [·], 2019 (the “</w:t>
      </w:r>
      <w:r>
        <w:rPr>
          <w:rFonts w:ascii="Arial" w:cs="Arial" w:eastAsia="Arial" w:hAnsi="Arial"/>
          <w:sz w:val="18"/>
          <w:szCs w:val="18"/>
          <w:b w:val="1"/>
          <w:bCs w:val="1"/>
          <w:color w:val="auto"/>
        </w:rPr>
        <w:t>Trust Agreement</w:t>
      </w:r>
      <w:r>
        <w:rPr>
          <w:rFonts w:ascii="Arial" w:cs="Arial" w:eastAsia="Arial" w:hAnsi="Arial"/>
          <w:sz w:val="18"/>
          <w:szCs w:val="18"/>
          <w:color w:val="auto"/>
        </w:rPr>
        <w:t>”), this is to advise you that the Company has been unable to effect a Business Combination with a Target Business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Account and to transfer the total proceeds into a segregated account held by you on behalf of the Beneficiaries to await distribution to the Public Shareholders. The Company has selected</w:t>
      </w:r>
    </w:p>
    <w:p>
      <w:pPr>
        <w:ind w:right="260" w:firstLine="8"/>
        <w:spacing w:after="0" w:line="292" w:lineRule="auto"/>
        <w:tabs>
          <w:tab w:leader="none" w:pos="21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as the effective date for the purpose of determining when the Public Shareholders will be entitled to receive their share of the liquidation proceeds. You agree to be the Paying Agent of record and, in your separate capacity as Paying Agent, agree to distribute said funds directly to the Company’s Public Shareholders in accordance with the terms of the Trust Agreement and the amended and restated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Section 1(i) of the Trust Agreement.</w:t>
      </w:r>
    </w:p>
    <w:p>
      <w:pPr>
        <w:spacing w:after="0" w:line="1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Silver Spike Acquisition Corp.</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Credit Suisse Securities (USA) LLC</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72" w:right="2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Tax Payment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Wolf and Ms. Gonzalez:</w:t>
      </w:r>
    </w:p>
    <w:p>
      <w:pPr>
        <w:spacing w:after="0" w:line="221"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Pursuant to Section 1(j) of the Investment Management Trust Agreement between Silver Spike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Trustee</w:t>
      </w:r>
      <w:r>
        <w:rPr>
          <w:rFonts w:ascii="Arial" w:cs="Arial" w:eastAsia="Arial" w:hAnsi="Arial"/>
          <w:sz w:val="18"/>
          <w:szCs w:val="18"/>
          <w:color w:val="auto"/>
        </w:rPr>
        <w:t>”), dated as of [·], 2019 (the “</w:t>
      </w:r>
      <w:r>
        <w:rPr>
          <w:rFonts w:ascii="Arial" w:cs="Arial" w:eastAsia="Arial" w:hAnsi="Arial"/>
          <w:sz w:val="18"/>
          <w:szCs w:val="18"/>
          <w:b w:val="1"/>
          <w:bCs w:val="1"/>
          <w:color w:val="auto"/>
        </w:rPr>
        <w:t>Trust Agreement</w:t>
      </w:r>
      <w:r>
        <w:rPr>
          <w:rFonts w:ascii="Arial" w:cs="Arial" w:eastAsia="Arial" w:hAnsi="Arial"/>
          <w:sz w:val="18"/>
          <w:szCs w:val="18"/>
          <w:color w:val="auto"/>
        </w:rPr>
        <w:t>”), the Company hereby requests that you deliver to the Company $[·] of the interest income earned on the Property as of the date hereof. Capitalized terms used but not defined herein shall have the meanings set forth in the Trust Agreement.</w:t>
      </w:r>
    </w:p>
    <w:p>
      <w:pPr>
        <w:spacing w:after="0" w:line="18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Silver Spike Acquisition Corp.</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Credit Suisse Securities (USA) LLC</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72" w:right="2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No. Shareholder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Wolf and Ms. Gonzalez:</w:t>
      </w:r>
    </w:p>
    <w:p>
      <w:pPr>
        <w:spacing w:after="0" w:line="22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Pursuant to Section 1(k) of the Investment Management Trust Agreement between Silver Spike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Trustee</w:t>
      </w:r>
      <w:r>
        <w:rPr>
          <w:rFonts w:ascii="Arial" w:cs="Arial" w:eastAsia="Arial" w:hAnsi="Arial"/>
          <w:sz w:val="18"/>
          <w:szCs w:val="18"/>
          <w:color w:val="auto"/>
        </w:rPr>
        <w:t>”), dated as of [·], 2019 (the “</w:t>
      </w:r>
      <w:r>
        <w:rPr>
          <w:rFonts w:ascii="Arial" w:cs="Arial" w:eastAsia="Arial" w:hAnsi="Arial"/>
          <w:sz w:val="18"/>
          <w:szCs w:val="18"/>
          <w:b w:val="1"/>
          <w:bCs w:val="1"/>
          <w:color w:val="auto"/>
        </w:rPr>
        <w:t>Trust Agreement</w:t>
      </w:r>
      <w:r>
        <w:rPr>
          <w:rFonts w:ascii="Arial" w:cs="Arial" w:eastAsia="Arial" w:hAnsi="Arial"/>
          <w:sz w:val="18"/>
          <w:szCs w:val="18"/>
          <w:color w:val="auto"/>
        </w:rPr>
        <w:t>”), the Company hereby requests that you deliver to the redeeming Public Shareholders of the Company $[·] of the principal and interest income earned on the Property as of the date hereof into a segregated account held by you on behalf of the Beneficiaries for distribution to the Shareholders who have requested redemption of their Ordinary Shares. Capitalized terms used but not defined herein shall have the meanings set forth in the Trust Agreement.</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needs such funds to pay its Public Shareholders who have properly elected to have their Ordinary Shares redeemed by the Company in connection with a shareholder vote to approve an amendment to the provisions of the Company’s amended and restated memorandum and articles of association (i) that would affect the substance or timing of the Company’s obligation to redeem 100% of its public Ordinary Shares if the Company does not complete its initial Business Combination within the required time period or (ii) with respect to any other provision relating to shareholders’ rights or pre-initial Business Combination activity. As such, you are hereby directed and authorized to transfer (via wire transfer) such funds promptly upon your receipt of this letter.</w:t>
      </w:r>
    </w:p>
    <w:p>
      <w:pPr>
        <w:spacing w:after="0" w:line="19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Silver Spike Acquisition Corp.</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Credit Suisse Securities (USA) LLC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 2019, is made and entered into by and among Silver Spike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Acquisition Corp., a Cayman Islands exempted company (the “Company”), and Silver Spike Sponsor, LLC, a Delaware limited liability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together with any other parties listed on the signature pages hereto and any person or entity who hereafter becomes a party to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Sponsor and certain other Holders (if any) collectively own an aggregate of 7,187,500 Class B ordinary shares, par value $0.0001</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(the “</w:t>
      </w:r>
      <w:r>
        <w:rPr>
          <w:rFonts w:ascii="Arial" w:cs="Arial" w:eastAsia="Arial" w:hAnsi="Arial"/>
          <w:sz w:val="17"/>
          <w:szCs w:val="17"/>
          <w:b w:val="1"/>
          <w:bCs w:val="1"/>
          <w:i w:val="1"/>
          <w:iCs w:val="1"/>
          <w:color w:val="auto"/>
        </w:rPr>
        <w:t>Founder Shares</w:t>
      </w:r>
      <w:r>
        <w:rPr>
          <w:rFonts w:ascii="Arial" w:cs="Arial" w:eastAsia="Arial" w:hAnsi="Arial"/>
          <w:sz w:val="17"/>
          <w:szCs w:val="17"/>
          <w:color w:val="auto"/>
        </w:rPr>
        <w:t>”), of the Company, issued prior to the date hereof in a private placement and pursuant to certain transfers;</w:t>
      </w:r>
    </w:p>
    <w:p>
      <w:pPr>
        <w:spacing w:after="0" w:line="13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Founder Shares will automatically convert into the Company’s Class A ordinary shares, par value $0.0001 per share (the “</w:t>
      </w:r>
      <w:r>
        <w:rPr>
          <w:rFonts w:ascii="Arial" w:cs="Arial" w:eastAsia="Arial" w:hAnsi="Arial"/>
          <w:sz w:val="18"/>
          <w:szCs w:val="18"/>
          <w:b w:val="1"/>
          <w:bCs w:val="1"/>
          <w:i w:val="1"/>
          <w:iCs w:val="1"/>
          <w:color w:val="auto"/>
        </w:rPr>
        <w:t>Ordinary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at the time of the initial Business Combination on a one-for-one basis, subject to adjustment, on the terms and conditions provided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amended and restated memorandum and articles of association, as may be amended from time to time;</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 to an aggregate of 937,500 Founder Shares are subject to forfeiture by the Sponsor if the over-allotment option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initial public offering is not exercised in full;</w:t>
      </w:r>
    </w:p>
    <w:p>
      <w:pPr>
        <w:spacing w:after="0" w:line="162" w:lineRule="exact"/>
        <w:rPr>
          <w:sz w:val="20"/>
          <w:szCs w:val="20"/>
          <w:color w:val="auto"/>
        </w:rPr>
      </w:pPr>
    </w:p>
    <w:p>
      <w:pPr>
        <w:ind w:right="400"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 2019, the Company and the Sponsor entered into that certain Sponsor Warrants Purchase Agreement, pursuant to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Sponsor agreed to purchase 7,000,000 warrants (or up to 7,750,000 warrants if the over-allotment option in connection with the Company’s initial public offering is exercised in full) (the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in a private placement transaction occurring simultaneously with the closing of the Company’s initial public offering, each Private Placement Warrant entitling the holder thereof to purchase one Ordinary Share at a price of $11.50; and</w:t>
      </w:r>
    </w:p>
    <w:p>
      <w:pPr>
        <w:spacing w:after="0" w:line="151"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ind w:right="38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terms defined in this Article I shall, for all purposes of this Agreement, have the respective meanings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3" w:name="page334"/>
    <w:bookmarkEnd w:id="333"/>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Adverse Disclosure</w:t>
      </w:r>
      <w:r>
        <w:rPr>
          <w:rFonts w:ascii="Arial" w:cs="Arial" w:eastAsia="Arial" w:hAnsi="Arial"/>
          <w:sz w:val="17"/>
          <w:szCs w:val="17"/>
          <w:color w:val="auto"/>
        </w:rPr>
        <w:t>” shall mean any public disclosure of material non-public information, which disclosure, in the good faith judgment of the Chief Executive Officer or any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amalgamation, share exchange, asset acquisition, share purchase, reorganization or other similar business combination with one or more businesses,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Founder Shares Lock-up Period</w:t>
      </w:r>
      <w:r>
        <w:rPr>
          <w:rFonts w:ascii="Arial" w:cs="Arial" w:eastAsia="Arial" w:hAnsi="Arial"/>
          <w:sz w:val="16"/>
          <w:szCs w:val="16"/>
          <w:color w:val="auto"/>
        </w:rPr>
        <w:t>” shall mean, with respect to the Founder Shares (including the Ordinary Shares issued or issuable upon conversion of any Founder Shares), the period ending on the earlier of (A) one year after the completion of the Company’s initial Business Combination or</w:t>
      </w:r>
    </w:p>
    <w:p>
      <w:pPr>
        <w:ind w:right="60" w:firstLine="8"/>
        <w:spacing w:after="0" w:line="253" w:lineRule="auto"/>
        <w:tabs>
          <w:tab w:leader="none" w:pos="28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subsequent to the Company’s initial Business Combination, (x) if the last reported sale price of Ordinary Shares equals or exceeds $12.00 per share (as adjusted for share splits, share dividends, rights issuances, subdivisions, reorganizations, recapitalizations and the like) for any 20 trading days within any 30-trading day period commencing at least 150 days after the Company’s initial Business Combination or (y) the date on which the Company completes a liquidation, merger, amalgamation, share exchange, reorganization or other similar transaction that results in all of the Company’s public shareholders having the right to exchange their Ordinary Shares for cash, securities or other property.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tc>
        <w:tc>
          <w:tcPr>
            <w:tcW w:w="5520" w:type="dxa"/>
            <w:vAlign w:val="bottom"/>
          </w:tcPr>
          <w:p>
            <w:pPr>
              <w:spacing w:after="0"/>
              <w:rPr>
                <w:sz w:val="20"/>
                <w:szCs w:val="20"/>
                <w:color w:val="auto"/>
              </w:rPr>
            </w:pPr>
          </w:p>
        </w:tc>
      </w:tr>
      <w:tr>
        <w:trPr>
          <w:trHeight w:val="418"/>
        </w:trPr>
        <w:tc>
          <w:tcPr>
            <w:tcW w:w="5900" w:type="dxa"/>
            <w:vAlign w:val="bottom"/>
          </w:tcPr>
          <w:p>
            <w:pPr>
              <w:ind w:left="6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i w:val="1"/>
                <w:iCs w:val="1"/>
                <w:color w:val="auto"/>
                <w:w w:val="95"/>
              </w:rPr>
              <w:t>Insider Letter</w:t>
            </w:r>
            <w:r>
              <w:rPr>
                <w:rFonts w:ascii="Arial" w:cs="Arial" w:eastAsia="Arial" w:hAnsi="Arial"/>
                <w:sz w:val="18"/>
                <w:szCs w:val="18"/>
                <w:color w:val="auto"/>
                <w:w w:val="95"/>
              </w:rPr>
              <w:t>” shall mean that certain letter agreement, dated as of</w:t>
            </w:r>
          </w:p>
        </w:tc>
        <w:tc>
          <w:tcPr>
            <w:tcW w:w="5520" w:type="dxa"/>
            <w:vAlign w:val="bottom"/>
          </w:tcPr>
          <w:p>
            <w:pPr>
              <w:ind w:left="300"/>
              <w:spacing w:after="0"/>
              <w:rPr>
                <w:sz w:val="20"/>
                <w:szCs w:val="20"/>
                <w:color w:val="auto"/>
              </w:rPr>
            </w:pPr>
            <w:r>
              <w:rPr>
                <w:rFonts w:ascii="Arial" w:cs="Arial" w:eastAsia="Arial" w:hAnsi="Arial"/>
                <w:sz w:val="18"/>
                <w:szCs w:val="18"/>
                <w:color w:val="auto"/>
                <w:w w:val="99"/>
              </w:rPr>
              <w:t>, 2019, by and among the Company, the Sponsor and each of the</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Company’s officers, directors and director nominees.</w:t>
            </w:r>
          </w:p>
        </w:tc>
        <w:tc>
          <w:tcPr>
            <w:tcW w:w="5520" w:type="dxa"/>
            <w:vAlign w:val="bottom"/>
          </w:tcPr>
          <w:p>
            <w:pPr>
              <w:spacing w:after="0"/>
              <w:rPr>
                <w:sz w:val="20"/>
                <w:szCs w:val="20"/>
                <w:color w:val="auto"/>
              </w:rPr>
            </w:pPr>
          </w:p>
        </w:tc>
      </w:tr>
      <w:tr>
        <w:trPr>
          <w:trHeight w:val="527"/>
        </w:trPr>
        <w:tc>
          <w:tcPr>
            <w:tcW w:w="59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34" w:name="page335"/>
    <w:bookmarkEnd w:id="3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or Private Placement Lock-up Period, as the case may be, under the Insider Letter and any other applicable agreement between such Holder and the Company and to any transferee thereafter.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and any of the Ordinary Shares issued or issuable upon the exercise or conversion of the Private Placement Warrants and that are held by the initial purchasers of the Private Placement Warrants or their Permitted Transferees, the period ending 30 days after the completion of the Company’s initial Business Combination.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shall mean (a) the Founder Shares (including the Ordinary shares issued or issuable upon conversion of any Founder Shares),</w:t>
      </w:r>
    </w:p>
    <w:p>
      <w:pPr>
        <w:spacing w:after="0" w:line="46" w:lineRule="exact"/>
        <w:rPr>
          <w:sz w:val="20"/>
          <w:szCs w:val="20"/>
          <w:color w:val="auto"/>
        </w:rPr>
      </w:pPr>
    </w:p>
    <w:p>
      <w:pPr>
        <w:ind w:firstLine="8"/>
        <w:spacing w:after="0" w:line="281" w:lineRule="auto"/>
        <w:tabs>
          <w:tab w:leader="none" w:pos="25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the Private Placement Warrants (including any Ordinary Shares issued or issuable upon the exercise of any such Private Placement Warrants), (c) any outstanding Ordinary Shares or any other equity security (including the Ordinary Shares issued or issuable upon the exercise of any other equity security) of the Company held by a Holder as of the date of this Agreement, (d) any equity securities (including the Ordinary Shares issued or issuable upon the exercise of any such equity security) of the Company issuable upon conversion of any working capital loans in an amount up to $1,500,000 made to the Company by a Holder, and (e) any other equity security of the Company issued or issuable with respect to any such Ordinary Share by way of a share dividend or share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 such securities shall have ceased to be outstanding; (D) such securities may be sold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35" w:name="page336"/>
    <w:bookmarkEnd w:id="335"/>
    <w:p>
      <w:pPr>
        <w:spacing w:after="0" w:line="264" w:lineRule="auto"/>
        <w:rPr>
          <w:sz w:val="20"/>
          <w:szCs w:val="20"/>
          <w:color w:val="auto"/>
        </w:rPr>
      </w:pPr>
      <w:r>
        <w:rPr>
          <w:rFonts w:ascii="Arial" w:cs="Arial" w:eastAsia="Arial" w:hAnsi="Arial"/>
          <w:sz w:val="18"/>
          <w:szCs w:val="18"/>
          <w:color w:val="auto"/>
        </w:rPr>
        <w:t>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18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left="660" w:right="660" w:firstLine="645"/>
        <w:spacing w:after="0" w:line="277" w:lineRule="auto"/>
        <w:tabs>
          <w:tab w:leader="none" w:pos="160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170" w:lineRule="exact"/>
        <w:rPr>
          <w:rFonts w:ascii="Arial" w:cs="Arial" w:eastAsia="Arial" w:hAnsi="Arial"/>
          <w:sz w:val="18"/>
          <w:szCs w:val="18"/>
          <w:color w:val="auto"/>
        </w:rPr>
      </w:pPr>
    </w:p>
    <w:p>
      <w:pPr>
        <w:ind w:left="660" w:right="540" w:firstLine="645"/>
        <w:spacing w:after="0" w:line="277" w:lineRule="auto"/>
        <w:tabs>
          <w:tab w:leader="none" w:pos="159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580" w:hanging="275"/>
        <w:spacing w:after="0"/>
        <w:tabs>
          <w:tab w:leader="none" w:pos="1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158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57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reasonable fees and expenses of one legal counsel selected by the holders of a majority-in-interest of the Registrable Securities to be registered for offer and sale in the applicable Registration.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w:t>
      </w:r>
      <w:r>
        <w:rPr>
          <w:rFonts w:ascii="Arial" w:cs="Arial" w:eastAsia="Arial" w:hAnsi="Arial"/>
          <w:sz w:val="18"/>
          <w:szCs w:val="18"/>
          <w:i w:val="1"/>
          <w:iCs w:val="1"/>
          <w:color w:val="auto"/>
        </w:rPr>
        <w:t>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2.1.1 Request for Registration. Subject to the provisions of subsection 2.1.4 and Section 2.4 hereof, at any time and from time to time on or after the date the Company consummates the initial Business Combination, the Sponsor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(i) file a Registration Statement in respect of all Registrable Securities requested by the Sponsor and Requesting Holder(s) pursuant such Demand Registration, not more than forty five (45) days immediately after the Company’s receipt of the Demand Registration, and (ii) shall effect the registration thereof as soon as practicable thereafter. Under no circumstances shall the Company be obligated to effect more than an aggregate of three (3) Registrations pursuant to a Demand Registration under this subsection 2.1.1 with respect to any or all Registrable Securities; provided, however,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has become effective and all of the Registrable Securities requested by the Requesting Holders to be registered on behalf of the Requesting Holders in such Form S-1 Registration have been sold, in accordance with Section 3.1 of this Agreement.</w:t>
      </w:r>
    </w:p>
    <w:p>
      <w:pPr>
        <w:spacing w:after="0" w:line="178"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Effective Registration</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the Sponsor thereafter affirmatively elects to continue with such Registration and accordingly notify the Company in writing, but in no event later than five (5) days, of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7" w:name="page338"/>
    <w:bookmarkEnd w:id="337"/>
    <w:p>
      <w:pPr>
        <w:ind w:right="200" w:firstLine="1297"/>
        <w:spacing w:after="0" w:line="255"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if the Sponsor so advises the Company as part of its Demand Registration that the offering of the Registrable Securities pursuant to such Demand Registration shall be in the form of an Underwritten Offering, then the right of the Sponsor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shall enter into an underwriting agreement in customary form with the Underwriter(s) selected for such Underwritten Offering by the Sponsor.</w:t>
      </w:r>
    </w:p>
    <w:p>
      <w:pPr>
        <w:spacing w:after="0" w:line="189"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advises the Company, the Sponsor and the Requesting Holders (if any) in writing that the dollar amount or number of Registrable Securities that the Sponsor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then the Company shall include in such Underwritten Offering, as follows: (i) first, the Registrable Securities of the Sponsor and the Requesting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(if any) (pro rata based on the respective number of Registrable Securities that each Sponsor and Requesting Holder (if any) has requested be included in such Underwritten Registration and the aggregate number of Registrable Securities that the Sponsor and Requesting Holders have requested be included in such Underwritten Registration)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1"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Demand Registration Withdrawal</w:t>
      </w:r>
      <w:r>
        <w:rPr>
          <w:rFonts w:ascii="Arial" w:cs="Arial" w:eastAsia="Arial" w:hAnsi="Arial"/>
          <w:sz w:val="17"/>
          <w:szCs w:val="17"/>
          <w:color w:val="auto"/>
        </w:rPr>
        <w:t xml:space="preserve">. The Sponsor or a majority-in-interest of the Requesting Holders (if any), pursuant to a Registration under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7"/>
          <w:szCs w:val="17"/>
          <w:u w:val="single" w:color="auto"/>
          <w:color w:val="auto"/>
        </w:rPr>
        <w:t>subsection 2.1.5</w:t>
      </w:r>
      <w:r>
        <w:rPr>
          <w:rFonts w:ascii="Arial" w:cs="Arial" w:eastAsia="Arial" w:hAnsi="Arial"/>
          <w:sz w:val="17"/>
          <w:szCs w:val="17"/>
          <w:color w:val="auto"/>
        </w:rPr>
        <w:t>.</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8" w:name="page339"/>
    <w:bookmarkEnd w:id="338"/>
    <w:p>
      <w:pPr>
        <w:ind w:firstLine="1297"/>
        <w:spacing w:after="0" w:line="267"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Piggyback Rights</w:t>
      </w:r>
      <w:r>
        <w:rPr>
          <w:rFonts w:ascii="Arial" w:cs="Arial" w:eastAsia="Arial" w:hAnsi="Arial"/>
          <w:sz w:val="17"/>
          <w:szCs w:val="17"/>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enter into an underwriting agreement in customary form with the Underwriter(s) selected for such Underwritten Offering by the Company.</w:t>
      </w:r>
    </w:p>
    <w:p>
      <w:pPr>
        <w:spacing w:after="0" w:line="193"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Piggyback Registration</w:t>
      </w:r>
      <w:r>
        <w:rPr>
          <w:rFonts w:ascii="Arial" w:cs="Arial" w:eastAsia="Arial" w:hAnsi="Arial"/>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and (iii) the Ordinary Shares, if any, as to which Registration has been requested pursuant to separate written contractual piggy-back registration rights of other shareholders of the Company, exceeds the Maximum Number of Securities, then:</w:t>
      </w:r>
    </w:p>
    <w:p>
      <w:pPr>
        <w:spacing w:after="0" w:line="189" w:lineRule="exact"/>
        <w:rPr>
          <w:sz w:val="20"/>
          <w:szCs w:val="20"/>
          <w:color w:val="auto"/>
        </w:rPr>
      </w:pPr>
    </w:p>
    <w:p>
      <w:pPr>
        <w:ind w:right="60" w:firstLine="1953"/>
        <w:spacing w:after="0" w:line="255" w:lineRule="auto"/>
        <w:tabs>
          <w:tab w:leader="none" w:pos="2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If the Registration is undertaken for the Company’s account, the Company shall include in any such Registration (A) first, the Ordinary Shares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9" w:name="page340"/>
    <w:bookmarkEnd w:id="339"/>
    <w:p>
      <w:pPr>
        <w:ind w:right="420"/>
        <w:spacing w:after="0" w:line="342" w:lineRule="auto"/>
        <w:rPr>
          <w:sz w:val="20"/>
          <w:szCs w:val="20"/>
          <w:color w:val="auto"/>
        </w:rPr>
      </w:pPr>
      <w:r>
        <w:rPr>
          <w:rFonts w:ascii="Arial" w:cs="Arial" w:eastAsia="Arial" w:hAnsi="Arial"/>
          <w:sz w:val="16"/>
          <w:szCs w:val="16"/>
          <w:color w:val="auto"/>
        </w:rPr>
        <w:t>reached under the foregoing clauses (A) and (B), the Ordinary Shares, if any, as to which Registration has been requested pursuant to written contractual piggy-back registration rights of other shareholders of the Company, which can be sold without exceeding the Maximum Number of Securities; and</w:t>
      </w:r>
    </w:p>
    <w:p>
      <w:pPr>
        <w:spacing w:after="0" w:line="124" w:lineRule="exact"/>
        <w:rPr>
          <w:sz w:val="20"/>
          <w:szCs w:val="20"/>
          <w:color w:val="auto"/>
        </w:rPr>
      </w:pPr>
    </w:p>
    <w:p>
      <w:pPr>
        <w:ind w:firstLine="1953"/>
        <w:spacing w:after="0" w:line="269" w:lineRule="auto"/>
        <w:tabs>
          <w:tab w:leader="none" w:pos="247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pro rata, based on the respective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80"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67"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Registrations on Form S-3</w:t>
      </w:r>
      <w:r>
        <w:rPr>
          <w:rFonts w:ascii="Arial" w:cs="Arial" w:eastAsia="Arial" w:hAnsi="Arial"/>
          <w:sz w:val="17"/>
          <w:szCs w:val="17"/>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Arial" w:cs="Arial" w:eastAsia="Arial" w:hAnsi="Arial"/>
          <w:sz w:val="17"/>
          <w:szCs w:val="17"/>
          <w:b w:val="1"/>
          <w:bCs w:val="1"/>
          <w:i w:val="1"/>
          <w:iCs w:val="1"/>
          <w:color w:val="auto"/>
        </w:rPr>
        <w:t>Form S-3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effect such request through an Underwritten Offering. Within five (5) days of the Company’s receipt of a written request from a Holder or Holders of Registrable Securities for a Registration on Form S-3, the Company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40" w:name="page341"/>
    <w:bookmarkEnd w:id="340"/>
    <w:p>
      <w:pPr>
        <w:spacing w:after="0" w:line="289" w:lineRule="auto"/>
        <w:rPr>
          <w:sz w:val="20"/>
          <w:szCs w:val="20"/>
          <w:color w:val="auto"/>
        </w:rPr>
      </w:pPr>
      <w:r>
        <w:rPr>
          <w:rFonts w:ascii="Arial" w:cs="Arial" w:eastAsia="Arial" w:hAnsi="Arial"/>
          <w:sz w:val="16"/>
          <w:szCs w:val="16"/>
          <w:color w:val="auto"/>
        </w:rPr>
        <w:t xml:space="preserve">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 Procedures</w:t>
      </w:r>
      <w:r>
        <w:rPr>
          <w:rFonts w:ascii="Arial" w:cs="Arial" w:eastAsia="Arial" w:hAnsi="Arial"/>
          <w:sz w:val="17"/>
          <w:szCs w:val="17"/>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66"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41" w:name="page342"/>
    <w:bookmarkEnd w:id="341"/>
    <w:p>
      <w:pPr>
        <w:ind w:right="120"/>
        <w:spacing w:after="0" w:line="277" w:lineRule="auto"/>
        <w:rPr>
          <w:sz w:val="20"/>
          <w:szCs w:val="20"/>
          <w:color w:val="auto"/>
        </w:rPr>
      </w:pPr>
      <w:r>
        <w:rPr>
          <w:rFonts w:ascii="Arial" w:cs="Arial" w:eastAsia="Arial" w:hAnsi="Arial"/>
          <w:sz w:val="18"/>
          <w:szCs w:val="18"/>
          <w:color w:val="auto"/>
        </w:rPr>
        <w:t>efforts to cause such Registration Statement to become effective and remain effective until all Registrable Securities covered by such Registration Statement have been sold;</w:t>
      </w:r>
    </w:p>
    <w:p>
      <w:pPr>
        <w:spacing w:after="0" w:line="170" w:lineRule="exact"/>
        <w:rPr>
          <w:sz w:val="20"/>
          <w:szCs w:val="20"/>
          <w:color w:val="auto"/>
        </w:rPr>
      </w:pPr>
    </w:p>
    <w:p>
      <w:pPr>
        <w:ind w:right="220" w:firstLine="1297"/>
        <w:spacing w:after="0" w:line="255"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93"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93"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66"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color w:val="auto"/>
        </w:rPr>
        <w:t>prevent the issuance of any stop order or to obtain its withdrawal if such stop order should be issued;</w:t>
      </w:r>
    </w:p>
    <w:p>
      <w:pPr>
        <w:spacing w:after="0" w:line="225"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3.1.8 at least five (5) days prior to the filing of any Registration Statement or Prospectus or any amendment or supplement to such Registration Statement or Prospectus furnish a copy thereof to each seller of such Registrable Securities or its counsel;</w:t>
      </w:r>
    </w:p>
    <w:p>
      <w:pPr>
        <w:spacing w:after="0" w:line="147"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1"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3"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1"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4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$10,000,000, use its reasonable efforts to make available senior executives of the Company to participate in customary “road show”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84" w:right="39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t>presentations that may be reasonably requested by the Underwriter in any Underwritten Offering; and</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all reasonable fees and expenses of any legal counsel representing the Holders.</w:t>
      </w:r>
    </w:p>
    <w:p>
      <w:pPr>
        <w:spacing w:after="0" w:line="187"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8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4" w:name="page345"/>
    <w:bookmarkEnd w:id="344"/>
    <w:p>
      <w:pPr>
        <w:jc w:val="both"/>
        <w:ind w:right="460"/>
        <w:spacing w:after="0" w:line="286" w:lineRule="auto"/>
        <w:rPr>
          <w:sz w:val="20"/>
          <w:szCs w:val="20"/>
          <w:color w:val="auto"/>
        </w:rPr>
      </w:pPr>
      <w:r>
        <w:rPr>
          <w:rFonts w:ascii="Arial" w:cs="Arial" w:eastAsia="Arial" w:hAnsi="Arial"/>
          <w:sz w:val="17"/>
          <w:szCs w:val="17"/>
          <w:color w:val="auto"/>
        </w:rPr>
        <w:t>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80"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345" w:name="page346"/>
    <w:bookmarkEnd w:id="345"/>
    <w:p>
      <w:pPr>
        <w:spacing w:after="0" w:line="270" w:lineRule="auto"/>
        <w:rPr>
          <w:sz w:val="20"/>
          <w:szCs w:val="20"/>
          <w:color w:val="auto"/>
        </w:rPr>
      </w:pPr>
      <w:r>
        <w:rPr>
          <w:rFonts w:ascii="Arial" w:cs="Arial" w:eastAsia="Arial" w:hAnsi="Arial"/>
          <w:sz w:val="17"/>
          <w:szCs w:val="17"/>
          <w:color w:val="auto"/>
        </w:rPr>
        <w:t>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2"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4"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4.1.5</w:t>
      </w:r>
      <w:r>
        <w:rPr>
          <w:rFonts w:ascii="Arial" w:cs="Arial" w:eastAsia="Arial" w:hAnsi="Arial"/>
          <w:sz w:val="16"/>
          <w:szCs w:val="16"/>
          <w:color w:val="auto"/>
        </w:rPr>
        <w:t xml:space="preserve">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46" w:name="page347"/>
    <w:bookmarkEnd w:id="346"/>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1114 6th Ave, 41st Floor, New York, New York, 10036, Attention: Chief Financial Officer,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w:t>
      </w:r>
    </w:p>
    <w:p>
      <w:pPr>
        <w:spacing w:after="0" w:line="225"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 and other applicable agreements.</w:t>
      </w:r>
    </w:p>
    <w:p>
      <w:pPr>
        <w:spacing w:after="0" w:line="187"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or PDF counterparts), each of which shall be deemed an original,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t>of which together shall constitute the same instrument, but only one of which need be produced.</w:t>
      </w:r>
    </w:p>
    <w:p>
      <w:pPr>
        <w:spacing w:after="0" w:line="225"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AND (II) THE VENUE FOR ANY ACTION TAKEN WITH RESPECT TO THE AGREEMENT SHALL BE ANY STATE OR FEDERAL COURT IN NEW YORK COUNTY IN THE STATE OF NEW YORK.</w:t>
      </w:r>
    </w:p>
    <w:p>
      <w:pPr>
        <w:spacing w:after="0" w:line="173" w:lineRule="exact"/>
        <w:rPr>
          <w:sz w:val="20"/>
          <w:szCs w:val="20"/>
          <w:color w:val="auto"/>
        </w:rPr>
      </w:pPr>
    </w:p>
    <w:p>
      <w:pPr>
        <w:ind w:right="480" w:firstLine="648"/>
        <w:spacing w:after="0" w:line="276" w:lineRule="auto"/>
        <w:rPr>
          <w:sz w:val="20"/>
          <w:szCs w:val="20"/>
          <w:color w:val="auto"/>
        </w:rPr>
      </w:pPr>
      <w:r>
        <w:rPr>
          <w:rFonts w:ascii="Arial" w:cs="Arial" w:eastAsia="Arial" w:hAnsi="Arial"/>
          <w:sz w:val="17"/>
          <w:szCs w:val="17"/>
          <w:color w:val="auto"/>
        </w:rPr>
        <w:t>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any amendment hereto or waiver hereof that adversely affects one Holder, solely in his, her or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(i) the tenth anniversary of the date of this Agreement or (ii) the date as of which</w:t>
      </w:r>
    </w:p>
    <w:p>
      <w:pPr>
        <w:spacing w:after="0" w:line="23" w:lineRule="exact"/>
        <w:rPr>
          <w:sz w:val="20"/>
          <w:szCs w:val="20"/>
          <w:color w:val="auto"/>
        </w:rPr>
      </w:pPr>
    </w:p>
    <w:p>
      <w:pPr>
        <w:ind w:left="300" w:hanging="292"/>
        <w:spacing w:after="0"/>
        <w:tabs>
          <w:tab w:leader="none" w:pos="30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all of the Registrable Securities have been sold pursuant to a Registration Statement (but in no event prior to the applicable period referred to in Section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4(a)(3) of the Securities Act and Rule 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8" w:name="page349"/>
    <w:bookmarkEnd w:id="348"/>
    <w:p>
      <w:pPr>
        <w:jc w:val="both"/>
        <w:spacing w:after="0" w:line="286" w:lineRule="auto"/>
        <w:rPr>
          <w:sz w:val="20"/>
          <w:szCs w:val="20"/>
          <w:color w:val="auto"/>
        </w:rPr>
      </w:pPr>
      <w:r>
        <w:rPr>
          <w:rFonts w:ascii="Arial" w:cs="Arial" w:eastAsia="Arial" w:hAnsi="Arial"/>
          <w:sz w:val="17"/>
          <w:szCs w:val="17"/>
          <w:color w:val="auto"/>
        </w:rPr>
        <w:t xml:space="preserve">thereunder (or any successor rule promulgated thereafter by the Commission)) or (B) the Holders of all Registrable Securities are permitted to sell the Registrable Securities without registration pursuant to Rule 144 (or any similar provision) under the Securities Act without limitation on the amount of securities sold or the manner of sale. The provisions of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Article IV shall survive any termination.</w:t>
      </w:r>
    </w:p>
    <w:p>
      <w:pPr>
        <w:spacing w:after="0" w:line="16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584" w:right="77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t>IN WITNESS WHEREOF, the undersigned have caused this Agreement to be executed as of the date first written above.</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SILVER SPIKE ACQUISITION CORP.</w:t>
      </w:r>
      <w:r>
        <w:rPr>
          <w:rFonts w:ascii="Arial" w:cs="Arial" w:eastAsia="Arial" w:hAnsi="Arial"/>
          <w:sz w:val="17"/>
          <w:szCs w:val="17"/>
          <w:color w:val="auto"/>
        </w:rPr>
        <w:t>, a Cayman Islands</w:t>
      </w:r>
    </w:p>
    <w:p>
      <w:pPr>
        <w:spacing w:after="0" w:line="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exempted company</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-130810</wp:posOffset>
            </wp:positionV>
            <wp:extent cx="282130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HOLDERS:</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SILVER SPIKE SPONSOR, LLC</w:t>
      </w:r>
      <w:r>
        <w:rPr>
          <w:rFonts w:ascii="Arial" w:cs="Arial" w:eastAsia="Arial" w:hAnsi="Arial"/>
          <w:sz w:val="18"/>
          <w:szCs w:val="18"/>
          <w:color w:val="auto"/>
        </w:rPr>
        <w:t>,</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-130810</wp:posOffset>
            </wp:positionV>
            <wp:extent cx="28213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349250</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900" w:top="585" w:right="77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WARRANTS PURCHASE AGREEMENT</w:t>
      </w:r>
    </w:p>
    <w:p>
      <w:pPr>
        <w:spacing w:after="0" w:line="229" w:lineRule="exact"/>
        <w:rPr>
          <w:sz w:val="20"/>
          <w:szCs w:val="20"/>
          <w:color w:val="auto"/>
        </w:rPr>
      </w:pPr>
    </w:p>
    <w:p>
      <w:pPr>
        <w:ind w:left="660"/>
        <w:spacing w:after="0"/>
        <w:tabs>
          <w:tab w:leader="none" w:pos="6600" w:val="left"/>
        </w:tabs>
        <w:rPr>
          <w:sz w:val="20"/>
          <w:szCs w:val="20"/>
          <w:color w:val="auto"/>
        </w:rPr>
      </w:pPr>
      <w:r>
        <w:rPr>
          <w:rFonts w:ascii="Arial" w:cs="Arial" w:eastAsia="Arial" w:hAnsi="Arial"/>
          <w:sz w:val="18"/>
          <w:szCs w:val="18"/>
          <w:color w:val="auto"/>
        </w:rPr>
        <w:t>THIS SPONSOR WARRANTS PURCHASE AGREEMENT, dated as of</w:t>
      </w:r>
      <w:r>
        <w:rPr>
          <w:sz w:val="20"/>
          <w:szCs w:val="20"/>
          <w:color w:val="auto"/>
        </w:rPr>
        <w:tab/>
      </w:r>
      <w:r>
        <w:rPr>
          <w:rFonts w:ascii="Arial" w:cs="Arial" w:eastAsia="Arial" w:hAnsi="Arial"/>
          <w:sz w:val="16"/>
          <w:szCs w:val="16"/>
          <w:color w:val="auto"/>
        </w:rPr>
        <w:t>, 2019 (as it may from time to time be amended, this</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Silver Spike Acquisition Corp., a Cayman Islands exempted company (the “</w:t>
      </w:r>
      <w:r>
        <w:rPr>
          <w:rFonts w:ascii="Arial" w:cs="Arial" w:eastAsia="Arial" w:hAnsi="Arial"/>
          <w:sz w:val="18"/>
          <w:szCs w:val="18"/>
          <w:b w:val="1"/>
          <w:bCs w:val="1"/>
          <w:color w:val="auto"/>
        </w:rPr>
        <w:t>Company</w:t>
      </w:r>
      <w:r>
        <w:rPr>
          <w:rFonts w:ascii="Arial" w:cs="Arial" w:eastAsia="Arial" w:hAnsi="Arial"/>
          <w:sz w:val="18"/>
          <w:szCs w:val="18"/>
          <w:color w:val="auto"/>
        </w:rPr>
        <w:t>”), and Silver Spike Sponsor, LLC, a Delaware limited liability company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w:t>
      </w:r>
    </w:p>
    <w:p>
      <w:pPr>
        <w:spacing w:after="0" w:line="22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The Company intends to consummate an initial public offering of the Company’s units (the “</w:t>
      </w:r>
      <w:r>
        <w:rPr>
          <w:rFonts w:ascii="Arial" w:cs="Arial" w:eastAsia="Arial" w:hAnsi="Arial"/>
          <w:sz w:val="18"/>
          <w:szCs w:val="18"/>
          <w:b w:val="1"/>
          <w:bCs w:val="1"/>
          <w:color w:val="auto"/>
        </w:rPr>
        <w:t>Public Offering</w:t>
      </w:r>
      <w:r>
        <w:rPr>
          <w:rFonts w:ascii="Arial" w:cs="Arial" w:eastAsia="Arial" w:hAnsi="Arial"/>
          <w:sz w:val="18"/>
          <w:szCs w:val="18"/>
          <w:color w:val="auto"/>
        </w:rPr>
        <w:t>”), each unit consisting of one Class A ordinary share of the Company, par value $0.0001 per share (each, an “</w:t>
      </w:r>
      <w:r>
        <w:rPr>
          <w:rFonts w:ascii="Arial" w:cs="Arial" w:eastAsia="Arial" w:hAnsi="Arial"/>
          <w:sz w:val="18"/>
          <w:szCs w:val="18"/>
          <w:b w:val="1"/>
          <w:bCs w:val="1"/>
          <w:color w:val="auto"/>
        </w:rPr>
        <w:t>Ordinary Share</w:t>
      </w:r>
      <w:r>
        <w:rPr>
          <w:rFonts w:ascii="Arial" w:cs="Arial" w:eastAsia="Arial" w:hAnsi="Arial"/>
          <w:sz w:val="18"/>
          <w:szCs w:val="18"/>
          <w:color w:val="auto"/>
        </w:rPr>
        <w:t>”), and one-half of one warrant;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whole warrant entitles the holder to purchase one Ordinary Share at an exercise price of $11.50 per Ordinary Share; and</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Purchaser has agreed to purchase an aggregate of 7,000,000 warrants (or up to 7,750,000 warrants if the over-allotment option in connection with the Public Offering is exercised in full) (the “</w:t>
      </w:r>
      <w:r>
        <w:rPr>
          <w:rFonts w:ascii="Arial" w:cs="Arial" w:eastAsia="Arial" w:hAnsi="Arial"/>
          <w:sz w:val="18"/>
          <w:szCs w:val="18"/>
          <w:b w:val="1"/>
          <w:bCs w:val="1"/>
          <w:color w:val="auto"/>
        </w:rPr>
        <w:t>Sponsor Warrants</w:t>
      </w:r>
      <w:r>
        <w:rPr>
          <w:rFonts w:ascii="Arial" w:cs="Arial" w:eastAsia="Arial" w:hAnsi="Arial"/>
          <w:sz w:val="18"/>
          <w:szCs w:val="18"/>
          <w:color w:val="auto"/>
        </w:rPr>
        <w:t>”), each Sponsor Warrant entitling the holder to purchase one Ordinary Share at an exercise price of $11.50 per Ordinary Share.</w:t>
      </w:r>
    </w:p>
    <w:p>
      <w:pPr>
        <w:spacing w:after="0" w:line="18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Authorization, Purchase and Sale; Terms of the Sponsor Warrants</w:t>
      </w:r>
      <w:r>
        <w:rPr>
          <w:rFonts w:ascii="Arial" w:cs="Arial" w:eastAsia="Arial" w:hAnsi="Arial"/>
          <w:sz w:val="18"/>
          <w:szCs w:val="18"/>
          <w:color w:val="auto"/>
        </w:rPr>
        <w:t>.</w:t>
      </w:r>
    </w:p>
    <w:p>
      <w:pPr>
        <w:spacing w:after="0" w:line="225" w:lineRule="exact"/>
        <w:rPr>
          <w:sz w:val="20"/>
          <w:szCs w:val="20"/>
          <w:color w:val="auto"/>
        </w:rPr>
      </w:pPr>
    </w:p>
    <w:p>
      <w:pPr>
        <w:ind w:left="1360" w:hanging="509"/>
        <w:spacing w:after="0"/>
        <w:tabs>
          <w:tab w:leader="none" w:pos="1360" w:val="left"/>
        </w:tabs>
        <w:numPr>
          <w:ilvl w:val="0"/>
          <w:numId w:val="238"/>
        </w:numPr>
        <w:rPr>
          <w:rFonts w:ascii="Arial" w:cs="Arial" w:eastAsia="Arial" w:hAnsi="Arial"/>
          <w:sz w:val="16"/>
          <w:szCs w:val="16"/>
          <w:color w:val="auto"/>
        </w:rPr>
      </w:pPr>
      <w:r>
        <w:rPr>
          <w:rFonts w:ascii="Arial" w:cs="Arial" w:eastAsia="Arial" w:hAnsi="Arial"/>
          <w:sz w:val="16"/>
          <w:szCs w:val="16"/>
          <w:i w:val="1"/>
          <w:iCs w:val="1"/>
          <w:color w:val="auto"/>
        </w:rPr>
        <w:t>Authorization of the Sponsor Warrants</w:t>
      </w:r>
      <w:r>
        <w:rPr>
          <w:rFonts w:ascii="Arial" w:cs="Arial" w:eastAsia="Arial" w:hAnsi="Arial"/>
          <w:sz w:val="16"/>
          <w:szCs w:val="16"/>
          <w:color w:val="auto"/>
        </w:rPr>
        <w:t>. The Company has duly authorized the issuance and sale of the Sponsor Warrants to the Purchaser.</w:t>
      </w:r>
    </w:p>
    <w:p>
      <w:pPr>
        <w:spacing w:after="0" w:line="248" w:lineRule="exact"/>
        <w:rPr>
          <w:rFonts w:ascii="Arial" w:cs="Arial" w:eastAsia="Arial" w:hAnsi="Arial"/>
          <w:sz w:val="16"/>
          <w:szCs w:val="16"/>
          <w:color w:val="auto"/>
        </w:rPr>
      </w:pPr>
    </w:p>
    <w:p>
      <w:pPr>
        <w:ind w:left="1380" w:hanging="529"/>
        <w:spacing w:after="0"/>
        <w:tabs>
          <w:tab w:leader="none" w:pos="1380"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Purchase and Sale of the Sponsor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80" w:firstLine="969"/>
        <w:spacing w:after="0" w:line="297" w:lineRule="auto"/>
        <w:tabs>
          <w:tab w:leader="none" w:pos="2117" w:val="left"/>
        </w:tabs>
        <w:numPr>
          <w:ilvl w:val="1"/>
          <w:numId w:val="238"/>
        </w:numPr>
        <w:rPr>
          <w:rFonts w:ascii="Arial" w:cs="Arial" w:eastAsia="Arial" w:hAnsi="Arial"/>
          <w:sz w:val="16"/>
          <w:szCs w:val="16"/>
          <w:color w:val="auto"/>
        </w:rPr>
      </w:pPr>
      <w:r>
        <w:rPr>
          <w:rFonts w:ascii="Arial" w:cs="Arial" w:eastAsia="Arial" w:hAnsi="Arial"/>
          <w:sz w:val="16"/>
          <w:szCs w:val="16"/>
          <w:color w:val="auto"/>
        </w:rPr>
        <w:t>On the date of the consummation of the Public Offering or on such earlier time and date as may be mutually agreed by the Purchaser and the Company (the “</w:t>
      </w:r>
      <w:r>
        <w:rPr>
          <w:rFonts w:ascii="Arial" w:cs="Arial" w:eastAsia="Arial" w:hAnsi="Arial"/>
          <w:sz w:val="16"/>
          <w:szCs w:val="16"/>
          <w:b w:val="1"/>
          <w:bCs w:val="1"/>
          <w:color w:val="auto"/>
        </w:rPr>
        <w:t>Initial Closing Date</w:t>
      </w:r>
      <w:r>
        <w:rPr>
          <w:rFonts w:ascii="Arial" w:cs="Arial" w:eastAsia="Arial" w:hAnsi="Arial"/>
          <w:sz w:val="16"/>
          <w:szCs w:val="16"/>
          <w:color w:val="auto"/>
        </w:rPr>
        <w:t>”), the Company shall issue and sell to the Purchaser, and the Purchaser shall purchase from the Company, 7,000,000 Sponsor Warrants at a price of $1.00 per warrant for an aggregate purchase price of $7,000,000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shall be paid by wire transfer of immediately available funds to the Company at least one day prior to the Initial Closing Date in accordance with the Company’s wiring instructions. On the Initial Closing Date, following the payment by the Purchaser of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1" w:name="page352"/>
    <w:bookmarkEnd w:id="351"/>
    <w:p>
      <w:pPr>
        <w:ind w:left="660" w:right="160"/>
        <w:spacing w:after="0" w:line="342" w:lineRule="auto"/>
        <w:rPr>
          <w:sz w:val="20"/>
          <w:szCs w:val="20"/>
          <w:color w:val="auto"/>
        </w:rPr>
      </w:pPr>
      <w:r>
        <w:rPr>
          <w:rFonts w:ascii="Arial" w:cs="Arial" w:eastAsia="Arial" w:hAnsi="Arial"/>
          <w:sz w:val="16"/>
          <w:szCs w:val="16"/>
          <w:color w:val="auto"/>
        </w:rPr>
        <w:t>Price by wire transfer of immediately available funds to the Company, the Company, at its option, shall deliver a certificate evidencing the Sponsor Warrants purchased on such date duly registered in the Purchaser’s name to the Purchaser or effect such delivery in book-entry form.</w:t>
      </w:r>
    </w:p>
    <w:p>
      <w:pPr>
        <w:spacing w:after="0" w:line="124" w:lineRule="exact"/>
        <w:rPr>
          <w:sz w:val="20"/>
          <w:szCs w:val="20"/>
          <w:color w:val="auto"/>
        </w:rPr>
      </w:pPr>
    </w:p>
    <w:p>
      <w:pPr>
        <w:ind w:left="660" w:right="20" w:firstLine="969"/>
        <w:spacing w:after="0" w:line="288" w:lineRule="auto"/>
        <w:tabs>
          <w:tab w:leader="none" w:pos="2167" w:val="left"/>
        </w:tabs>
        <w:numPr>
          <w:ilvl w:val="1"/>
          <w:numId w:val="239"/>
        </w:numPr>
        <w:rPr>
          <w:rFonts w:ascii="Arial" w:cs="Arial" w:eastAsia="Arial" w:hAnsi="Arial"/>
          <w:sz w:val="16"/>
          <w:szCs w:val="16"/>
          <w:color w:val="auto"/>
        </w:rPr>
      </w:pPr>
      <w:r>
        <w:rPr>
          <w:rFonts w:ascii="Arial" w:cs="Arial" w:eastAsia="Arial" w:hAnsi="Arial"/>
          <w:sz w:val="16"/>
          <w:szCs w:val="16"/>
          <w:color w:val="auto"/>
        </w:rPr>
        <w:t>On the date of any consummation of the closing of the over-allotment option in connection with the Public Offering or on such earlier time and date as may be mutually agreed by the Purchaser and the Company (each such date, an “</w:t>
      </w:r>
      <w:r>
        <w:rPr>
          <w:rFonts w:ascii="Arial" w:cs="Arial" w:eastAsia="Arial" w:hAnsi="Arial"/>
          <w:sz w:val="16"/>
          <w:szCs w:val="16"/>
          <w:b w:val="1"/>
          <w:bCs w:val="1"/>
          <w:color w:val="auto"/>
        </w:rPr>
        <w:t>Over-allotment Closing Date</w:t>
      </w:r>
      <w:r>
        <w:rPr>
          <w:rFonts w:ascii="Arial" w:cs="Arial" w:eastAsia="Arial" w:hAnsi="Arial"/>
          <w:sz w:val="16"/>
          <w:szCs w:val="16"/>
          <w:color w:val="auto"/>
        </w:rPr>
        <w:t>,” and each Over-allotment Closing Date (if any) and the Initial Closing Date being sometimes referred to herein as a “</w:t>
      </w:r>
      <w:r>
        <w:rPr>
          <w:rFonts w:ascii="Arial" w:cs="Arial" w:eastAsia="Arial" w:hAnsi="Arial"/>
          <w:sz w:val="16"/>
          <w:szCs w:val="16"/>
          <w:b w:val="1"/>
          <w:bCs w:val="1"/>
          <w:color w:val="auto"/>
        </w:rPr>
        <w:t>Closing Date</w:t>
      </w:r>
      <w:r>
        <w:rPr>
          <w:rFonts w:ascii="Arial" w:cs="Arial" w:eastAsia="Arial" w:hAnsi="Arial"/>
          <w:sz w:val="16"/>
          <w:szCs w:val="16"/>
          <w:color w:val="auto"/>
        </w:rPr>
        <w:t>”), the Company shall issue and sell to the Purchaser, and the Purchaser shall purchase from the Company, up to an aggregate of 750,000 Sponsor Warrants, in the same proportion as the amount of the option that is then so exercised, at a price of $1.00 per warrant for an aggregate purchase price of up to $750,000 (if the over-allotment option in connection with the Public Offering is exercised in full) (the “</w:t>
      </w:r>
      <w:r>
        <w:rPr>
          <w:rFonts w:ascii="Arial" w:cs="Arial" w:eastAsia="Arial" w:hAnsi="Arial"/>
          <w:sz w:val="16"/>
          <w:szCs w:val="16"/>
          <w:b w:val="1"/>
          <w:bCs w:val="1"/>
          <w:color w:val="auto"/>
        </w:rPr>
        <w:t>Over-allotment Purchase Price</w:t>
      </w:r>
      <w:r>
        <w:rPr>
          <w:rFonts w:ascii="Arial" w:cs="Arial" w:eastAsia="Arial" w:hAnsi="Arial"/>
          <w:sz w:val="16"/>
          <w:szCs w:val="16"/>
          <w:color w:val="auto"/>
        </w:rPr>
        <w:t>”), which shall be paid by wire transfer of immediately available funds to the Company at least one day prior to the Over-allotment Closing Date in accordance with the Company’s wiring instructions. On the Over-allotment Closing Date, following the payment by the Purchaser of the Over-allotment Purchase Price by wire transfer of immediately available funds to the Company, the Company shall, at its option, deliver a certificate to the Purchaser evidencing the Sponsor Warrants purchased on such date duly registered in the Purchaser’s name or effect such delivery in book-entry form.</w:t>
      </w:r>
    </w:p>
    <w:p>
      <w:pPr>
        <w:spacing w:after="0" w:line="169" w:lineRule="exact"/>
        <w:rPr>
          <w:rFonts w:ascii="Arial" w:cs="Arial" w:eastAsia="Arial" w:hAnsi="Arial"/>
          <w:sz w:val="16"/>
          <w:szCs w:val="16"/>
          <w:color w:val="auto"/>
        </w:rPr>
      </w:pPr>
    </w:p>
    <w:p>
      <w:pPr>
        <w:ind w:left="1360" w:hanging="509"/>
        <w:spacing w:after="0"/>
        <w:tabs>
          <w:tab w:leader="none" w:pos="1360"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Terms of the Sponsor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00" w:firstLine="969"/>
        <w:spacing w:after="0" w:line="286" w:lineRule="auto"/>
        <w:tabs>
          <w:tab w:leader="none" w:pos="2117" w:val="left"/>
        </w:tabs>
        <w:numPr>
          <w:ilvl w:val="1"/>
          <w:numId w:val="240"/>
        </w:numPr>
        <w:rPr>
          <w:rFonts w:ascii="Arial" w:cs="Arial" w:eastAsia="Arial" w:hAnsi="Arial"/>
          <w:sz w:val="17"/>
          <w:szCs w:val="17"/>
          <w:color w:val="auto"/>
        </w:rPr>
      </w:pPr>
      <w:r>
        <w:rPr>
          <w:rFonts w:ascii="Arial" w:cs="Arial" w:eastAsia="Arial" w:hAnsi="Arial"/>
          <w:sz w:val="17"/>
          <w:szCs w:val="17"/>
          <w:color w:val="auto"/>
        </w:rPr>
        <w:t>Each Sponsor Warrant shall have the terms set forth in a Warrant Agreement to be entered into by the Company and a warrant agent, in connection with the Public Offering (a “</w:t>
      </w:r>
      <w:r>
        <w:rPr>
          <w:rFonts w:ascii="Arial" w:cs="Arial" w:eastAsia="Arial" w:hAnsi="Arial"/>
          <w:sz w:val="17"/>
          <w:szCs w:val="17"/>
          <w:b w:val="1"/>
          <w:bCs w:val="1"/>
          <w:color w:val="auto"/>
        </w:rPr>
        <w:t>Warrant Agreement</w:t>
      </w:r>
      <w:r>
        <w:rPr>
          <w:rFonts w:ascii="Arial" w:cs="Arial" w:eastAsia="Arial" w:hAnsi="Arial"/>
          <w:sz w:val="17"/>
          <w:szCs w:val="17"/>
          <w:color w:val="auto"/>
        </w:rPr>
        <w:t>”), and shall be subject to the terms of a letter agreement, dated as of the date hereof, to be entered into by the Company, the Purchaser and the other parties thereto, in connection with the Public Offering.</w:t>
      </w:r>
    </w:p>
    <w:p>
      <w:pPr>
        <w:spacing w:after="0" w:line="166" w:lineRule="exact"/>
        <w:rPr>
          <w:sz w:val="20"/>
          <w:szCs w:val="20"/>
          <w:color w:val="auto"/>
        </w:rPr>
      </w:pPr>
    </w:p>
    <w:p>
      <w:pPr>
        <w:ind w:left="660" w:firstLine="969"/>
        <w:spacing w:after="0" w:line="264" w:lineRule="auto"/>
        <w:tabs>
          <w:tab w:leader="none" w:pos="215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At the time of, or prior to, the closing of the Public Offering, the Company and the Purchaser shall enter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will grant certain registration rights to the Purchaser relating to the Sponsor Warrants and the Ordinary Shares underlying the Sponsor Warrants.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As a material inducement to the Purchaser to enter into this Agreement and purchase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Sponsor Warrants, the Company hereby represents and warrants to the Purchaser (which representations and warranties shall survive each Closing Date) that:</w:t>
      </w:r>
    </w:p>
    <w:p>
      <w:pPr>
        <w:spacing w:after="0" w:line="234" w:lineRule="exact"/>
        <w:rPr>
          <w:sz w:val="20"/>
          <w:szCs w:val="20"/>
          <w:color w:val="auto"/>
        </w:rPr>
      </w:pPr>
    </w:p>
    <w:p>
      <w:pPr>
        <w:ind w:left="1360" w:hanging="509"/>
        <w:spacing w:after="0"/>
        <w:tabs>
          <w:tab w:leader="none" w:pos="1360" w:val="left"/>
        </w:tabs>
        <w:numPr>
          <w:ilvl w:val="0"/>
          <w:numId w:val="242"/>
        </w:numPr>
        <w:rPr>
          <w:rFonts w:ascii="Arial" w:cs="Arial" w:eastAsia="Arial" w:hAnsi="Arial"/>
          <w:sz w:val="16"/>
          <w:szCs w:val="16"/>
          <w:color w:val="auto"/>
        </w:rPr>
      </w:pPr>
      <w:r>
        <w:rPr>
          <w:rFonts w:ascii="Arial" w:cs="Arial" w:eastAsia="Arial" w:hAnsi="Arial"/>
          <w:sz w:val="16"/>
          <w:szCs w:val="16"/>
          <w:i w:val="1"/>
          <w:iCs w:val="1"/>
          <w:color w:val="auto"/>
        </w:rPr>
        <w:t>Organization and Corporate Power</w:t>
      </w:r>
      <w:r>
        <w:rPr>
          <w:rFonts w:ascii="Arial" w:cs="Arial" w:eastAsia="Arial" w:hAnsi="Arial"/>
          <w:sz w:val="16"/>
          <w:szCs w:val="16"/>
          <w:color w:val="auto"/>
        </w:rPr>
        <w:t>. The Company is an exempted company duly incorporated, validly existing and in good standing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laws of the</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2" w:name="page353"/>
    <w:bookmarkEnd w:id="352"/>
    <w:p>
      <w:pPr>
        <w:jc w:val="both"/>
        <w:spacing w:after="0" w:line="264" w:lineRule="auto"/>
        <w:rPr>
          <w:sz w:val="20"/>
          <w:szCs w:val="20"/>
          <w:color w:val="auto"/>
        </w:rPr>
      </w:pPr>
      <w:r>
        <w:rPr>
          <w:rFonts w:ascii="Arial" w:cs="Arial" w:eastAsia="Arial" w:hAnsi="Arial"/>
          <w:sz w:val="18"/>
          <w:szCs w:val="18"/>
          <w:color w:val="auto"/>
        </w:rPr>
        <w:t>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81" w:lineRule="exact"/>
        <w:rPr>
          <w:sz w:val="20"/>
          <w:szCs w:val="20"/>
          <w:color w:val="auto"/>
        </w:rPr>
      </w:pPr>
    </w:p>
    <w:p>
      <w:pPr>
        <w:ind w:left="1380" w:hanging="529"/>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Authorization; No 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80" w:firstLine="969"/>
        <w:spacing w:after="0" w:line="302" w:lineRule="auto"/>
        <w:tabs>
          <w:tab w:leader="none" w:pos="2114"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the Sponsor Warrants have been duly authorized by the Company as of the Closing Date. This Agreement constitutes the valid and binding obligation of the Company, enforceable in accordance with its terms. Upon issuance in accordance with, and payment pursuant to, the terms of the Warrant Agreement and this Agreement, the Sponsor Warrants will constitute valid and binding obligations of the Company, enforceable in accordance with their terms as of each Closing Date.</w:t>
      </w:r>
    </w:p>
    <w:p>
      <w:pPr>
        <w:spacing w:after="0" w:line="154" w:lineRule="exact"/>
        <w:rPr>
          <w:rFonts w:ascii="Arial" w:cs="Arial" w:eastAsia="Arial" w:hAnsi="Arial"/>
          <w:sz w:val="16"/>
          <w:szCs w:val="16"/>
          <w:color w:val="auto"/>
        </w:rPr>
      </w:pPr>
    </w:p>
    <w:p>
      <w:pPr>
        <w:ind w:left="660" w:right="60" w:firstLine="969"/>
        <w:spacing w:after="0" w:line="289" w:lineRule="auto"/>
        <w:tabs>
          <w:tab w:leader="none" w:pos="2164"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and the Sponsor Warrants, the issuance and sale of the Sponsor Warrants, the issuance of the Ordinary Shares upon exercise of the Sponsor Warrants and the fulfillment, of and compliance with, the respective terms hereof and thereof by the Company, do not and will not as of each Closing Date (1) conflict with or result in a breach of the terms, conditions or provisions of, (2) constitute a default under, (3) result in the creation of any lien, security interest, charge or encumbrance upon the Company’s share capital or assets under, (4) result in a violation of, or (5) require any authorization, consent, approval, exemption or other action by or notice or declaration to, or filing with, any court or administrative or governmental body or agency pursuant to, the amended and restated memorandum and articles of association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66" w:lineRule="exact"/>
        <w:rPr>
          <w:rFonts w:ascii="Arial" w:cs="Arial" w:eastAsia="Arial" w:hAnsi="Arial"/>
          <w:sz w:val="16"/>
          <w:szCs w:val="16"/>
          <w:color w:val="auto"/>
        </w:rPr>
      </w:pPr>
    </w:p>
    <w:p>
      <w:pPr>
        <w:ind w:right="160" w:firstLine="851"/>
        <w:spacing w:after="0" w:line="273" w:lineRule="auto"/>
        <w:tabs>
          <w:tab w:leader="none" w:pos="1357" w:val="left"/>
        </w:tabs>
        <w:numPr>
          <w:ilvl w:val="0"/>
          <w:numId w:val="243"/>
        </w:numPr>
        <w:rPr>
          <w:rFonts w:ascii="Arial" w:cs="Arial" w:eastAsia="Arial" w:hAnsi="Arial"/>
          <w:sz w:val="17"/>
          <w:szCs w:val="17"/>
          <w:color w:val="auto"/>
        </w:rPr>
      </w:pPr>
      <w:r>
        <w:rPr>
          <w:rFonts w:ascii="Arial" w:cs="Arial" w:eastAsia="Arial" w:hAnsi="Arial"/>
          <w:sz w:val="17"/>
          <w:szCs w:val="17"/>
          <w:i w:val="1"/>
          <w:iCs w:val="1"/>
          <w:color w:val="auto"/>
        </w:rPr>
        <w:t>Title to Securities</w:t>
      </w:r>
      <w:r>
        <w:rPr>
          <w:rFonts w:ascii="Arial" w:cs="Arial" w:eastAsia="Arial" w:hAnsi="Arial"/>
          <w:sz w:val="17"/>
          <w:szCs w:val="17"/>
          <w:color w:val="auto"/>
        </w:rPr>
        <w:t>. Upon issuance in accordance with, and payment pursuant to, and registration in the register of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the terms hereof and the Warrant Agreement, the Ordinary Shares issuable upon exercise of the Sponsor Warrants will be duly and validly issued, fully paid and non-assessable. Upon issuance in accordance with, and payment pursuant to, the terms hereof and the Warrant Agreement, the Purchaser will have good title to the Sponsor Warrants and the Ordinary Shares issuable upon exercise of such Sponsor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178" w:lineRule="exact"/>
        <w:rPr>
          <w:rFonts w:ascii="Arial" w:cs="Arial" w:eastAsia="Arial" w:hAnsi="Arial"/>
          <w:sz w:val="17"/>
          <w:szCs w:val="17"/>
          <w:color w:val="auto"/>
        </w:rPr>
      </w:pPr>
    </w:p>
    <w:p>
      <w:pPr>
        <w:ind w:right="240" w:firstLine="851"/>
        <w:spacing w:after="0" w:line="277" w:lineRule="auto"/>
        <w:tabs>
          <w:tab w:leader="none" w:pos="1367"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Governmental Consents</w:t>
      </w:r>
      <w:r>
        <w:rPr>
          <w:rFonts w:ascii="Arial" w:cs="Arial" w:eastAsia="Arial" w:hAnsi="Arial"/>
          <w:sz w:val="18"/>
          <w:szCs w:val="18"/>
          <w:color w:val="auto"/>
        </w:rPr>
        <w:t>. No permit, consent, approval or authorization of, or declaration to or filing with, any governmental authority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 connection with</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3" w:name="page354"/>
    <w:bookmarkEnd w:id="353"/>
    <w:p>
      <w:pPr>
        <w:ind w:right="300"/>
        <w:spacing w:after="0" w:line="277" w:lineRule="auto"/>
        <w:rPr>
          <w:sz w:val="20"/>
          <w:szCs w:val="20"/>
          <w:color w:val="auto"/>
        </w:rPr>
      </w:pPr>
      <w:r>
        <w:rPr>
          <w:rFonts w:ascii="Arial" w:cs="Arial" w:eastAsia="Arial" w:hAnsi="Arial"/>
          <w:sz w:val="18"/>
          <w:szCs w:val="18"/>
          <w:color w:val="auto"/>
        </w:rPr>
        <w:t>the execution, delivery and performance by the Company of this Agreement or the consummation by the Company of any other transactions contemplated hereby.</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Representations and Warranties of the Purchaser</w:t>
      </w:r>
      <w:r>
        <w:rPr>
          <w:rFonts w:ascii="Arial" w:cs="Arial" w:eastAsia="Arial" w:hAnsi="Arial"/>
          <w:sz w:val="18"/>
          <w:szCs w:val="18"/>
          <w:color w:val="auto"/>
        </w:rPr>
        <w:t>. As a material inducement to the Company to enter into this Agreement and issue and sell the Sponsor Warrants to the Purchaser, the Purchaser hereby represents and warrants to the Company (which representations and warranties shall survive each Closing Date) that:</w:t>
      </w:r>
    </w:p>
    <w:p>
      <w:pPr>
        <w:spacing w:after="0" w:line="181" w:lineRule="exact"/>
        <w:rPr>
          <w:sz w:val="20"/>
          <w:szCs w:val="20"/>
          <w:color w:val="auto"/>
        </w:rPr>
      </w:pPr>
    </w:p>
    <w:p>
      <w:pPr>
        <w:ind w:right="320" w:firstLine="851"/>
        <w:spacing w:after="0" w:line="277" w:lineRule="auto"/>
        <w:tabs>
          <w:tab w:leader="none" w:pos="1357"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Organization and Requisite Authority</w:t>
      </w:r>
      <w:r>
        <w:rPr>
          <w:rFonts w:ascii="Arial" w:cs="Arial" w:eastAsia="Arial" w:hAnsi="Arial"/>
          <w:sz w:val="18"/>
          <w:szCs w:val="18"/>
          <w:color w:val="auto"/>
        </w:rPr>
        <w:t>. The Purchaser possesses all requisite power and authority necessary to carry out the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by this Agreement.</w:t>
      </w:r>
    </w:p>
    <w:p>
      <w:pPr>
        <w:spacing w:after="0" w:line="170" w:lineRule="exact"/>
        <w:rPr>
          <w:rFonts w:ascii="Arial" w:cs="Arial" w:eastAsia="Arial" w:hAnsi="Arial"/>
          <w:sz w:val="18"/>
          <w:szCs w:val="18"/>
          <w:color w:val="auto"/>
        </w:rPr>
      </w:pPr>
    </w:p>
    <w:p>
      <w:pPr>
        <w:ind w:left="1380" w:hanging="529"/>
        <w:spacing w:after="0"/>
        <w:tabs>
          <w:tab w:leader="none" w:pos="138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Authorization; No 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120" w:firstLine="969"/>
        <w:spacing w:after="0" w:line="264" w:lineRule="auto"/>
        <w:tabs>
          <w:tab w:leader="none" w:pos="211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1" w:lineRule="exact"/>
        <w:rPr>
          <w:rFonts w:ascii="Arial" w:cs="Arial" w:eastAsia="Arial" w:hAnsi="Arial"/>
          <w:sz w:val="18"/>
          <w:szCs w:val="18"/>
          <w:color w:val="auto"/>
        </w:rPr>
      </w:pPr>
    </w:p>
    <w:p>
      <w:pPr>
        <w:ind w:left="660" w:firstLine="969"/>
        <w:spacing w:after="0" w:line="264" w:lineRule="auto"/>
        <w:tabs>
          <w:tab w:leader="none" w:pos="216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each Closing Date conflict with or result in a breach by the Purchaser of the terms, conditions or provisions of any agreement, instrument, order, judgment or decree to which the Purchaser is subject.</w:t>
      </w:r>
    </w:p>
    <w:p>
      <w:pPr>
        <w:spacing w:after="0" w:line="181" w:lineRule="exact"/>
        <w:rPr>
          <w:rFonts w:ascii="Arial" w:cs="Arial" w:eastAsia="Arial" w:hAnsi="Arial"/>
          <w:sz w:val="18"/>
          <w:szCs w:val="18"/>
          <w:color w:val="auto"/>
        </w:rPr>
      </w:pPr>
    </w:p>
    <w:p>
      <w:pPr>
        <w:ind w:left="1360" w:hanging="509"/>
        <w:spacing w:after="0"/>
        <w:tabs>
          <w:tab w:leader="none" w:pos="136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Investment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firstLine="969"/>
        <w:spacing w:after="0" w:line="264" w:lineRule="auto"/>
        <w:tabs>
          <w:tab w:leader="none" w:pos="211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Purchaser is acquiring the Sponsor Warrants and, upon exercise of the Sponsor Warrants, the Ordinary Shares issuable upon such exercise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for the Purchaser’s own account, for investment purposes only and not with a view towards, or for resale in connection with, any public sale or distribution thereof.</w:t>
      </w:r>
    </w:p>
    <w:p>
      <w:pPr>
        <w:spacing w:after="0" w:line="181" w:lineRule="exact"/>
        <w:rPr>
          <w:rFonts w:ascii="Arial" w:cs="Arial" w:eastAsia="Arial" w:hAnsi="Arial"/>
          <w:sz w:val="18"/>
          <w:szCs w:val="18"/>
          <w:color w:val="auto"/>
        </w:rPr>
      </w:pPr>
    </w:p>
    <w:p>
      <w:pPr>
        <w:ind w:left="660" w:right="120" w:firstLine="969"/>
        <w:spacing w:after="0" w:line="277" w:lineRule="auto"/>
        <w:tabs>
          <w:tab w:leader="none" w:pos="216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Purchaser is an “accredited investor” as such term is defined in Rule 501(a)(3) of Regulation 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right="240" w:firstLine="969"/>
        <w:spacing w:after="0" w:line="259" w:lineRule="auto"/>
        <w:tabs>
          <w:tab w:leader="none" w:pos="221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4" w:name="page355"/>
    <w:bookmarkEnd w:id="354"/>
    <w:p>
      <w:pPr>
        <w:ind w:left="-540" w:right="180" w:firstLine="969"/>
        <w:spacing w:after="0" w:line="277" w:lineRule="auto"/>
        <w:tabs>
          <w:tab w:leader="none" w:pos="100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Purchaser decided to enter into this Agreement not as a result of any general solicitation or general advertising within the meaning of Rule 502(c) under the Securities Act.</w:t>
      </w:r>
    </w:p>
    <w:p>
      <w:pPr>
        <w:spacing w:after="0" w:line="170" w:lineRule="exact"/>
        <w:rPr>
          <w:rFonts w:ascii="Arial" w:cs="Arial" w:eastAsia="Arial" w:hAnsi="Arial"/>
          <w:sz w:val="18"/>
          <w:szCs w:val="18"/>
          <w:color w:val="auto"/>
        </w:rPr>
      </w:pPr>
    </w:p>
    <w:p>
      <w:pPr>
        <w:ind w:left="-540" w:firstLine="969"/>
        <w:spacing w:after="0" w:line="257" w:lineRule="auto"/>
        <w:tabs>
          <w:tab w:leader="none" w:pos="95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8" w:lineRule="exact"/>
        <w:rPr>
          <w:rFonts w:ascii="Arial" w:cs="Arial" w:eastAsia="Arial" w:hAnsi="Arial"/>
          <w:sz w:val="18"/>
          <w:szCs w:val="18"/>
          <w:color w:val="auto"/>
        </w:rPr>
      </w:pPr>
    </w:p>
    <w:p>
      <w:pPr>
        <w:ind w:left="-540" w:right="180" w:firstLine="969"/>
        <w:spacing w:after="0" w:line="286" w:lineRule="auto"/>
        <w:tabs>
          <w:tab w:leader="none" w:pos="100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65" w:lineRule="exact"/>
        <w:rPr>
          <w:rFonts w:ascii="Arial" w:cs="Arial" w:eastAsia="Arial" w:hAnsi="Arial"/>
          <w:sz w:val="17"/>
          <w:szCs w:val="17"/>
          <w:color w:val="auto"/>
        </w:rPr>
      </w:pPr>
    </w:p>
    <w:p>
      <w:pPr>
        <w:ind w:left="-540" w:right="40" w:firstLine="969"/>
        <w:spacing w:after="0" w:line="270" w:lineRule="auto"/>
        <w:tabs>
          <w:tab w:leader="none" w:pos="105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Purchaser understands that: (a) the Securities have not been and are not being registered under the Securities Act or any state securities laws, and may not be offered for sale, sold, assigned or transferred unless (1) in a registered transaction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 In this regard, the Purchaser understands that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has taken the position that promoters or affiliates of a blank check company and their transferees, both before and after a Business Combination, are deemed to be “underwriters” under the Securities Act when reselling the securities of a blank check company. Based on that position, Rule 144 adopted pursuant to the Securities Act would not be available for resale transactions of the Securities despite technical compliance with the requirements of such Rule, and the Securities can be resold only through a registered offering or in reliance upon another exemption from the registration requirements of the Securities Act.</w:t>
      </w:r>
    </w:p>
    <w:p>
      <w:pPr>
        <w:spacing w:after="0" w:line="177" w:lineRule="exact"/>
        <w:rPr>
          <w:rFonts w:ascii="Arial" w:cs="Arial" w:eastAsia="Arial" w:hAnsi="Arial"/>
          <w:sz w:val="17"/>
          <w:szCs w:val="17"/>
          <w:color w:val="auto"/>
        </w:rPr>
      </w:pPr>
    </w:p>
    <w:p>
      <w:pPr>
        <w:ind w:left="-540" w:right="40" w:firstLine="969"/>
        <w:spacing w:after="0" w:line="255" w:lineRule="auto"/>
        <w:tabs>
          <w:tab w:leader="none" w:pos="110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Purchaser has such knowledge and experience in financial and business matters, knows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investments in the Securities.</w:t>
      </w:r>
    </w:p>
    <w:p>
      <w:pPr>
        <w:spacing w:after="0" w:line="30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355" w:name="page356"/>
    <w:bookmarkEnd w:id="355"/>
    <w:p>
      <w:pPr>
        <w:ind w:right="180"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Conditions of the Purchaser’s Obligations</w:t>
      </w:r>
      <w:r>
        <w:rPr>
          <w:rFonts w:ascii="Arial" w:cs="Arial" w:eastAsia="Arial" w:hAnsi="Arial"/>
          <w:sz w:val="18"/>
          <w:szCs w:val="18"/>
          <w:color w:val="auto"/>
        </w:rPr>
        <w:t>. The obligations of the Purchaser to purchase and pay for the Sponsor Warrants are subject to the fulfillment, on or before each Closing Date, of each of the following conditions:</w:t>
      </w:r>
    </w:p>
    <w:p>
      <w:pPr>
        <w:spacing w:after="0" w:line="170" w:lineRule="exact"/>
        <w:rPr>
          <w:sz w:val="20"/>
          <w:szCs w:val="20"/>
          <w:color w:val="auto"/>
        </w:rPr>
      </w:pPr>
    </w:p>
    <w:p>
      <w:pPr>
        <w:ind w:right="20" w:firstLine="851"/>
        <w:spacing w:after="0" w:line="277" w:lineRule="auto"/>
        <w:tabs>
          <w:tab w:leader="none" w:pos="1357"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of the Company contained in Section 2 shall be true and correct at and</w:t>
      </w:r>
      <w:r>
        <w:rPr>
          <w:rFonts w:ascii="Arial" w:cs="Arial" w:eastAsia="Arial" w:hAnsi="Arial"/>
          <w:sz w:val="18"/>
          <w:szCs w:val="18"/>
          <w:i w:val="1"/>
          <w:iCs w:val="1"/>
          <w:color w:val="auto"/>
        </w:rPr>
        <w:t xml:space="preserve"> </w:t>
      </w:r>
      <w:r>
        <w:rPr>
          <w:rFonts w:ascii="Arial" w:cs="Arial" w:eastAsia="Arial" w:hAnsi="Arial"/>
          <w:sz w:val="18"/>
          <w:szCs w:val="18"/>
          <w:color w:val="auto"/>
        </w:rPr>
        <w:t>as of such Closing Date as though then made.</w:t>
      </w:r>
    </w:p>
    <w:p>
      <w:pPr>
        <w:spacing w:after="0" w:line="170" w:lineRule="exact"/>
        <w:rPr>
          <w:rFonts w:ascii="Arial" w:cs="Arial" w:eastAsia="Arial" w:hAnsi="Arial"/>
          <w:sz w:val="18"/>
          <w:szCs w:val="18"/>
          <w:color w:val="auto"/>
        </w:rPr>
      </w:pPr>
    </w:p>
    <w:p>
      <w:pPr>
        <w:ind w:right="720" w:firstLine="851"/>
        <w:spacing w:after="0" w:line="277" w:lineRule="auto"/>
        <w:tabs>
          <w:tab w:leader="none" w:pos="1367"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Performance</w:t>
      </w:r>
      <w:r>
        <w:rPr>
          <w:rFonts w:ascii="Arial" w:cs="Arial" w:eastAsia="Arial" w:hAnsi="Arial"/>
          <w:sz w:val="18"/>
          <w:szCs w:val="18"/>
          <w:color w:val="auto"/>
        </w:rPr>
        <w:t>. The Company shall have performed and complied with all agreements, obligations and conditions contained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that are required to be performed or complied with by it on or before such Closing Date.</w:t>
      </w:r>
    </w:p>
    <w:p>
      <w:pPr>
        <w:spacing w:after="0" w:line="170" w:lineRule="exact"/>
        <w:rPr>
          <w:rFonts w:ascii="Arial" w:cs="Arial" w:eastAsia="Arial" w:hAnsi="Arial"/>
          <w:sz w:val="18"/>
          <w:szCs w:val="18"/>
          <w:color w:val="auto"/>
        </w:rPr>
      </w:pPr>
    </w:p>
    <w:p>
      <w:pPr>
        <w:ind w:right="80" w:firstLine="851"/>
        <w:spacing w:after="0" w:line="312" w:lineRule="auto"/>
        <w:tabs>
          <w:tab w:leader="none" w:pos="1357"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No Injunction</w:t>
      </w:r>
      <w:r>
        <w:rPr>
          <w:rFonts w:ascii="Arial" w:cs="Arial" w:eastAsia="Arial" w:hAnsi="Arial"/>
          <w:sz w:val="16"/>
          <w:szCs w:val="16"/>
          <w:color w:val="auto"/>
        </w:rPr>
        <w:t>. No litigation, statute, rule, regulation, executive order, decree, ruling or injunction shall have been enacted,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6" w:lineRule="exact"/>
        <w:rPr>
          <w:rFonts w:ascii="Arial" w:cs="Arial" w:eastAsia="Arial" w:hAnsi="Arial"/>
          <w:sz w:val="16"/>
          <w:szCs w:val="16"/>
          <w:color w:val="auto"/>
        </w:rPr>
      </w:pPr>
    </w:p>
    <w:p>
      <w:pPr>
        <w:ind w:left="1380" w:hanging="529"/>
        <w:spacing w:after="0"/>
        <w:tabs>
          <w:tab w:leader="none" w:pos="1380"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Warrant Agreement</w:t>
      </w:r>
      <w:r>
        <w:rPr>
          <w:rFonts w:ascii="Arial" w:cs="Arial" w:eastAsia="Arial" w:hAnsi="Arial"/>
          <w:sz w:val="17"/>
          <w:szCs w:val="17"/>
          <w:color w:val="auto"/>
        </w:rPr>
        <w:t>. The Company shall have entered into a Warrant Agreement with a warrant agent on terms satisfactory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Purchaser.</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Conditions of the Company’s Obligations</w:t>
      </w:r>
      <w:r>
        <w:rPr>
          <w:rFonts w:ascii="Arial" w:cs="Arial" w:eastAsia="Arial" w:hAnsi="Arial"/>
          <w:sz w:val="18"/>
          <w:szCs w:val="18"/>
          <w:color w:val="auto"/>
        </w:rPr>
        <w:t>. The obligations of the Company to the Purchaser under this Agreement are subject to the fulfillment, on or before each Closing Date, of each of the following conditions:</w:t>
      </w:r>
    </w:p>
    <w:p>
      <w:pPr>
        <w:spacing w:after="0" w:line="170" w:lineRule="exact"/>
        <w:rPr>
          <w:sz w:val="20"/>
          <w:szCs w:val="20"/>
          <w:color w:val="auto"/>
        </w:rPr>
      </w:pPr>
    </w:p>
    <w:p>
      <w:pPr>
        <w:ind w:firstLine="851"/>
        <w:spacing w:after="0" w:line="277" w:lineRule="auto"/>
        <w:tabs>
          <w:tab w:leader="none" w:pos="1357"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of the Purchaser contained in Section 3 shall be true and correct at and</w:t>
      </w:r>
      <w:r>
        <w:rPr>
          <w:rFonts w:ascii="Arial" w:cs="Arial" w:eastAsia="Arial" w:hAnsi="Arial"/>
          <w:sz w:val="18"/>
          <w:szCs w:val="18"/>
          <w:i w:val="1"/>
          <w:iCs w:val="1"/>
          <w:color w:val="auto"/>
        </w:rPr>
        <w:t xml:space="preserve"> </w:t>
      </w:r>
      <w:r>
        <w:rPr>
          <w:rFonts w:ascii="Arial" w:cs="Arial" w:eastAsia="Arial" w:hAnsi="Arial"/>
          <w:sz w:val="18"/>
          <w:szCs w:val="18"/>
          <w:color w:val="auto"/>
        </w:rPr>
        <w:t>as of such Closing Date as though then made.</w:t>
      </w:r>
    </w:p>
    <w:p>
      <w:pPr>
        <w:spacing w:after="0" w:line="170" w:lineRule="exact"/>
        <w:rPr>
          <w:rFonts w:ascii="Arial" w:cs="Arial" w:eastAsia="Arial" w:hAnsi="Arial"/>
          <w:sz w:val="18"/>
          <w:szCs w:val="18"/>
          <w:color w:val="auto"/>
        </w:rPr>
      </w:pPr>
    </w:p>
    <w:p>
      <w:pPr>
        <w:ind w:right="700" w:firstLine="851"/>
        <w:spacing w:after="0" w:line="277" w:lineRule="auto"/>
        <w:tabs>
          <w:tab w:leader="none" w:pos="1367"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Performance</w:t>
      </w:r>
      <w:r>
        <w:rPr>
          <w:rFonts w:ascii="Arial" w:cs="Arial" w:eastAsia="Arial" w:hAnsi="Arial"/>
          <w:sz w:val="18"/>
          <w:szCs w:val="18"/>
          <w:color w:val="auto"/>
        </w:rPr>
        <w:t>. The Purchaser shall have performed and complied with all agreements, obligations and conditions contained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that are required to be performed or complied with by the Purchaser on or before such Closing Date.</w:t>
      </w:r>
    </w:p>
    <w:p>
      <w:pPr>
        <w:spacing w:after="0" w:line="170" w:lineRule="exact"/>
        <w:rPr>
          <w:rFonts w:ascii="Arial" w:cs="Arial" w:eastAsia="Arial" w:hAnsi="Arial"/>
          <w:sz w:val="18"/>
          <w:szCs w:val="18"/>
          <w:color w:val="auto"/>
        </w:rPr>
      </w:pPr>
    </w:p>
    <w:p>
      <w:pPr>
        <w:ind w:right="80" w:firstLine="851"/>
        <w:spacing w:after="0" w:line="312" w:lineRule="auto"/>
        <w:tabs>
          <w:tab w:leader="none" w:pos="1357" w:val="left"/>
        </w:tabs>
        <w:numPr>
          <w:ilvl w:val="0"/>
          <w:numId w:val="247"/>
        </w:numPr>
        <w:rPr>
          <w:rFonts w:ascii="Arial" w:cs="Arial" w:eastAsia="Arial" w:hAnsi="Arial"/>
          <w:sz w:val="16"/>
          <w:szCs w:val="16"/>
          <w:color w:val="auto"/>
        </w:rPr>
      </w:pPr>
      <w:r>
        <w:rPr>
          <w:rFonts w:ascii="Arial" w:cs="Arial" w:eastAsia="Arial" w:hAnsi="Arial"/>
          <w:sz w:val="16"/>
          <w:szCs w:val="16"/>
          <w:i w:val="1"/>
          <w:iCs w:val="1"/>
          <w:color w:val="auto"/>
        </w:rPr>
        <w:t>No Injunction</w:t>
      </w:r>
      <w:r>
        <w:rPr>
          <w:rFonts w:ascii="Arial" w:cs="Arial" w:eastAsia="Arial" w:hAnsi="Arial"/>
          <w:sz w:val="16"/>
          <w:szCs w:val="16"/>
          <w:color w:val="auto"/>
        </w:rPr>
        <w:t>. No litigation, statute, rule, regulation, executive order, decree, ruling or injunction shall have been enacted,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6" w:lineRule="exact"/>
        <w:rPr>
          <w:rFonts w:ascii="Arial" w:cs="Arial" w:eastAsia="Arial" w:hAnsi="Arial"/>
          <w:sz w:val="16"/>
          <w:szCs w:val="16"/>
          <w:color w:val="auto"/>
        </w:rPr>
      </w:pPr>
    </w:p>
    <w:p>
      <w:pPr>
        <w:ind w:left="1380" w:hanging="529"/>
        <w:spacing w:after="0"/>
        <w:tabs>
          <w:tab w:leader="none" w:pos="1380"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Warrant Agreement</w:t>
      </w:r>
      <w:r>
        <w:rPr>
          <w:rFonts w:ascii="Arial" w:cs="Arial" w:eastAsia="Arial" w:hAnsi="Arial"/>
          <w:sz w:val="17"/>
          <w:szCs w:val="17"/>
          <w:color w:val="auto"/>
        </w:rPr>
        <w:t>. The Company shall have entered into a Warrant Agreement with a warrant agent on terms satisfactory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terminated at any time after January 31, 2020 upon the election by either the Company or the Purchaser upon written notice to the other party if the closing of the Public Offering does not occur prior to such date.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56" w:name="page357"/>
    <w:bookmarkEnd w:id="356"/>
    <w:p>
      <w:pPr>
        <w:ind w:left="660"/>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Survival of Representations and Warranties</w:t>
      </w:r>
      <w:r>
        <w:rPr>
          <w:rFonts w:ascii="Arial" w:cs="Arial" w:eastAsia="Arial" w:hAnsi="Arial"/>
          <w:sz w:val="16"/>
          <w:szCs w:val="16"/>
          <w:color w:val="auto"/>
        </w:rPr>
        <w:t>. All of the representations and warranties contained herein shall survive each Closing Date.</w:t>
      </w:r>
    </w:p>
    <w:p>
      <w:pPr>
        <w:spacing w:after="0" w:line="2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Definitions</w:t>
      </w:r>
      <w:r>
        <w:rPr>
          <w:rFonts w:ascii="Arial" w:cs="Arial" w:eastAsia="Arial" w:hAnsi="Arial"/>
          <w:sz w:val="18"/>
          <w:szCs w:val="18"/>
          <w:color w:val="auto"/>
        </w:rPr>
        <w:t>. Terms used but not otherwise defined in this Agreement shall have the meaning assigned to such terms in the registration statement on Form S-1 the Company has filed with the SEC, under the Securities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00" w:firstLine="851"/>
        <w:spacing w:after="0" w:line="259" w:lineRule="auto"/>
        <w:tabs>
          <w:tab w:leader="none" w:pos="1357"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 Except as otherwise expressly provided herein, all covenants and agreements contained in this Agreement by or</w:t>
      </w:r>
      <w:r>
        <w:rPr>
          <w:rFonts w:ascii="Arial" w:cs="Arial" w:eastAsia="Arial" w:hAnsi="Arial"/>
          <w:sz w:val="18"/>
          <w:szCs w:val="18"/>
          <w:i w:val="1"/>
          <w:iCs w:val="1"/>
          <w:color w:val="auto"/>
        </w:rPr>
        <w:t xml:space="preserve"> </w:t>
      </w:r>
      <w:r>
        <w:rPr>
          <w:rFonts w:ascii="Arial" w:cs="Arial" w:eastAsia="Arial" w:hAnsi="Arial"/>
          <w:sz w:val="18"/>
          <w:szCs w:val="18"/>
          <w:color w:val="auto"/>
        </w:rPr>
        <w:t>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w:t>
      </w:r>
    </w:p>
    <w:p>
      <w:pPr>
        <w:spacing w:after="0" w:line="186" w:lineRule="exact"/>
        <w:rPr>
          <w:rFonts w:ascii="Arial" w:cs="Arial" w:eastAsia="Arial" w:hAnsi="Arial"/>
          <w:sz w:val="18"/>
          <w:szCs w:val="18"/>
          <w:color w:val="auto"/>
        </w:rPr>
      </w:pPr>
    </w:p>
    <w:p>
      <w:pPr>
        <w:jc w:val="both"/>
        <w:ind w:right="200" w:firstLine="851"/>
        <w:spacing w:after="0" w:line="264" w:lineRule="auto"/>
        <w:tabs>
          <w:tab w:leader="none" w:pos="1367"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Whenever possible, each provision of this Agreement shall be interpreted in such manner as to be effective and valid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1" w:lineRule="exact"/>
        <w:rPr>
          <w:rFonts w:ascii="Arial" w:cs="Arial" w:eastAsia="Arial" w:hAnsi="Arial"/>
          <w:sz w:val="18"/>
          <w:szCs w:val="18"/>
          <w:color w:val="auto"/>
        </w:rPr>
      </w:pPr>
    </w:p>
    <w:p>
      <w:pPr>
        <w:ind w:right="80" w:firstLine="851"/>
        <w:spacing w:after="0" w:line="277" w:lineRule="auto"/>
        <w:tabs>
          <w:tab w:leader="none" w:pos="1357"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simultaneously in two or more counterparts, none of which need contain the signatures of</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one party, but all such counterparts taken together shall constitute one and the same agreement.</w:t>
      </w:r>
    </w:p>
    <w:p>
      <w:pPr>
        <w:spacing w:after="0" w:line="170" w:lineRule="exact"/>
        <w:rPr>
          <w:rFonts w:ascii="Arial" w:cs="Arial" w:eastAsia="Arial" w:hAnsi="Arial"/>
          <w:sz w:val="18"/>
          <w:szCs w:val="18"/>
          <w:color w:val="auto"/>
        </w:rPr>
      </w:pPr>
    </w:p>
    <w:p>
      <w:pPr>
        <w:ind w:firstLine="851"/>
        <w:spacing w:after="0" w:line="308" w:lineRule="auto"/>
        <w:tabs>
          <w:tab w:leader="none" w:pos="1367"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Descriptive Headings; Interpretation. </w:t>
      </w:r>
      <w:r>
        <w:rPr>
          <w:rFonts w:ascii="Arial" w:cs="Arial" w:eastAsia="Arial" w:hAnsi="Arial"/>
          <w:sz w:val="17"/>
          <w:szCs w:val="17"/>
          <w:color w:val="auto"/>
        </w:rPr>
        <w:t>The descriptive headings of this Agreement are inserted for convenience only and do not constitute a</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substantive part of this Agreement. The use of the word “</w:t>
      </w:r>
      <w:r>
        <w:rPr>
          <w:rFonts w:ascii="Arial" w:cs="Arial" w:eastAsia="Arial" w:hAnsi="Arial"/>
          <w:sz w:val="17"/>
          <w:szCs w:val="17"/>
          <w:b w:val="1"/>
          <w:bCs w:val="1"/>
          <w:color w:val="auto"/>
        </w:rPr>
        <w:t>including</w:t>
      </w:r>
      <w:r>
        <w:rPr>
          <w:rFonts w:ascii="Arial" w:cs="Arial" w:eastAsia="Arial" w:hAnsi="Arial"/>
          <w:sz w:val="17"/>
          <w:szCs w:val="17"/>
          <w:color w:val="auto"/>
        </w:rPr>
        <w:t>” in this Agreement shall be by way of example rather than by limitation.</w:t>
      </w:r>
    </w:p>
    <w:p>
      <w:pPr>
        <w:spacing w:after="0" w:line="146" w:lineRule="exact"/>
        <w:rPr>
          <w:rFonts w:ascii="Arial" w:cs="Arial" w:eastAsia="Arial" w:hAnsi="Arial"/>
          <w:sz w:val="17"/>
          <w:szCs w:val="17"/>
          <w:color w:val="auto"/>
        </w:rPr>
      </w:pPr>
    </w:p>
    <w:p>
      <w:pPr>
        <w:ind w:right="80" w:firstLine="851"/>
        <w:spacing w:after="0" w:line="277" w:lineRule="auto"/>
        <w:tabs>
          <w:tab w:leader="none" w:pos="1357"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deemed to be a contract made under the laws of the State of New York and for all purposes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construed in accordance with the internal laws of the State of New York.</w:t>
      </w:r>
    </w:p>
    <w:p>
      <w:pPr>
        <w:spacing w:after="0" w:line="170" w:lineRule="exact"/>
        <w:rPr>
          <w:rFonts w:ascii="Arial" w:cs="Arial" w:eastAsia="Arial" w:hAnsi="Arial"/>
          <w:sz w:val="18"/>
          <w:szCs w:val="18"/>
          <w:color w:val="auto"/>
        </w:rPr>
      </w:pPr>
    </w:p>
    <w:p>
      <w:pPr>
        <w:ind w:right="420" w:firstLine="851"/>
        <w:spacing w:after="0" w:line="277" w:lineRule="auto"/>
        <w:tabs>
          <w:tab w:leader="none" w:pos="1337"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not be amended, modified or waived as to any particular provision, except by a written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by all parties hereto.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57" w:name="page358"/>
    <w:bookmarkEnd w:id="357"/>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to be effective as of the date first set forth above.</w:t>
      </w:r>
    </w:p>
    <w:p>
      <w:pPr>
        <w:spacing w:after="0" w:line="200" w:lineRule="exact"/>
        <w:rPr>
          <w:sz w:val="20"/>
          <w:szCs w:val="20"/>
          <w:color w:val="auto"/>
        </w:rPr>
      </w:pPr>
    </w:p>
    <w:p>
      <w:pPr>
        <w:spacing w:after="0" w:line="26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-130810</wp:posOffset>
            </wp:positionV>
            <wp:extent cx="282130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PURCHASER:</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SILVER SPIKE SPONSOR, LLC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-130810</wp:posOffset>
            </wp:positionV>
            <wp:extent cx="282130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Sponsor Warrants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358140</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580" w:right="1440"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 2019, by and between Silver Spike Acquisition Corp., a Cayman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 unless they</w:t>
      </w:r>
      <w:r>
        <w:rPr>
          <w:rFonts w:ascii="Arial" w:cs="Arial" w:eastAsia="Arial" w:hAnsi="Arial"/>
          <w:sz w:val="18"/>
          <w:szCs w:val="18"/>
          <w:b w:val="1"/>
          <w:bCs w:val="1"/>
          <w:color w:val="auto"/>
        </w:rPr>
        <w:t xml:space="preserve"> </w:t>
      </w:r>
      <w:r>
        <w:rPr>
          <w:rFonts w:ascii="Arial" w:cs="Arial" w:eastAsia="Arial" w:hAnsi="Arial"/>
          <w:sz w:val="18"/>
          <w:szCs w:val="18"/>
          <w:color w:val="auto"/>
        </w:rPr>
        <w:t>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attempt to maintain on an ongoing basis, at its sole expense, liability insurance to protect persons serving the Company and its Subsidiaries (as defined below) from certain liabilities;</w:t>
      </w:r>
    </w:p>
    <w:p>
      <w:pPr>
        <w:spacing w:after="0" w:line="17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while the Amended and Restated Memorandum and Articles of Association of the Company provide for the indemnification of the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Company, Indemnitee may also be entitled to indemnification pursuant to applicable Cayman Islands law, and the Amended and Restated Memorandum and Articles of Association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 persons;</w:t>
      </w:r>
    </w:p>
    <w:p>
      <w:pPr>
        <w:spacing w:after="0" w:line="237" w:lineRule="exact"/>
        <w:rPr>
          <w:sz w:val="20"/>
          <w:szCs w:val="20"/>
          <w:color w:val="auto"/>
        </w:rPr>
      </w:pPr>
    </w:p>
    <w:p>
      <w:pPr>
        <w:ind w:right="60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shareholders and that the Company should act to assure such persons that there will be increased certainty of such protection in the future;</w:t>
      </w:r>
    </w:p>
    <w:p>
      <w:pPr>
        <w:spacing w:after="0" w:line="11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Amended and Restated Memorandum and Articles of Association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resolutions adopted pursuant thereto, and shall not be deemed a substitute therefor, nor to diminish or abrogate any rights of Indemnitee thereunder;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9" w:name="page360"/>
    <w:bookmarkEnd w:id="359"/>
    <w:p>
      <w:pPr>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without adequate protection, and the Company desires Indemnitee to serve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capacity, and Indemnitee is willing to serve, continue to serve and to take on additional service for or on behalf of the Company on the condition that he or she be so indemnified.</w:t>
      </w:r>
    </w:p>
    <w:p>
      <w:pPr>
        <w:spacing w:after="0" w:line="1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1" w:right="339" w:bottom="1440" w:gutter="0" w:footer="0" w:header="0"/>
        </w:sectPr>
      </w:pPr>
    </w:p>
    <w:bookmarkStart w:id="360" w:name="page361"/>
    <w:bookmarkEnd w:id="360"/>
    <w:p>
      <w:pPr>
        <w:jc w:val="center"/>
        <w:ind w:right="-19"/>
        <w:spacing w:after="0"/>
        <w:rPr>
          <w:sz w:val="20"/>
          <w:szCs w:val="20"/>
          <w:color w:val="auto"/>
        </w:rPr>
      </w:pPr>
      <w:r>
        <w:rPr>
          <w:rFonts w:ascii="Arial" w:cs="Arial" w:eastAsia="Arial" w:hAnsi="Arial"/>
          <w:sz w:val="18"/>
          <w:szCs w:val="18"/>
          <w:b w:val="1"/>
          <w:bCs w:val="1"/>
          <w:color w:val="auto"/>
        </w:rPr>
        <w:t>TERMS AND CONDITIONS</w:t>
      </w:r>
    </w:p>
    <w:p>
      <w:pPr>
        <w:spacing w:after="0" w:line="225" w:lineRule="exact"/>
        <w:rPr>
          <w:sz w:val="20"/>
          <w:szCs w:val="20"/>
          <w:color w:val="auto"/>
        </w:rPr>
      </w:pPr>
    </w:p>
    <w:p>
      <w:pPr>
        <w:ind w:firstLine="8"/>
        <w:spacing w:after="0" w:line="274" w:lineRule="auto"/>
        <w:tabs>
          <w:tab w:leader="none" w:pos="450"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 consideration of the Company’s covenants and obligations hereunder, Indemnitee will serve or continue to serve</w:t>
      </w:r>
      <w:r>
        <w:rPr>
          <w:rFonts w:ascii="Arial" w:cs="Arial" w:eastAsia="Arial" w:hAnsi="Arial"/>
          <w:sz w:val="17"/>
          <w:szCs w:val="17"/>
          <w:b w:val="1"/>
          <w:bCs w:val="1"/>
          <w:color w:val="auto"/>
        </w:rPr>
        <w:t xml:space="preserve"> </w:t>
      </w:r>
      <w:r>
        <w:rPr>
          <w:rFonts w:ascii="Arial" w:cs="Arial" w:eastAsia="Arial" w:hAnsi="Arial"/>
          <w:sz w:val="17"/>
          <w:szCs w:val="17"/>
          <w:color w:val="auto"/>
        </w:rPr>
        <w:t>as an officer, director, advisor, key employee or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Agreement:</w:t>
      </w:r>
    </w:p>
    <w:p>
      <w:pPr>
        <w:spacing w:after="0" w:line="229" w:lineRule="exact"/>
        <w:rPr>
          <w:sz w:val="20"/>
          <w:szCs w:val="20"/>
          <w:color w:val="auto"/>
        </w:rPr>
      </w:pPr>
    </w:p>
    <w:p>
      <w:pPr>
        <w:ind w:right="80" w:firstLine="8"/>
        <w:spacing w:after="0" w:line="259" w:lineRule="auto"/>
        <w:tabs>
          <w:tab w:leader="none" w:pos="51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right="80" w:firstLine="8"/>
        <w:spacing w:after="0" w:line="277" w:lineRule="auto"/>
        <w:tabs>
          <w:tab w:leader="none" w:pos="52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Cayman Court</w:t>
      </w:r>
      <w:r>
        <w:rPr>
          <w:rFonts w:ascii="Arial" w:cs="Arial" w:eastAsia="Arial" w:hAnsi="Arial"/>
          <w:sz w:val="18"/>
          <w:szCs w:val="18"/>
          <w:color w:val="auto"/>
        </w:rPr>
        <w:t>” shall mean the courts of the Cayman Islands.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shall be deemed to occur upon the earliest to occur after the date of this Agreement of any of the following events:</w:t>
      </w:r>
    </w:p>
    <w:p>
      <w:pPr>
        <w:spacing w:after="0" w:line="237" w:lineRule="exact"/>
        <w:rPr>
          <w:sz w:val="20"/>
          <w:szCs w:val="20"/>
          <w:color w:val="auto"/>
        </w:rPr>
      </w:pPr>
    </w:p>
    <w:p>
      <w:pPr>
        <w:ind w:right="100" w:firstLine="8"/>
        <w:spacing w:after="0" w:line="273" w:lineRule="auto"/>
        <w:tabs>
          <w:tab w:leader="none" w:pos="485"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Acquisition of Shares by Third Party</w:t>
      </w:r>
      <w:r>
        <w:rPr>
          <w:rFonts w:ascii="Arial" w:cs="Arial" w:eastAsia="Arial" w:hAnsi="Arial"/>
          <w:sz w:val="17"/>
          <w:szCs w:val="17"/>
          <w:color w:val="auto"/>
        </w:rPr>
        <w:t>. Other than an affiliate of Silver Spike Sponsor,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8" w:lineRule="exact"/>
        <w:rPr>
          <w:rFonts w:ascii="Arial" w:cs="Arial" w:eastAsia="Arial" w:hAnsi="Arial"/>
          <w:sz w:val="17"/>
          <w:szCs w:val="17"/>
          <w:color w:val="auto"/>
        </w:rPr>
      </w:pPr>
    </w:p>
    <w:p>
      <w:pPr>
        <w:ind w:right="40" w:firstLine="8"/>
        <w:spacing w:after="0" w:line="264" w:lineRule="auto"/>
        <w:tabs>
          <w:tab w:leader="none" w:pos="535"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for nomination</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61" w:name="page362"/>
    <w:bookmarkEnd w:id="361"/>
    <w:p>
      <w:pPr>
        <w:spacing w:after="0" w:line="277" w:lineRule="auto"/>
        <w:rPr>
          <w:sz w:val="20"/>
          <w:szCs w:val="20"/>
          <w:color w:val="auto"/>
        </w:rPr>
      </w:pPr>
      <w:r>
        <w:rPr>
          <w:rFonts w:ascii="Arial" w:cs="Arial" w:eastAsia="Arial" w:hAnsi="Arial"/>
          <w:sz w:val="18"/>
          <w:szCs w:val="18"/>
          <w:color w:val="auto"/>
        </w:rPr>
        <w:t>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 cease for any reason to constitute at least a majority of the members of the Board;</w:t>
      </w:r>
    </w:p>
    <w:p>
      <w:pPr>
        <w:spacing w:after="0" w:line="170" w:lineRule="exact"/>
        <w:rPr>
          <w:sz w:val="20"/>
          <w:szCs w:val="20"/>
          <w:color w:val="auto"/>
        </w:rPr>
      </w:pPr>
    </w:p>
    <w:p>
      <w:pPr>
        <w:ind w:right="180" w:firstLine="8"/>
        <w:spacing w:after="0" w:line="291" w:lineRule="auto"/>
        <w:tabs>
          <w:tab w:leader="none" w:pos="63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The effective date of a merger, share exchange, asset acquisition, share purchase, reorganization or similar business combination, involving the Company and one or more businesses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w:t>
      </w:r>
    </w:p>
    <w:p>
      <w:pPr>
        <w:ind w:right="120"/>
        <w:spacing w:after="0" w:line="286" w:lineRule="auto"/>
        <w:rPr>
          <w:rFonts w:ascii="Arial" w:cs="Arial" w:eastAsia="Arial" w:hAnsi="Arial"/>
          <w:sz w:val="16"/>
          <w:szCs w:val="16"/>
          <w:color w:val="auto"/>
        </w:rPr>
      </w:pPr>
      <w:r>
        <w:rPr>
          <w:rFonts w:ascii="Arial" w:cs="Arial" w:eastAsia="Arial" w:hAnsi="Arial"/>
          <w:sz w:val="16"/>
          <w:szCs w:val="16"/>
          <w:color w:val="auto"/>
        </w:rPr>
        <w:t>(1) all or substantially all of the individuals and entities who were the Beneficial Owners of securities entitled to vote generally in the election of directors immediately prior to such Business Combination beneficially own, directly or indirectly, more than 50%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70" w:lineRule="exact"/>
        <w:rPr>
          <w:rFonts w:ascii="Arial" w:cs="Arial" w:eastAsia="Arial" w:hAnsi="Arial"/>
          <w:sz w:val="16"/>
          <w:szCs w:val="16"/>
          <w:color w:val="auto"/>
        </w:rPr>
      </w:pPr>
    </w:p>
    <w:p>
      <w:pPr>
        <w:ind w:right="80" w:firstLine="8"/>
        <w:spacing w:after="0" w:line="259" w:lineRule="auto"/>
        <w:tabs>
          <w:tab w:leader="none" w:pos="575"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ind w:right="200" w:firstLine="8"/>
        <w:spacing w:after="0" w:line="264" w:lineRule="auto"/>
        <w:tabs>
          <w:tab w:leader="none" w:pos="525"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1" w:lineRule="exact"/>
        <w:rPr>
          <w:sz w:val="20"/>
          <w:szCs w:val="20"/>
          <w:color w:val="auto"/>
        </w:rPr>
      </w:pPr>
    </w:p>
    <w:p>
      <w:pPr>
        <w:ind w:left="520" w:hanging="512"/>
        <w:spacing w:after="0"/>
        <w:tabs>
          <w:tab w:leader="none" w:pos="5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Companies Law</w:t>
      </w:r>
      <w:r>
        <w:rPr>
          <w:rFonts w:ascii="Arial" w:cs="Arial" w:eastAsia="Arial" w:hAnsi="Arial"/>
          <w:sz w:val="18"/>
          <w:szCs w:val="18"/>
          <w:color w:val="auto"/>
        </w:rPr>
        <w:t>” shall mean the Companies Law (2018 Revision) of the Cayman Islands, as amended from time to time.</w:t>
      </w:r>
    </w:p>
    <w:p>
      <w:pPr>
        <w:spacing w:after="0" w:line="225" w:lineRule="exact"/>
        <w:rPr>
          <w:rFonts w:ascii="Arial" w:cs="Arial" w:eastAsia="Arial" w:hAnsi="Arial"/>
          <w:sz w:val="18"/>
          <w:szCs w:val="18"/>
          <w:color w:val="auto"/>
        </w:rPr>
      </w:pPr>
    </w:p>
    <w:p>
      <w:pPr>
        <w:ind w:right="260" w:firstLine="8"/>
        <w:spacing w:after="0" w:line="342" w:lineRule="auto"/>
        <w:tabs>
          <w:tab w:leader="none" w:pos="49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2" w:name="page363"/>
    <w:bookmarkEnd w:id="362"/>
    <w:p>
      <w:pPr>
        <w:ind w:right="440" w:firstLine="8"/>
        <w:spacing w:after="0" w:line="277" w:lineRule="auto"/>
        <w:tabs>
          <w:tab w:leader="none" w:pos="52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ind w:firstLine="8"/>
        <w:spacing w:after="0" w:line="259" w:lineRule="auto"/>
        <w:tabs>
          <w:tab w:leader="none" w:pos="52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500" w:hanging="492"/>
        <w:spacing w:after="0"/>
        <w:tabs>
          <w:tab w:leader="none" w:pos="5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right="20" w:firstLine="8"/>
        <w:spacing w:after="0" w:line="270" w:lineRule="auto"/>
        <w:tabs>
          <w:tab w:leader="none" w:pos="48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Expenses</w:t>
      </w:r>
      <w:r>
        <w:rPr>
          <w:rFonts w:ascii="Arial" w:cs="Arial" w:eastAsia="Arial" w:hAnsi="Arial"/>
          <w:sz w:val="17"/>
          <w:szCs w:val="17"/>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supersedes bond, or other appeal bond or its equivalent. Expenses, however, shall not include amounts paid in settlement by Indemnitee or the amount of judgments or fines against Indemnitee.</w:t>
      </w:r>
    </w:p>
    <w:p>
      <w:pPr>
        <w:spacing w:after="0" w:line="181" w:lineRule="exact"/>
        <w:rPr>
          <w:rFonts w:ascii="Arial" w:cs="Arial" w:eastAsia="Arial" w:hAnsi="Arial"/>
          <w:sz w:val="17"/>
          <w:szCs w:val="17"/>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 assessed on Indemnitee with respect to any employee benefit plan.</w:t>
      </w:r>
    </w:p>
    <w:p>
      <w:pPr>
        <w:spacing w:after="0" w:line="221" w:lineRule="exact"/>
        <w:rPr>
          <w:rFonts w:ascii="Arial" w:cs="Arial" w:eastAsia="Arial" w:hAnsi="Arial"/>
          <w:sz w:val="18"/>
          <w:szCs w:val="18"/>
          <w:color w:val="auto"/>
        </w:rPr>
      </w:pPr>
    </w:p>
    <w:p>
      <w:pPr>
        <w:ind w:firstLine="8"/>
        <w:spacing w:after="0" w:line="258" w:lineRule="auto"/>
        <w:tabs>
          <w:tab w:leader="none" w:pos="48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serving at the request of the Company</w:t>
      </w:r>
      <w:r>
        <w:rPr>
          <w:rFonts w:ascii="Arial" w:cs="Arial" w:eastAsia="Arial" w:hAnsi="Arial"/>
          <w:sz w:val="18"/>
          <w:szCs w:val="18"/>
          <w:color w:val="auto"/>
        </w:rPr>
        <w:t>” shall include any service as a director, officer, employee, agent or fiduciary of the Company or a Subsidiary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color w:val="auto"/>
        </w:rPr>
        <w:t>not opposed to the best</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 of the Company</w:t>
      </w:r>
      <w:r>
        <w:rPr>
          <w:rFonts w:ascii="Arial" w:cs="Arial" w:eastAsia="Arial" w:hAnsi="Arial"/>
          <w:sz w:val="18"/>
          <w:szCs w:val="18"/>
          <w:color w:val="auto"/>
        </w:rPr>
        <w:t>” as referred to in this Agreement.</w:t>
      </w:r>
    </w:p>
    <w:p>
      <w:pPr>
        <w:spacing w:after="0" w:line="187" w:lineRule="exact"/>
        <w:rPr>
          <w:rFonts w:ascii="Arial" w:cs="Arial" w:eastAsia="Arial" w:hAnsi="Arial"/>
          <w:sz w:val="18"/>
          <w:szCs w:val="18"/>
          <w:color w:val="auto"/>
        </w:rPr>
      </w:pPr>
    </w:p>
    <w:p>
      <w:pPr>
        <w:jc w:val="both"/>
        <w:ind w:right="220" w:firstLine="8"/>
        <w:spacing w:after="0" w:line="264" w:lineRule="auto"/>
        <w:tabs>
          <w:tab w:leader="none" w:pos="57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Counsel</w:t>
      </w:r>
      <w:r>
        <w:rPr>
          <w:rFonts w:ascii="Arial" w:cs="Arial" w:eastAsia="Arial" w:hAnsi="Arial"/>
          <w:sz w:val="18"/>
          <w:szCs w:val="18"/>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63" w:name="page364"/>
    <w:bookmarkEnd w:id="363"/>
    <w:p>
      <w:pPr>
        <w:ind w:right="340"/>
        <w:spacing w:after="0" w:line="259" w:lineRule="auto"/>
        <w:rPr>
          <w:sz w:val="20"/>
          <w:szCs w:val="20"/>
          <w:color w:val="auto"/>
        </w:rPr>
      </w:pPr>
      <w:r>
        <w:rPr>
          <w:rFonts w:ascii="Arial" w:cs="Arial" w:eastAsia="Arial" w:hAnsi="Arial"/>
          <w:sz w:val="18"/>
          <w:szCs w:val="18"/>
          <w:color w:val="auto"/>
        </w:rPr>
        <w:t>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7" w:lineRule="exact"/>
        <w:rPr>
          <w:sz w:val="20"/>
          <w:szCs w:val="20"/>
          <w:color w:val="auto"/>
        </w:rPr>
      </w:pPr>
    </w:p>
    <w:p>
      <w:pPr>
        <w:ind w:right="20" w:firstLine="8"/>
        <w:spacing w:after="0" w:line="255" w:lineRule="auto"/>
        <w:tabs>
          <w:tab w:leader="none" w:pos="52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93" w:lineRule="exact"/>
        <w:rPr>
          <w:rFonts w:ascii="Arial" w:cs="Arial" w:eastAsia="Arial" w:hAnsi="Arial"/>
          <w:sz w:val="18"/>
          <w:szCs w:val="18"/>
          <w:color w:val="auto"/>
        </w:rPr>
      </w:pPr>
    </w:p>
    <w:p>
      <w:pPr>
        <w:ind w:right="40" w:firstLine="8"/>
        <w:spacing w:after="0" w:line="271" w:lineRule="auto"/>
        <w:tabs>
          <w:tab w:leader="none" w:pos="52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78" w:lineRule="exact"/>
        <w:rPr>
          <w:rFonts w:ascii="Arial" w:cs="Arial" w:eastAsia="Arial" w:hAnsi="Arial"/>
          <w:sz w:val="17"/>
          <w:szCs w:val="17"/>
          <w:color w:val="auto"/>
        </w:rPr>
      </w:pPr>
    </w:p>
    <w:p>
      <w:pPr>
        <w:ind w:right="400" w:firstLine="8"/>
        <w:spacing w:after="0" w:line="308" w:lineRule="auto"/>
        <w:tabs>
          <w:tab w:leader="none" w:pos="52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3" w:lineRule="exact"/>
        <w:rPr>
          <w:sz w:val="20"/>
          <w:szCs w:val="20"/>
          <w:color w:val="auto"/>
        </w:rPr>
      </w:pPr>
    </w:p>
    <w:p>
      <w:pPr>
        <w:ind w:firstLine="8"/>
        <w:spacing w:after="0" w:line="258" w:lineRule="auto"/>
        <w:tabs>
          <w:tab w:leader="none" w:pos="45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INDEMNITY IN THIRD-PARTY PROCEEDINGS. </w:t>
      </w:r>
      <w:r>
        <w:rPr>
          <w:rFonts w:ascii="Arial" w:cs="Arial" w:eastAsia="Arial" w:hAnsi="Arial"/>
          <w:sz w:val="18"/>
          <w:szCs w:val="18"/>
          <w:color w:val="auto"/>
        </w:rPr>
        <w:t>To the fullest extent permitted by applicable law, the Company shall indemnify, hold harmless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4" w:name="page365"/>
    <w:bookmarkEnd w:id="364"/>
    <w:p>
      <w:pPr>
        <w:spacing w:after="0" w:line="279" w:lineRule="auto"/>
        <w:rPr>
          <w:sz w:val="20"/>
          <w:szCs w:val="20"/>
          <w:color w:val="auto"/>
        </w:rPr>
      </w:pPr>
      <w:r>
        <w:rPr>
          <w:rFonts w:ascii="Arial" w:cs="Arial" w:eastAsia="Arial" w:hAnsi="Arial"/>
          <w:sz w:val="17"/>
          <w:szCs w:val="17"/>
          <w:color w:val="auto"/>
        </w:rPr>
        <w:t>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67" w:lineRule="exact"/>
        <w:rPr>
          <w:sz w:val="20"/>
          <w:szCs w:val="20"/>
          <w:color w:val="auto"/>
        </w:rPr>
      </w:pPr>
    </w:p>
    <w:p>
      <w:pPr>
        <w:ind w:right="40" w:firstLine="8"/>
        <w:spacing w:after="0" w:line="270" w:lineRule="auto"/>
        <w:tabs>
          <w:tab w:leader="none" w:pos="450"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INDEMNITY IN PROCEEDINGS BY OR IN THE RIGHT OF THE COMPANY. </w:t>
      </w:r>
      <w:r>
        <w:rPr>
          <w:rFonts w:ascii="Arial" w:cs="Arial" w:eastAsia="Arial" w:hAnsi="Arial"/>
          <w:sz w:val="17"/>
          <w:szCs w:val="17"/>
          <w:color w:val="auto"/>
        </w:rPr>
        <w:t>To the fullest extent permitted by applicable law,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 harmless and exonerated against all Expenses actually and reasonably incurred by him or her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77" w:lineRule="exact"/>
        <w:rPr>
          <w:rFonts w:ascii="Arial" w:cs="Arial" w:eastAsia="Arial" w:hAnsi="Arial"/>
          <w:sz w:val="17"/>
          <w:szCs w:val="17"/>
          <w:b w:val="1"/>
          <w:bCs w:val="1"/>
          <w:color w:val="auto"/>
        </w:rPr>
      </w:pPr>
    </w:p>
    <w:p>
      <w:pPr>
        <w:ind w:right="60" w:firstLine="8"/>
        <w:spacing w:after="0" w:line="288" w:lineRule="auto"/>
        <w:tabs>
          <w:tab w:leader="none" w:pos="450" w:val="left"/>
        </w:tabs>
        <w:numPr>
          <w:ilvl w:val="0"/>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FOR EXPENSES OF A PARTY WHO IS WHOLLY OR PARTLY SUCCESSFUL. </w:t>
      </w:r>
      <w:r>
        <w:rPr>
          <w:rFonts w:ascii="Arial" w:cs="Arial" w:eastAsia="Arial" w:hAnsi="Arial"/>
          <w:sz w:val="16"/>
          <w:szCs w:val="16"/>
          <w:color w:val="auto"/>
        </w:rPr>
        <w:t>Notwithstanding any other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5" w:name="page366"/>
    <w:bookmarkEnd w:id="365"/>
    <w:p>
      <w:pPr>
        <w:ind w:right="320" w:firstLine="8"/>
        <w:spacing w:after="0" w:line="281" w:lineRule="auto"/>
        <w:tabs>
          <w:tab w:leader="none" w:pos="450"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 Section 27,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that Indemnitee is, by reason of his or her Corporate Status, a witness or deponent in any Proceeding to which Indemnitee was or is not a party or threatened to be made a party, he or she shall, to the fullest extent permitted by applicable law, be indemnified, held harmless and exonerated against all Expenses actually and reasonably incurred by him or her or on his or her behalf in connection therewith.</w:t>
      </w:r>
    </w:p>
    <w:p>
      <w:pPr>
        <w:spacing w:after="0" w:line="164" w:lineRule="exact"/>
        <w:rPr>
          <w:rFonts w:ascii="Arial" w:cs="Arial" w:eastAsia="Arial" w:hAnsi="Arial"/>
          <w:sz w:val="17"/>
          <w:szCs w:val="17"/>
          <w:b w:val="1"/>
          <w:bCs w:val="1"/>
          <w:color w:val="auto"/>
        </w:rPr>
      </w:pPr>
    </w:p>
    <w:p>
      <w:pPr>
        <w:ind w:left="440" w:hanging="432"/>
        <w:spacing w:after="0"/>
        <w:tabs>
          <w:tab w:leader="none" w:pos="44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 HOLD HARMLESS AND EXONERATION RIGHTS</w:t>
      </w:r>
      <w:r>
        <w:rPr>
          <w:rFonts w:ascii="Arial" w:cs="Arial" w:eastAsia="Arial" w:hAnsi="Arial"/>
          <w:sz w:val="18"/>
          <w:szCs w:val="18"/>
          <w:color w:val="auto"/>
        </w:rPr>
        <w:t>.</w:t>
      </w:r>
    </w:p>
    <w:p>
      <w:pPr>
        <w:spacing w:after="0" w:line="229" w:lineRule="exact"/>
        <w:rPr>
          <w:sz w:val="20"/>
          <w:szCs w:val="20"/>
          <w:color w:val="auto"/>
        </w:rPr>
      </w:pPr>
    </w:p>
    <w:p>
      <w:pPr>
        <w:ind w:right="40" w:firstLine="8"/>
        <w:spacing w:after="0" w:line="291" w:lineRule="auto"/>
        <w:tabs>
          <w:tab w:leader="none" w:pos="51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Notwithstanding any limitation in Sections 3, 4, or 5, except for Section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67" w:lineRule="exact"/>
        <w:rPr>
          <w:rFonts w:ascii="Arial" w:cs="Arial" w:eastAsia="Arial" w:hAnsi="Arial"/>
          <w:sz w:val="16"/>
          <w:szCs w:val="16"/>
          <w:color w:val="auto"/>
        </w:rPr>
      </w:pPr>
    </w:p>
    <w:p>
      <w:pPr>
        <w:ind w:right="40" w:firstLine="8"/>
        <w:spacing w:after="0" w:line="276" w:lineRule="auto"/>
        <w:tabs>
          <w:tab w:leader="none" w:pos="52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Notwithstanding any limitation in Sections 3, 4, 5 or 7(a), except for Section 27,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169"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p>
    <w:p>
      <w:pPr>
        <w:spacing w:after="0" w:line="229" w:lineRule="exact"/>
        <w:rPr>
          <w:sz w:val="20"/>
          <w:szCs w:val="20"/>
          <w:color w:val="auto"/>
        </w:rPr>
      </w:pPr>
    </w:p>
    <w:p>
      <w:pPr>
        <w:ind w:firstLine="8"/>
        <w:spacing w:after="0" w:line="276" w:lineRule="auto"/>
        <w:tabs>
          <w:tab w:leader="none" w:pos="51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66" w:name="page367"/>
    <w:bookmarkEnd w:id="366"/>
    <w:p>
      <w:pPr>
        <w:ind w:right="160" w:firstLine="8"/>
        <w:spacing w:after="0" w:line="277" w:lineRule="auto"/>
        <w:tabs>
          <w:tab w:leader="none" w:pos="52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right="180" w:firstLine="8"/>
        <w:spacing w:after="0" w:line="277" w:lineRule="auto"/>
        <w:tabs>
          <w:tab w:leader="none" w:pos="51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right="920" w:firstLine="8"/>
        <w:spacing w:after="0" w:line="313" w:lineRule="auto"/>
        <w:tabs>
          <w:tab w:leader="none" w:pos="450"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EXCLUSIONS. </w:t>
      </w:r>
      <w:r>
        <w:rPr>
          <w:rFonts w:ascii="Arial" w:cs="Arial" w:eastAsia="Arial" w:hAnsi="Arial"/>
          <w:sz w:val="17"/>
          <w:szCs w:val="17"/>
          <w:color w:val="auto"/>
        </w:rPr>
        <w:t>Notwithstanding any provision in this Agreement, the Company shall not be obligated under this Agreement to make any</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advance expenses, hold harmless or exoneration payment in connection with any claim made against Indemnitee:</w:t>
      </w:r>
    </w:p>
    <w:p>
      <w:pPr>
        <w:spacing w:after="0" w:line="142" w:lineRule="exact"/>
        <w:rPr>
          <w:sz w:val="20"/>
          <w:szCs w:val="20"/>
          <w:color w:val="auto"/>
        </w:rPr>
      </w:pPr>
    </w:p>
    <w:p>
      <w:pPr>
        <w:ind w:right="80" w:firstLine="8"/>
        <w:spacing w:after="0" w:line="264" w:lineRule="auto"/>
        <w:tabs>
          <w:tab w:leader="none" w:pos="51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and which payment has not subsequently been returned, except with respect to any excess beyond the amount actually received under any insurance policy, contract, agreement, other indemnity or advancement provision or otherwise;</w:t>
      </w:r>
    </w:p>
    <w:p>
      <w:pPr>
        <w:spacing w:after="0" w:line="181" w:lineRule="exact"/>
        <w:rPr>
          <w:rFonts w:ascii="Arial" w:cs="Arial" w:eastAsia="Arial" w:hAnsi="Arial"/>
          <w:sz w:val="18"/>
          <w:szCs w:val="18"/>
          <w:color w:val="auto"/>
        </w:rPr>
      </w:pPr>
    </w:p>
    <w:p>
      <w:pPr>
        <w:ind w:firstLine="8"/>
        <w:spacing w:after="0" w:line="277" w:lineRule="auto"/>
        <w:tabs>
          <w:tab w:leader="none" w:pos="52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except as otherwise provided in Sections 14(f)-(g) hereof, prior to a Change in Control, in connection with any Proceeding (or any part of any</w:t>
      </w:r>
    </w:p>
    <w:p>
      <w:pPr>
        <w:spacing w:after="0" w:line="34" w:lineRule="exact"/>
        <w:rPr>
          <w:rFonts w:ascii="Arial" w:cs="Arial" w:eastAsia="Arial" w:hAnsi="Arial"/>
          <w:sz w:val="17"/>
          <w:szCs w:val="17"/>
          <w:color w:val="auto"/>
        </w:rPr>
      </w:pPr>
    </w:p>
    <w:p>
      <w:pPr>
        <w:ind w:right="160"/>
        <w:spacing w:after="0" w:line="254" w:lineRule="auto"/>
        <w:rPr>
          <w:rFonts w:ascii="Arial" w:cs="Arial" w:eastAsia="Arial" w:hAnsi="Arial"/>
          <w:sz w:val="17"/>
          <w:szCs w:val="17"/>
          <w:color w:val="auto"/>
        </w:rPr>
      </w:pPr>
      <w:r>
        <w:rPr>
          <w:rFonts w:ascii="Arial" w:cs="Arial" w:eastAsia="Arial" w:hAnsi="Arial"/>
          <w:sz w:val="18"/>
          <w:szCs w:val="18"/>
          <w:color w:val="auto"/>
        </w:rPr>
        <w:t>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86" w:lineRule="exact"/>
        <w:rPr>
          <w:sz w:val="20"/>
          <w:szCs w:val="20"/>
          <w:color w:val="auto"/>
        </w:rPr>
      </w:pPr>
    </w:p>
    <w:p>
      <w:pPr>
        <w:ind w:left="540" w:hanging="532"/>
        <w:spacing w:after="0"/>
        <w:tabs>
          <w:tab w:leader="none" w:pos="5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ADVANCES OF EXPENSES; DEFENSE OF CLAIM.</w:t>
      </w:r>
    </w:p>
    <w:p>
      <w:pPr>
        <w:spacing w:after="0" w:line="229" w:lineRule="exact"/>
        <w:rPr>
          <w:sz w:val="20"/>
          <w:szCs w:val="20"/>
          <w:color w:val="auto"/>
        </w:rPr>
      </w:pPr>
    </w:p>
    <w:p>
      <w:pPr>
        <w:ind w:right="40" w:firstLine="8"/>
        <w:spacing w:after="0" w:line="273" w:lineRule="auto"/>
        <w:tabs>
          <w:tab w:leader="none" w:pos="51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67" w:name="page368"/>
    <w:bookmarkEnd w:id="367"/>
    <w:p>
      <w:pPr>
        <w:spacing w:after="0" w:line="293" w:lineRule="auto"/>
        <w:rPr>
          <w:sz w:val="20"/>
          <w:szCs w:val="20"/>
          <w:color w:val="auto"/>
        </w:rPr>
      </w:pPr>
      <w:r>
        <w:rPr>
          <w:rFonts w:ascii="Arial" w:cs="Arial" w:eastAsia="Arial" w:hAnsi="Arial"/>
          <w:sz w:val="16"/>
          <w:szCs w:val="16"/>
          <w:color w:val="auto"/>
        </w:rPr>
        <w:t>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Amended and Restated Memorandum and Articles of Association, applicable law or otherwise. This Section 10(a) shall not apply to any claim made by Indemnitee for which an indemnification, hold harmless or exoneration payment is excluded pursuant to Section 9.</w:t>
      </w:r>
    </w:p>
    <w:p>
      <w:pPr>
        <w:spacing w:after="0" w:line="165" w:lineRule="exact"/>
        <w:rPr>
          <w:sz w:val="20"/>
          <w:szCs w:val="20"/>
          <w:color w:val="auto"/>
        </w:rPr>
      </w:pPr>
    </w:p>
    <w:p>
      <w:pPr>
        <w:ind w:left="520" w:hanging="512"/>
        <w:spacing w:after="0"/>
        <w:tabs>
          <w:tab w:leader="none" w:pos="5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right="500" w:firstLine="8"/>
        <w:spacing w:after="0" w:line="277" w:lineRule="auto"/>
        <w:tabs>
          <w:tab w:leader="none" w:pos="51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166" w:lineRule="exact"/>
        <w:rPr>
          <w:sz w:val="20"/>
          <w:szCs w:val="20"/>
          <w:color w:val="auto"/>
        </w:rPr>
      </w:pPr>
    </w:p>
    <w:p>
      <w:pPr>
        <w:ind w:left="540" w:hanging="532"/>
        <w:spacing w:after="0"/>
        <w:tabs>
          <w:tab w:leader="none" w:pos="54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NOTIFICATION AND APPLICATION FOR INDEMNIFICATION.</w:t>
      </w:r>
    </w:p>
    <w:p>
      <w:pPr>
        <w:spacing w:after="0" w:line="229" w:lineRule="exact"/>
        <w:rPr>
          <w:sz w:val="20"/>
          <w:szCs w:val="20"/>
          <w:color w:val="auto"/>
        </w:rPr>
      </w:pPr>
    </w:p>
    <w:p>
      <w:pPr>
        <w:ind w:right="80" w:firstLine="8"/>
        <w:spacing w:after="0" w:line="259" w:lineRule="auto"/>
        <w:tabs>
          <w:tab w:leader="none" w:pos="51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right="20" w:firstLine="8"/>
        <w:spacing w:after="0" w:line="259" w:lineRule="auto"/>
        <w:tabs>
          <w:tab w:leader="none" w:pos="52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83" w:lineRule="exact"/>
        <w:rPr>
          <w:sz w:val="20"/>
          <w:szCs w:val="20"/>
          <w:color w:val="auto"/>
        </w:rPr>
      </w:pPr>
    </w:p>
    <w:p>
      <w:pPr>
        <w:ind w:left="540" w:hanging="532"/>
        <w:spacing w:after="0"/>
        <w:tabs>
          <w:tab w:leader="none" w:pos="5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UPON APPLICATION FOR INDEMNIFICATION.</w:t>
      </w:r>
    </w:p>
    <w:p>
      <w:pPr>
        <w:spacing w:after="0" w:line="229" w:lineRule="exact"/>
        <w:rPr>
          <w:sz w:val="20"/>
          <w:szCs w:val="20"/>
          <w:color w:val="auto"/>
        </w:rPr>
      </w:pPr>
    </w:p>
    <w:p>
      <w:pPr>
        <w:ind w:right="60" w:firstLine="8"/>
        <w:spacing w:after="0" w:line="297" w:lineRule="auto"/>
        <w:tabs>
          <w:tab w:leader="none" w:pos="50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8" w:name="page369"/>
    <w:bookmarkEnd w:id="368"/>
    <w:p>
      <w:pPr>
        <w:spacing w:after="0" w:line="291" w:lineRule="auto"/>
        <w:rPr>
          <w:sz w:val="20"/>
          <w:szCs w:val="20"/>
          <w:color w:val="auto"/>
        </w:rPr>
      </w:pPr>
      <w:r>
        <w:rPr>
          <w:rFonts w:ascii="Arial" w:cs="Arial" w:eastAsia="Arial" w:hAnsi="Arial"/>
          <w:sz w:val="16"/>
          <w:szCs w:val="16"/>
          <w:color w:val="auto"/>
        </w:rPr>
        <w:t>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67" w:lineRule="exact"/>
        <w:rPr>
          <w:sz w:val="20"/>
          <w:szCs w:val="20"/>
          <w:color w:val="auto"/>
        </w:rPr>
      </w:pPr>
    </w:p>
    <w:p>
      <w:pPr>
        <w:ind w:firstLine="8"/>
        <w:spacing w:after="0" w:line="267" w:lineRule="auto"/>
        <w:tabs>
          <w:tab w:leader="none" w:pos="52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or her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9" w:name="page370"/>
    <w:bookmarkEnd w:id="369"/>
    <w:p>
      <w:pPr>
        <w:ind w:right="360" w:firstLine="8"/>
        <w:spacing w:after="0" w:line="342" w:lineRule="auto"/>
        <w:tabs>
          <w:tab w:leader="none" w:pos="51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20" w:lineRule="exact"/>
        <w:rPr>
          <w:sz w:val="20"/>
          <w:szCs w:val="20"/>
          <w:color w:val="auto"/>
        </w:rPr>
      </w:pPr>
    </w:p>
    <w:p>
      <w:pPr>
        <w:ind w:left="540" w:hanging="532"/>
        <w:spacing w:after="0"/>
        <w:tabs>
          <w:tab w:leader="none" w:pos="5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p>
    <w:p>
      <w:pPr>
        <w:spacing w:after="0" w:line="229" w:lineRule="exact"/>
        <w:rPr>
          <w:sz w:val="20"/>
          <w:szCs w:val="20"/>
          <w:color w:val="auto"/>
        </w:rPr>
      </w:pPr>
    </w:p>
    <w:p>
      <w:pPr>
        <w:ind w:firstLine="8"/>
        <w:spacing w:after="0" w:line="271" w:lineRule="auto"/>
        <w:tabs>
          <w:tab w:leader="none" w:pos="51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ind w:firstLine="8"/>
        <w:spacing w:after="0" w:line="271" w:lineRule="auto"/>
        <w:tabs>
          <w:tab w:leader="none" w:pos="52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ind w:right="20" w:firstLine="8"/>
        <w:spacing w:after="0" w:line="257" w:lineRule="auto"/>
        <w:tabs>
          <w:tab w:leader="none" w:pos="51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0" w:name="page371"/>
    <w:bookmarkEnd w:id="370"/>
    <w:p>
      <w:pPr>
        <w:ind w:firstLine="8"/>
        <w:spacing w:after="0" w:line="271" w:lineRule="auto"/>
        <w:tabs>
          <w:tab w:leader="none" w:pos="52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78" w:lineRule="exact"/>
        <w:rPr>
          <w:rFonts w:ascii="Arial" w:cs="Arial" w:eastAsia="Arial" w:hAnsi="Arial"/>
          <w:sz w:val="17"/>
          <w:szCs w:val="17"/>
          <w:color w:val="auto"/>
        </w:rPr>
      </w:pPr>
    </w:p>
    <w:p>
      <w:pPr>
        <w:ind w:right="700" w:firstLine="8"/>
        <w:spacing w:after="0" w:line="342" w:lineRule="auto"/>
        <w:tabs>
          <w:tab w:leader="none" w:pos="51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20" w:lineRule="exact"/>
        <w:rPr>
          <w:sz w:val="20"/>
          <w:szCs w:val="20"/>
          <w:color w:val="auto"/>
        </w:rPr>
      </w:pPr>
    </w:p>
    <w:p>
      <w:pPr>
        <w:ind w:left="540" w:hanging="532"/>
        <w:spacing w:after="0"/>
        <w:tabs>
          <w:tab w:leader="none" w:pos="54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p>
    <w:p>
      <w:pPr>
        <w:spacing w:after="0" w:line="229" w:lineRule="exact"/>
        <w:rPr>
          <w:sz w:val="20"/>
          <w:szCs w:val="20"/>
          <w:color w:val="auto"/>
        </w:rPr>
      </w:pPr>
    </w:p>
    <w:p>
      <w:pPr>
        <w:ind w:firstLine="8"/>
        <w:spacing w:after="0" w:line="287" w:lineRule="auto"/>
        <w:tabs>
          <w:tab w:leader="none" w:pos="51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68" w:lineRule="exact"/>
        <w:rPr>
          <w:rFonts w:ascii="Arial" w:cs="Arial" w:eastAsia="Arial" w:hAnsi="Arial"/>
          <w:sz w:val="16"/>
          <w:szCs w:val="16"/>
          <w:color w:val="auto"/>
        </w:rPr>
      </w:pPr>
    </w:p>
    <w:p>
      <w:pPr>
        <w:ind w:right="140" w:firstLine="8"/>
        <w:spacing w:after="0" w:line="277" w:lineRule="auto"/>
        <w:tabs>
          <w:tab w:leader="none" w:pos="52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t>a de novo trial, or arbitration, on the merits and Indemnitee shall not be prejudiced by reason of that adverse determination.</w:t>
      </w:r>
    </w:p>
    <w:p>
      <w:pPr>
        <w:spacing w:after="0" w:line="225" w:lineRule="exact"/>
        <w:rPr>
          <w:sz w:val="20"/>
          <w:szCs w:val="20"/>
          <w:color w:val="auto"/>
        </w:rPr>
      </w:pPr>
    </w:p>
    <w:p>
      <w:pPr>
        <w:ind w:right="20" w:firstLine="8"/>
        <w:spacing w:after="0" w:line="255" w:lineRule="auto"/>
        <w:tabs>
          <w:tab w:leader="none" w:pos="51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9" w:lineRule="exact"/>
        <w:rPr>
          <w:rFonts w:ascii="Arial" w:cs="Arial" w:eastAsia="Arial" w:hAnsi="Arial"/>
          <w:sz w:val="18"/>
          <w:szCs w:val="18"/>
          <w:color w:val="auto"/>
        </w:rPr>
      </w:pPr>
    </w:p>
    <w:p>
      <w:pPr>
        <w:jc w:val="both"/>
        <w:ind w:firstLine="8"/>
        <w:spacing w:after="0" w:line="259" w:lineRule="auto"/>
        <w:tabs>
          <w:tab w:leader="none" w:pos="52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ind w:right="200" w:firstLine="8"/>
        <w:spacing w:after="0" w:line="264" w:lineRule="auto"/>
        <w:tabs>
          <w:tab w:leader="none" w:pos="51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1" w:lineRule="exact"/>
        <w:rPr>
          <w:rFonts w:ascii="Arial" w:cs="Arial" w:eastAsia="Arial" w:hAnsi="Arial"/>
          <w:sz w:val="18"/>
          <w:szCs w:val="18"/>
          <w:color w:val="auto"/>
        </w:rPr>
      </w:pPr>
    </w:p>
    <w:p>
      <w:pPr>
        <w:ind w:right="20" w:firstLine="8"/>
        <w:spacing w:after="0" w:line="271" w:lineRule="auto"/>
        <w:tabs>
          <w:tab w:leader="none" w:pos="492"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Amended and Restated Memorandum and Articles of Association,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ind w:right="600" w:firstLine="8"/>
        <w:spacing w:after="0" w:line="277" w:lineRule="auto"/>
        <w:tabs>
          <w:tab w:leader="none" w:pos="52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72" w:name="page373"/>
    <w:bookmarkEnd w:id="372"/>
    <w:p>
      <w:pPr>
        <w:ind w:right="860"/>
        <w:spacing w:after="0" w:line="308" w:lineRule="auto"/>
        <w:rPr>
          <w:sz w:val="20"/>
          <w:szCs w:val="20"/>
          <w:color w:val="auto"/>
        </w:rPr>
      </w:pPr>
      <w:r>
        <w:rPr>
          <w:rFonts w:ascii="Arial" w:cs="Arial" w:eastAsia="Arial" w:hAnsi="Arial"/>
          <w:sz w:val="17"/>
          <w:szCs w:val="17"/>
          <w:color w:val="auto"/>
        </w:rPr>
        <w:t>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43" w:lineRule="exact"/>
        <w:rPr>
          <w:sz w:val="20"/>
          <w:szCs w:val="20"/>
          <w:color w:val="auto"/>
        </w:rPr>
      </w:pPr>
    </w:p>
    <w:p>
      <w:pPr>
        <w:ind w:right="80" w:firstLine="8"/>
        <w:spacing w:after="0" w:line="261" w:lineRule="auto"/>
        <w:tabs>
          <w:tab w:leader="none" w:pos="5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 Section 27, to the extent requested by Indemnitee and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0" w:lineRule="exact"/>
        <w:rPr>
          <w:rFonts w:ascii="Arial" w:cs="Arial" w:eastAsia="Arial" w:hAnsi="Arial"/>
          <w:sz w:val="18"/>
          <w:szCs w:val="18"/>
          <w:b w:val="1"/>
          <w:bCs w:val="1"/>
          <w:color w:val="auto"/>
        </w:rPr>
      </w:pPr>
    </w:p>
    <w:p>
      <w:pPr>
        <w:ind w:left="540" w:hanging="532"/>
        <w:spacing w:after="0"/>
        <w:tabs>
          <w:tab w:leader="none" w:pos="5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p>
    <w:p>
      <w:pPr>
        <w:spacing w:after="0" w:line="229" w:lineRule="exact"/>
        <w:rPr>
          <w:sz w:val="20"/>
          <w:szCs w:val="20"/>
          <w:color w:val="auto"/>
        </w:rPr>
      </w:pPr>
    </w:p>
    <w:p>
      <w:pPr>
        <w:ind w:right="80" w:firstLine="8"/>
        <w:spacing w:after="0" w:line="287" w:lineRule="auto"/>
        <w:tabs>
          <w:tab w:leader="none" w:pos="51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rights of Indemnitee as provided by this Agreement shall not be deemed exclusive of any other rights to which Indemnitee may at any time be entitled under applicable law, the Amended and Restated Memorandum and Articles of Association, any agreement, a vote of shareholders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Amended and Restated Memorandum and Articles of Association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2" w:lineRule="exact"/>
        <w:rPr>
          <w:rFonts w:ascii="Arial" w:cs="Arial" w:eastAsia="Arial" w:hAnsi="Arial"/>
          <w:sz w:val="16"/>
          <w:szCs w:val="16"/>
          <w:color w:val="auto"/>
        </w:rPr>
      </w:pPr>
    </w:p>
    <w:p>
      <w:pPr>
        <w:ind w:firstLine="8"/>
        <w:spacing w:after="0" w:line="272" w:lineRule="auto"/>
        <w:tabs>
          <w:tab w:leader="none" w:pos="522"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Companies Law and the Amended and Restated Memorandum and Articles of Association permit the Company to purchase and maintain insurance or furnish similar protection or make other arrangements including, but not limited to, providing a trust fund, letter of credit, or surety bond (“</w:t>
      </w:r>
      <w:r>
        <w:rPr>
          <w:rFonts w:ascii="Arial" w:cs="Arial" w:eastAsia="Arial" w:hAnsi="Arial"/>
          <w:sz w:val="17"/>
          <w:szCs w:val="17"/>
          <w:b w:val="1"/>
          <w:bCs w:val="1"/>
          <w:i w:val="1"/>
          <w:iCs w:val="1"/>
          <w:color w:val="auto"/>
        </w:rPr>
        <w:t>Indemnification Arrangements</w:t>
      </w:r>
      <w:r>
        <w:rPr>
          <w:rFonts w:ascii="Arial" w:cs="Arial" w:eastAsia="Arial" w:hAnsi="Arial"/>
          <w:sz w:val="17"/>
          <w:szCs w:val="17"/>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Companies Law,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73" w:name="page374"/>
    <w:bookmarkEnd w:id="373"/>
    <w:p>
      <w:pPr>
        <w:ind w:right="280"/>
        <w:spacing w:after="0" w:line="277" w:lineRule="auto"/>
        <w:rPr>
          <w:sz w:val="20"/>
          <w:szCs w:val="20"/>
          <w:color w:val="auto"/>
        </w:rPr>
      </w:pPr>
      <w:r>
        <w:rPr>
          <w:rFonts w:ascii="Arial" w:cs="Arial" w:eastAsia="Arial" w:hAnsi="Arial"/>
          <w:sz w:val="18"/>
          <w:szCs w:val="18"/>
          <w:color w:val="auto"/>
        </w:rPr>
        <w:t>this Agreement by the Company and Indemnitee shall not in any way limit or affect the rights and obligations of the Company or the other party or parties thereto under any such Indemnification Arrangement.</w:t>
      </w:r>
    </w:p>
    <w:p>
      <w:pPr>
        <w:spacing w:after="0" w:line="170" w:lineRule="exact"/>
        <w:rPr>
          <w:sz w:val="20"/>
          <w:szCs w:val="20"/>
          <w:color w:val="auto"/>
        </w:rPr>
      </w:pPr>
    </w:p>
    <w:p>
      <w:pPr>
        <w:ind w:firstLine="8"/>
        <w:spacing w:after="0" w:line="271" w:lineRule="auto"/>
        <w:tabs>
          <w:tab w:leader="none" w:pos="512"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78" w:lineRule="exact"/>
        <w:rPr>
          <w:rFonts w:ascii="Arial" w:cs="Arial" w:eastAsia="Arial" w:hAnsi="Arial"/>
          <w:sz w:val="17"/>
          <w:szCs w:val="17"/>
          <w:color w:val="auto"/>
        </w:rPr>
      </w:pPr>
    </w:p>
    <w:p>
      <w:pPr>
        <w:ind w:right="40" w:firstLine="8"/>
        <w:spacing w:after="0" w:line="259" w:lineRule="auto"/>
        <w:tabs>
          <w:tab w:leader="none" w:pos="52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including with respect to any insurance. The Indemnitee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6" w:lineRule="exact"/>
        <w:rPr>
          <w:rFonts w:ascii="Arial" w:cs="Arial" w:eastAsia="Arial" w:hAnsi="Arial"/>
          <w:sz w:val="18"/>
          <w:szCs w:val="18"/>
          <w:color w:val="auto"/>
        </w:rPr>
      </w:pPr>
    </w:p>
    <w:p>
      <w:pPr>
        <w:ind w:right="140" w:firstLine="8"/>
        <w:spacing w:after="0" w:line="290" w:lineRule="auto"/>
        <w:tabs>
          <w:tab w:leader="none" w:pos="512"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66" w:lineRule="exact"/>
        <w:rPr>
          <w:rFonts w:ascii="Arial" w:cs="Arial" w:eastAsia="Arial" w:hAnsi="Arial"/>
          <w:sz w:val="16"/>
          <w:szCs w:val="16"/>
          <w:color w:val="auto"/>
        </w:rPr>
      </w:pPr>
    </w:p>
    <w:p>
      <w:pPr>
        <w:ind w:right="600" w:firstLine="8"/>
        <w:spacing w:after="0" w:line="277" w:lineRule="auto"/>
        <w:tabs>
          <w:tab w:leader="none" w:pos="49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Notwithstanding anything contained herein, the Company is the primary indemnitor, and any indemnification or advancement obligation of the Sponsor or its affiliates is secondary.</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4" w:name="page375"/>
    <w:bookmarkEnd w:id="374"/>
    <w:p>
      <w:pPr>
        <w:ind w:right="80" w:firstLine="8"/>
        <w:spacing w:after="0" w:line="295" w:lineRule="auto"/>
        <w:tabs>
          <w:tab w:leader="none" w:pos="540"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AGREEMENT</w:t>
      </w:r>
      <w:r>
        <w:rPr>
          <w:rFonts w:ascii="Arial" w:cs="Arial" w:eastAsia="Arial" w:hAnsi="Arial"/>
          <w:sz w:val="16"/>
          <w:szCs w:val="16"/>
          <w:color w:val="auto"/>
        </w:rPr>
        <w:t>. All agreements and obligations of the Company contained herein shall continue during the period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55" w:lineRule="exact"/>
        <w:rPr>
          <w:rFonts w:ascii="Arial" w:cs="Arial" w:eastAsia="Arial" w:hAnsi="Arial"/>
          <w:sz w:val="16"/>
          <w:szCs w:val="16"/>
          <w:b w:val="1"/>
          <w:bCs w:val="1"/>
          <w:color w:val="auto"/>
        </w:rPr>
      </w:pPr>
    </w:p>
    <w:p>
      <w:pPr>
        <w:ind w:firstLine="8"/>
        <w:spacing w:after="0" w:line="255" w:lineRule="auto"/>
        <w:tabs>
          <w:tab w:leader="none" w:pos="54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or provisions of this Agreement shall be held to be invalid, illegal or unenforceable for any reason whatsoever: (a)</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5" w:lineRule="exact"/>
        <w:rPr>
          <w:rFonts w:ascii="Arial" w:cs="Arial" w:eastAsia="Arial" w:hAnsi="Arial"/>
          <w:sz w:val="18"/>
          <w:szCs w:val="18"/>
          <w:b w:val="1"/>
          <w:bCs w:val="1"/>
          <w:color w:val="auto"/>
        </w:rPr>
      </w:pPr>
    </w:p>
    <w:p>
      <w:pPr>
        <w:ind w:left="540" w:hanging="532"/>
        <w:spacing w:after="0"/>
        <w:tabs>
          <w:tab w:leader="none" w:pos="54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p>
    <w:p>
      <w:pPr>
        <w:spacing w:after="0" w:line="229" w:lineRule="exact"/>
        <w:rPr>
          <w:sz w:val="20"/>
          <w:szCs w:val="20"/>
          <w:color w:val="auto"/>
        </w:rPr>
      </w:pPr>
    </w:p>
    <w:p>
      <w:pPr>
        <w:ind w:right="400" w:firstLine="8"/>
        <w:spacing w:after="0" w:line="264" w:lineRule="auto"/>
        <w:tabs>
          <w:tab w:leader="none" w:pos="51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1" w:lineRule="exact"/>
        <w:rPr>
          <w:rFonts w:ascii="Arial" w:cs="Arial" w:eastAsia="Arial" w:hAnsi="Arial"/>
          <w:sz w:val="18"/>
          <w:szCs w:val="18"/>
          <w:color w:val="auto"/>
        </w:rPr>
      </w:pPr>
    </w:p>
    <w:p>
      <w:pPr>
        <w:jc w:val="both"/>
        <w:ind w:right="140" w:firstLine="8"/>
        <w:spacing w:after="0" w:line="312" w:lineRule="auto"/>
        <w:tabs>
          <w:tab w:leader="none" w:pos="52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Amended and Restated Memorandum and Articles of Association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6" w:lineRule="exact"/>
        <w:rPr>
          <w:rFonts w:ascii="Arial" w:cs="Arial" w:eastAsia="Arial" w:hAnsi="Arial"/>
          <w:sz w:val="16"/>
          <w:szCs w:val="16"/>
          <w:color w:val="auto"/>
        </w:rPr>
      </w:pPr>
    </w:p>
    <w:p>
      <w:pPr>
        <w:ind w:right="60" w:firstLine="8"/>
        <w:spacing w:after="0" w:line="259" w:lineRule="auto"/>
        <w:tabs>
          <w:tab w:leader="none" w:pos="51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75" w:name="page376"/>
    <w:bookmarkEnd w:id="375"/>
    <w:p>
      <w:pPr>
        <w:ind w:right="20"/>
        <w:spacing w:after="0" w:line="342" w:lineRule="auto"/>
        <w:rPr>
          <w:sz w:val="20"/>
          <w:szCs w:val="20"/>
          <w:color w:val="auto"/>
        </w:rPr>
      </w:pPr>
      <w:r>
        <w:rPr>
          <w:rFonts w:ascii="Arial" w:cs="Arial" w:eastAsia="Arial" w:hAnsi="Arial"/>
          <w:sz w:val="16"/>
          <w:szCs w:val="16"/>
          <w:color w:val="auto"/>
        </w:rPr>
        <w:t>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24" w:lineRule="exact"/>
        <w:rPr>
          <w:sz w:val="20"/>
          <w:szCs w:val="20"/>
          <w:color w:val="auto"/>
        </w:rPr>
      </w:pPr>
    </w:p>
    <w:p>
      <w:pPr>
        <w:ind w:firstLine="8"/>
        <w:spacing w:after="0" w:line="259" w:lineRule="auto"/>
        <w:tabs>
          <w:tab w:leader="none" w:pos="52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ind w:right="20" w:firstLine="8"/>
        <w:spacing w:after="0" w:line="270" w:lineRule="auto"/>
        <w:tabs>
          <w:tab w:leader="none" w:pos="512"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Company hereby waives any such requirement of such a bond or undertaking to the fullest extent permitted by law.</w:t>
      </w:r>
    </w:p>
    <w:p>
      <w:pPr>
        <w:spacing w:after="0" w:line="178" w:lineRule="exact"/>
        <w:rPr>
          <w:sz w:val="20"/>
          <w:szCs w:val="20"/>
          <w:color w:val="auto"/>
        </w:rPr>
      </w:pPr>
    </w:p>
    <w:p>
      <w:pPr>
        <w:ind w:right="20" w:firstLine="8"/>
        <w:spacing w:after="0" w:line="266" w:lineRule="auto"/>
        <w:tabs>
          <w:tab w:leader="none" w:pos="54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AND WAIVER. </w:t>
      </w:r>
      <w:r>
        <w:rPr>
          <w:rFonts w:ascii="Arial" w:cs="Arial" w:eastAsia="Arial" w:hAnsi="Arial"/>
          <w:sz w:val="18"/>
          <w:szCs w:val="18"/>
          <w:color w:val="auto"/>
        </w:rPr>
        <w:t>No supplement, modification or amendment of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Indemnitee. No waiver of any of the provisions of this Agreement shall be deemed or shall constitute a waiver of any other provisions of this Agreement nor shall any waiver constitute a continuing waiver.</w:t>
      </w:r>
    </w:p>
    <w:p>
      <w:pPr>
        <w:spacing w:after="0" w:line="176" w:lineRule="exact"/>
        <w:rPr>
          <w:rFonts w:ascii="Arial" w:cs="Arial" w:eastAsia="Arial" w:hAnsi="Arial"/>
          <w:sz w:val="18"/>
          <w:szCs w:val="18"/>
          <w:b w:val="1"/>
          <w:bCs w:val="1"/>
          <w:color w:val="auto"/>
        </w:rPr>
      </w:pPr>
    </w:p>
    <w:p>
      <w:pPr>
        <w:ind w:right="20" w:firstLine="8"/>
        <w:spacing w:after="0" w:line="289" w:lineRule="auto"/>
        <w:tabs>
          <w:tab w:leader="none" w:pos="540"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requests, demands and other communications under this Agreement shall be in writing and shall be deemed to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2" w:lineRule="exact"/>
        <w:rPr>
          <w:sz w:val="20"/>
          <w:szCs w:val="20"/>
          <w:color w:val="auto"/>
        </w:rPr>
      </w:pPr>
    </w:p>
    <w:p>
      <w:pPr>
        <w:ind w:right="180" w:firstLine="8"/>
        <w:spacing w:after="0" w:line="277" w:lineRule="auto"/>
        <w:tabs>
          <w:tab w:leader="none" w:pos="51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color w:val="auto"/>
        </w:rPr>
        <w:t>1114 6th Ave, 41st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Derek Dostal,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8"/>
        <w:spacing w:after="0" w:line="289" w:lineRule="auto"/>
        <w:tabs>
          <w:tab w:leader="none" w:pos="530"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APPLICABLE LAW AND CONSENT TO JURISDICTION. </w:t>
      </w:r>
      <w:r>
        <w:rPr>
          <w:rFonts w:ascii="Arial" w:cs="Arial" w:eastAsia="Arial" w:hAnsi="Arial"/>
          <w:sz w:val="16"/>
          <w:szCs w:val="16"/>
          <w:color w:val="auto"/>
        </w:rPr>
        <w:t>This Agreement and the legal relations among the parties shall be governed by,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enforced in accordance with, the laws of the State of New York, without regard to its conflict of laws rules. Except with respect 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161" w:lineRule="exact"/>
        <w:rPr>
          <w:rFonts w:ascii="Arial" w:cs="Arial" w:eastAsia="Arial" w:hAnsi="Arial"/>
          <w:sz w:val="16"/>
          <w:szCs w:val="16"/>
          <w:b w:val="1"/>
          <w:bCs w:val="1"/>
          <w:color w:val="auto"/>
        </w:rPr>
      </w:pPr>
    </w:p>
    <w:p>
      <w:pPr>
        <w:ind w:firstLine="8"/>
        <w:spacing w:after="0" w:line="266" w:lineRule="auto"/>
        <w:tabs>
          <w:tab w:leader="none" w:pos="5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IDENTICAL COUNTERPARTS. </w:t>
      </w:r>
      <w:r>
        <w:rPr>
          <w:rFonts w:ascii="Arial" w:cs="Arial" w:eastAsia="Arial" w:hAnsi="Arial"/>
          <w:sz w:val="18"/>
          <w:szCs w:val="18"/>
          <w:color w:val="auto"/>
        </w:rPr>
        <w:t>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rFonts w:ascii="Arial" w:cs="Arial" w:eastAsia="Arial" w:hAnsi="Arial"/>
          <w:sz w:val="18"/>
          <w:szCs w:val="18"/>
          <w:b w:val="1"/>
          <w:bCs w:val="1"/>
          <w:color w:val="auto"/>
        </w:rPr>
      </w:pPr>
    </w:p>
    <w:p>
      <w:pPr>
        <w:ind w:right="20" w:firstLine="8"/>
        <w:spacing w:after="0" w:line="266" w:lineRule="auto"/>
        <w:tabs>
          <w:tab w:leader="none" w:pos="5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Use of the masculine pronoun shall be deemed to include usage of the feminine pronoun where appropriate. The headings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paragraphs of this Agreement are inserted for convenience only and shall not be deemed to constitute part of this Agreement or to affect the construction thereof.</w:t>
      </w:r>
    </w:p>
    <w:p>
      <w:pPr>
        <w:spacing w:after="0" w:line="176" w:lineRule="exact"/>
        <w:rPr>
          <w:rFonts w:ascii="Arial" w:cs="Arial" w:eastAsia="Arial" w:hAnsi="Arial"/>
          <w:sz w:val="18"/>
          <w:szCs w:val="18"/>
          <w:b w:val="1"/>
          <w:bCs w:val="1"/>
          <w:color w:val="auto"/>
        </w:rPr>
      </w:pPr>
    </w:p>
    <w:p>
      <w:pPr>
        <w:ind w:right="200" w:firstLine="8"/>
        <w:spacing w:after="0" w:line="282" w:lineRule="auto"/>
        <w:tabs>
          <w:tab w:leader="none" w:pos="5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PERIOD OF LIMITATIONS. </w:t>
      </w:r>
      <w:r>
        <w:rPr>
          <w:rFonts w:ascii="Arial" w:cs="Arial" w:eastAsia="Arial" w:hAnsi="Arial"/>
          <w:sz w:val="18"/>
          <w:szCs w:val="18"/>
          <w:color w:val="auto"/>
        </w:rPr>
        <w:t>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Indemnitee’s spouse, heirs, executors or personal or legal representatives after the</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85" w:right="379" w:bottom="1440" w:gutter="0" w:footer="0" w:header="0"/>
        </w:sectPr>
      </w:pPr>
    </w:p>
    <w:bookmarkStart w:id="377" w:name="page378"/>
    <w:bookmarkEnd w:id="377"/>
    <w:p>
      <w:pPr>
        <w:ind w:right="180"/>
        <w:spacing w:after="0" w:line="264" w:lineRule="auto"/>
        <w:rPr>
          <w:sz w:val="20"/>
          <w:szCs w:val="20"/>
          <w:color w:val="auto"/>
        </w:rPr>
      </w:pPr>
      <w:r>
        <w:rPr>
          <w:rFonts w:ascii="Arial" w:cs="Arial" w:eastAsia="Arial" w:hAnsi="Arial"/>
          <w:sz w:val="18"/>
          <w:szCs w:val="18"/>
          <w:color w:val="auto"/>
        </w:rPr>
        <w:t>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7" w:lineRule="exact"/>
        <w:rPr>
          <w:sz w:val="20"/>
          <w:szCs w:val="20"/>
          <w:color w:val="auto"/>
        </w:rPr>
      </w:pPr>
    </w:p>
    <w:p>
      <w:pPr>
        <w:jc w:val="both"/>
        <w:ind w:right="140" w:firstLine="8"/>
        <w:spacing w:after="0" w:line="266" w:lineRule="auto"/>
        <w:tabs>
          <w:tab w:leader="none" w:pos="53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ACTS. </w:t>
      </w:r>
      <w:r>
        <w:rPr>
          <w:rFonts w:ascii="Arial" w:cs="Arial" w:eastAsia="Arial" w:hAnsi="Arial"/>
          <w:sz w:val="18"/>
          <w:szCs w:val="18"/>
          <w:color w:val="auto"/>
        </w:rPr>
        <w:t>If for the validation of any of the provisions in this Agreement any act, resolution, approval or other procedure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fullest extent permitted by law, the Company undertakes to cause such act, resolution, approval or other procedure to be affected or adopted in a manner that will enable the Company to fulfill its obligations under this Agreement.</w:t>
      </w:r>
    </w:p>
    <w:p>
      <w:pPr>
        <w:spacing w:after="0" w:line="176" w:lineRule="exact"/>
        <w:rPr>
          <w:rFonts w:ascii="Arial" w:cs="Arial" w:eastAsia="Arial" w:hAnsi="Arial"/>
          <w:sz w:val="18"/>
          <w:szCs w:val="18"/>
          <w:b w:val="1"/>
          <w:bCs w:val="1"/>
          <w:color w:val="auto"/>
        </w:rPr>
      </w:pPr>
    </w:p>
    <w:p>
      <w:pPr>
        <w:jc w:val="both"/>
        <w:ind w:firstLine="8"/>
        <w:spacing w:after="0" w:line="281" w:lineRule="auto"/>
        <w:tabs>
          <w:tab w:leader="none" w:pos="537"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CLAIMS TO TRUST ACCOUNT. </w:t>
      </w:r>
      <w:r>
        <w:rPr>
          <w:rFonts w:ascii="Arial" w:cs="Arial" w:eastAsia="Arial" w:hAnsi="Arial"/>
          <w:sz w:val="17"/>
          <w:szCs w:val="17"/>
          <w:color w:val="auto"/>
        </w:rPr>
        <w:t>Indemnitee hereby agrees that he or she does not have any right, title, interest or claim of any kind</w:t>
      </w:r>
      <w:r>
        <w:rPr>
          <w:rFonts w:ascii="Arial" w:cs="Arial" w:eastAsia="Arial" w:hAnsi="Arial"/>
          <w:sz w:val="17"/>
          <w:szCs w:val="17"/>
          <w:b w:val="1"/>
          <w:bCs w:val="1"/>
          <w:color w:val="auto"/>
        </w:rPr>
        <w:t xml:space="preserve"> </w:t>
      </w:r>
      <w:r>
        <w:rPr>
          <w:rFonts w:ascii="Arial" w:cs="Arial" w:eastAsia="Arial" w:hAnsi="Arial"/>
          <w:sz w:val="17"/>
          <w:szCs w:val="17"/>
          <w:color w:val="auto"/>
        </w:rPr>
        <w:t>(each,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w:t>
      </w:r>
    </w:p>
    <w:p>
      <w:pPr>
        <w:spacing w:after="0" w:line="164" w:lineRule="exact"/>
        <w:rPr>
          <w:rFonts w:ascii="Arial" w:cs="Arial" w:eastAsia="Arial" w:hAnsi="Arial"/>
          <w:sz w:val="17"/>
          <w:szCs w:val="17"/>
          <w:b w:val="1"/>
          <w:bCs w:val="1"/>
          <w:color w:val="auto"/>
        </w:rPr>
      </w:pPr>
    </w:p>
    <w:p>
      <w:pPr>
        <w:ind w:right="180" w:firstLine="8"/>
        <w:spacing w:after="0" w:line="273" w:lineRule="auto"/>
        <w:tabs>
          <w:tab w:leader="none" w:pos="540"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MAINTENANCE OF INSURANCE. </w:t>
      </w:r>
      <w:r>
        <w:rPr>
          <w:rFonts w:ascii="Arial" w:cs="Arial" w:eastAsia="Arial" w:hAnsi="Arial"/>
          <w:sz w:val="17"/>
          <w:szCs w:val="17"/>
          <w:color w:val="auto"/>
        </w:rPr>
        <w:t>The Company shall use commercially reasonable efforts to obtain and maintain in effect during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8" w:name="page379"/>
    <w:bookmarkEnd w:id="37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5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-130175</wp:posOffset>
            </wp:positionV>
            <wp:extent cx="282130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1114 6th Ave, 41st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letter will confirm our agreement that, commencing on the effective date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of the registration statement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for the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of the securities of Silver Spike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continuing until the earlier of</w:t>
      </w:r>
    </w:p>
    <w:p>
      <w:pPr>
        <w:ind w:right="20" w:firstLine="8"/>
        <w:spacing w:after="0" w:line="253" w:lineRule="auto"/>
        <w:tabs>
          <w:tab w:leader="none" w:pos="21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consummation by the Company of an initial business combination and (ii) the Company’s liquidation (in each case as described in the Registration Statement) (such earlier date hereinafter referred to as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Silver Spike Sponsor, LLC shall make available to the Company certain office space and administrative and support services as may be required by the Company from time to time, at 1114 6th Ave, 41st Floor, New York, New York 10036. In exchange therefore, the Company shall pay Silver Spike Sponsor, LLC $20,000 per month on the Effective Date and continuing monthly thereafter until the Termination Date.</w:t>
      </w:r>
    </w:p>
    <w:p>
      <w:pPr>
        <w:spacing w:after="0" w:line="19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Silver Spike Sponsor, LLC hereby agrees that it does not have any right, title, interest or claim of any kind in or to any monies that may be set aside in a trust account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 that may be established upon the consummation of the IPO and will not seek recourse against the Trust Account for any reason whatsoever.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may not be amended, modified or waived as to any particular provision, except by a written instrument executed by the parties hereto.</w:t>
      </w:r>
    </w:p>
    <w:p>
      <w:pPr>
        <w:spacing w:after="0" w:line="23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 party hereto may assign this agreement or any rights, interests or contracted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agreement shall be governed by, construed in accordance with, and interpreted pursuant to the laws of the State of New York, without giving effect to its choice of law principles.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-130810</wp:posOffset>
            </wp:positionV>
            <wp:extent cx="182689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Sponsor,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89" w:lineRule="exact"/>
        <w:rPr>
          <w:sz w:val="20"/>
          <w:szCs w:val="20"/>
          <w:color w:val="auto"/>
        </w:rPr>
      </w:pPr>
    </w:p>
    <w:p>
      <w:pPr>
        <w:jc w:val="right"/>
        <w:ind w:right="2519"/>
        <w:spacing w:after="0"/>
        <w:rPr>
          <w:sz w:val="20"/>
          <w:szCs w:val="20"/>
          <w:color w:val="auto"/>
        </w:rPr>
      </w:pPr>
      <w:r>
        <w:rPr>
          <w:rFonts w:ascii="Arial" w:cs="Arial" w:eastAsia="Arial" w:hAnsi="Arial"/>
          <w:sz w:val="18"/>
          <w:szCs w:val="18"/>
          <w:i w:val="1"/>
          <w:iCs w:val="1"/>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Silver Spike Acquisition Corp. on Amendment No. 1 to Form S-1, File No. 333-232734, of our report dated June 20, 2019, which includes an explanatory paragraph as to the Company’s ability to continue as a going concern, with respect to our audit of the financial statements of Silver Spike Acquisition Corp. as of June 11, 2019 and for the period from June 7, 2019 (inception) through June 11, 2019,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filing by Silver Spike Acquisition Corp. of the Registration Statement on Form S-1 with the Securities and Exchange Commission under the Securities Act of 1933, as amended (the “Securities Act”), I hereby consent, pursuant to Rule 438 of the Securities Act, to being named as a nominee to the board of directors of Silver Spike Acquisition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Dated: July 22, 2019</w:t>
            </w:r>
          </w:p>
        </w:tc>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Orrin Devinsky</w:t>
            </w:r>
          </w:p>
        </w:tc>
      </w:tr>
      <w:tr>
        <w:trPr>
          <w:trHeight w:val="224"/>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Signature</w:t>
            </w:r>
          </w:p>
        </w:tc>
      </w:tr>
      <w:tr>
        <w:trPr>
          <w:trHeight w:val="1039"/>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filing by Silver Spike Acquisition Corp. of the Registration Statement on Form S-1 with the Securities and Exchange Commission under the Securities Act of 1933, as amended (the “Securities Act”), I hereby consent, pursuant to Rule 438 of the Securities Act, to being named as a nominee to the board of directors of Silver Spike Acquisition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Dated: July 22, 2019</w:t>
            </w:r>
          </w:p>
        </w:tc>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M. Goldman</w:t>
            </w:r>
          </w:p>
        </w:tc>
      </w:tr>
      <w:tr>
        <w:trPr>
          <w:trHeight w:val="224"/>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Signature</w:t>
            </w:r>
          </w:p>
        </w:tc>
      </w:tr>
      <w:tr>
        <w:trPr>
          <w:trHeight w:val="1039"/>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filing by Silver Spike Acquisition Corp. of the Registration Statement on Form S-1 with the Securities and Exchange Commission under the Securities Act of 1933, as amended (the “Securities Act”), I hereby consent, pursuant to Rule 438 of the Securities Act, to being named as a nominee to the board of directors of Silver Spike Acquisition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Dated: July 22, 2019</w:t>
            </w:r>
          </w:p>
        </w:tc>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Kenneth H. Landis</w:t>
            </w:r>
          </w:p>
        </w:tc>
      </w:tr>
      <w:tr>
        <w:trPr>
          <w:trHeight w:val="224"/>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Signature</w:t>
            </w:r>
          </w:p>
        </w:tc>
      </w:tr>
      <w:tr>
        <w:trPr>
          <w:trHeight w:val="796"/>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819E7F"/>
    <w:multiLevelType w:val="hybridMultilevel"/>
    <w:lvl w:ilvl="0">
      <w:lvlJc w:val="left"/>
      <w:lvlText w:val="(%1)"/>
      <w:numFmt w:val="decimal"/>
      <w:start w:val="1"/>
    </w:lvl>
  </w:abstractNum>
  <w:abstractNum w:abstractNumId="1">
    <w:nsid w:val="57C7D42D"/>
    <w:multiLevelType w:val="hybridMultilevel"/>
    <w:lvl w:ilvl="0">
      <w:lvlJc w:val="left"/>
      <w:lvlText w:val="(%1)"/>
      <w:numFmt w:val="decimal"/>
      <w:start w:val="1"/>
    </w:lvl>
  </w:abstractNum>
  <w:abstractNum w:abstractNumId="2">
    <w:nsid w:val="312167AD"/>
    <w:multiLevelType w:val="hybridMultilevel"/>
    <w:lvl w:ilvl="0">
      <w:lvlJc w:val="left"/>
      <w:lvlText w:val="·"/>
      <w:numFmt w:val="bullet"/>
      <w:start w:val="1"/>
    </w:lvl>
  </w:abstractNum>
  <w:abstractNum w:abstractNumId="3">
    <w:nsid w:val="631B64D4"/>
    <w:multiLevelType w:val="hybridMultilevel"/>
    <w:lvl w:ilvl="0">
      <w:lvlJc w:val="left"/>
      <w:lvlText w:val="·"/>
      <w:numFmt w:val="bullet"/>
      <w:start w:val="1"/>
    </w:lvl>
  </w:abstractNum>
  <w:abstractNum w:abstractNumId="4">
    <w:nsid w:val="78B5E776"/>
    <w:multiLevelType w:val="hybridMultilevel"/>
    <w:lvl w:ilvl="0">
      <w:lvlJc w:val="left"/>
      <w:lvlText w:val="&amp;"/>
      <w:numFmt w:val="bullet"/>
      <w:start w:val="1"/>
    </w:lvl>
  </w:abstractNum>
  <w:abstractNum w:abstractNumId="5">
    <w:nsid w:val="75486E47"/>
    <w:multiLevelType w:val="hybridMultilevel"/>
    <w:lvl w:ilvl="0">
      <w:lvlJc w:val="left"/>
      <w:lvlText w:val="·"/>
      <w:numFmt w:val="bullet"/>
      <w:start w:val="1"/>
    </w:lvl>
  </w:abstractNum>
  <w:abstractNum w:abstractNumId="6">
    <w:nsid w:val="6E534CDE"/>
    <w:multiLevelType w:val="hybridMultilevel"/>
    <w:lvl w:ilvl="0">
      <w:lvlJc w:val="left"/>
      <w:lvlText w:val="·"/>
      <w:numFmt w:val="bullet"/>
      <w:start w:val="1"/>
    </w:lvl>
  </w:abstractNum>
  <w:abstractNum w:abstractNumId="7">
    <w:nsid w:val="1A0DDE32"/>
    <w:multiLevelType w:val="hybridMultilevel"/>
    <w:lvl w:ilvl="0">
      <w:lvlJc w:val="left"/>
      <w:lvlText w:val="(%1)"/>
      <w:numFmt w:val="decimal"/>
      <w:start w:val="1"/>
    </w:lvl>
  </w:abstractNum>
  <w:abstractNum w:abstractNumId="8">
    <w:nsid w:val="65968C1C"/>
    <w:multiLevelType w:val="hybridMultilevel"/>
    <w:lvl w:ilvl="0">
      <w:lvlJc w:val="left"/>
      <w:lvlText w:val="·"/>
      <w:numFmt w:val="bullet"/>
      <w:start w:val="1"/>
    </w:lvl>
  </w:abstractNum>
  <w:abstractNum w:abstractNumId="9">
    <w:nsid w:val="46263DEC"/>
    <w:multiLevelType w:val="hybridMultilevel"/>
    <w:lvl w:ilvl="0">
      <w:lvlJc w:val="left"/>
      <w:lvlText w:val="·"/>
      <w:numFmt w:val="bullet"/>
      <w:start w:val="1"/>
    </w:lvl>
  </w:abstractNum>
  <w:abstractNum w:abstractNumId="10">
    <w:nsid w:val="260D8C4A"/>
    <w:multiLevelType w:val="hybridMultilevel"/>
    <w:lvl w:ilvl="0">
      <w:lvlJc w:val="left"/>
      <w:lvlText w:val="·"/>
      <w:numFmt w:val="bullet"/>
      <w:start w:val="1"/>
    </w:lvl>
  </w:abstractNum>
  <w:abstractNum w:abstractNumId="11">
    <w:nsid w:val="73D4D3C4"/>
    <w:multiLevelType w:val="hybridMultilevel"/>
    <w:lvl w:ilvl="0">
      <w:lvlJc w:val="left"/>
      <w:lvlText w:val="(%1)"/>
      <w:numFmt w:val="decimal"/>
      <w:start w:val="2"/>
    </w:lvl>
  </w:abstractNum>
  <w:abstractNum w:abstractNumId="12">
    <w:nsid w:val="746F2E30"/>
    <w:multiLevelType w:val="hybridMultilevel"/>
    <w:lvl w:ilvl="0">
      <w:lvlJc w:val="left"/>
      <w:lvlText w:val="·"/>
      <w:numFmt w:val="bullet"/>
      <w:start w:val="1"/>
    </w:lvl>
  </w:abstractNum>
  <w:abstractNum w:abstractNumId="13">
    <w:nsid w:val="6FDE8AF6"/>
    <w:multiLevelType w:val="hybridMultilevel"/>
    <w:lvl w:ilvl="0">
      <w:lvlJc w:val="left"/>
      <w:lvlText w:val="·"/>
      <w:numFmt w:val="bullet"/>
      <w:start w:val="1"/>
    </w:lvl>
  </w:abstractNum>
  <w:abstractNum w:abstractNumId="14">
    <w:nsid w:val="3FC32E20"/>
    <w:multiLevelType w:val="hybridMultilevel"/>
    <w:lvl w:ilvl="0">
      <w:lvlJc w:val="left"/>
      <w:lvlText w:val="·"/>
      <w:numFmt w:val="bullet"/>
      <w:start w:val="1"/>
    </w:lvl>
  </w:abstractNum>
  <w:abstractNum w:abstractNumId="15">
    <w:nsid w:val="49C0E823"/>
    <w:multiLevelType w:val="hybridMultilevel"/>
    <w:lvl w:ilvl="0">
      <w:lvlJc w:val="left"/>
      <w:lvlText w:val="·"/>
      <w:numFmt w:val="bullet"/>
      <w:start w:val="1"/>
    </w:lvl>
  </w:abstractNum>
  <w:abstractNum w:abstractNumId="16">
    <w:nsid w:val="14D53685"/>
    <w:multiLevelType w:val="hybridMultilevel"/>
    <w:lvl w:ilvl="0">
      <w:lvlJc w:val="left"/>
      <w:lvlText w:val="(%1)"/>
      <w:numFmt w:val="decimal"/>
      <w:start w:val="2"/>
    </w:lvl>
  </w:abstractNum>
  <w:abstractNum w:abstractNumId="17">
    <w:nsid w:val="230F856C"/>
    <w:multiLevelType w:val="hybridMultilevel"/>
    <w:lvl w:ilvl="0">
      <w:lvlJc w:val="left"/>
      <w:lvlText w:val="·"/>
      <w:numFmt w:val="bullet"/>
      <w:start w:val="1"/>
    </w:lvl>
  </w:abstractNum>
  <w:abstractNum w:abstractNumId="18">
    <w:nsid w:val="6EAA85FB"/>
    <w:multiLevelType w:val="hybridMultilevel"/>
    <w:lvl w:ilvl="0">
      <w:lvlJc w:val="left"/>
      <w:lvlText w:val="·"/>
      <w:numFmt w:val="bullet"/>
      <w:start w:val="1"/>
    </w:lvl>
  </w:abstractNum>
  <w:abstractNum w:abstractNumId="19">
    <w:nsid w:val="3F06ECB2"/>
    <w:multiLevelType w:val="hybridMultilevel"/>
    <w:lvl w:ilvl="0">
      <w:lvlJc w:val="left"/>
      <w:lvlText w:val="·"/>
      <w:numFmt w:val="bullet"/>
      <w:start w:val="1"/>
    </w:lvl>
  </w:abstractNum>
  <w:abstractNum w:abstractNumId="20">
    <w:nsid w:val="3B594807"/>
    <w:multiLevelType w:val="hybridMultilevel"/>
    <w:lvl w:ilvl="0">
      <w:lvlJc w:val="left"/>
      <w:lvlText w:val="(%1)"/>
      <w:numFmt w:val="lowerRoman"/>
      <w:start w:val="1"/>
    </w:lvl>
  </w:abstractNum>
  <w:abstractNum w:abstractNumId="21">
    <w:nsid w:val="6CAA2304"/>
    <w:multiLevelType w:val="hybridMultilevel"/>
    <w:lvl w:ilvl="0">
      <w:lvlJc w:val="left"/>
      <w:lvlText w:val="·"/>
      <w:numFmt w:val="bullet"/>
      <w:start w:val="1"/>
    </w:lvl>
  </w:abstractNum>
  <w:abstractNum w:abstractNumId="22">
    <w:nsid w:val="3F7C2FF4"/>
    <w:multiLevelType w:val="hybridMultilevel"/>
    <w:lvl w:ilvl="0">
      <w:lvlJc w:val="left"/>
      <w:lvlText w:val="·"/>
      <w:numFmt w:val="bullet"/>
      <w:start w:val="1"/>
    </w:lvl>
  </w:abstractNum>
  <w:abstractNum w:abstractNumId="23">
    <w:nsid w:val="25413BEC"/>
    <w:multiLevelType w:val="hybridMultilevel"/>
    <w:lvl w:ilvl="0">
      <w:lvlJc w:val="left"/>
      <w:lvlText w:val="·"/>
      <w:numFmt w:val="bullet"/>
      <w:start w:val="1"/>
    </w:lvl>
  </w:abstractNum>
  <w:abstractNum w:abstractNumId="24">
    <w:nsid w:val="17180B0B"/>
    <w:multiLevelType w:val="hybridMultilevel"/>
    <w:lvl w:ilvl="0">
      <w:lvlJc w:val="left"/>
      <w:lvlText w:val="·"/>
      <w:numFmt w:val="bullet"/>
      <w:start w:val="1"/>
    </w:lvl>
  </w:abstractNum>
  <w:abstractNum w:abstractNumId="25">
    <w:nsid w:val="579328B9"/>
    <w:multiLevelType w:val="hybridMultilevel"/>
    <w:lvl w:ilvl="0">
      <w:lvlJc w:val="left"/>
      <w:lvlText w:val="(%1)"/>
      <w:numFmt w:val="lowerRoman"/>
      <w:start w:val="1"/>
    </w:lvl>
  </w:abstractNum>
  <w:abstractNum w:abstractNumId="26">
    <w:nsid w:val="5D205E20"/>
    <w:multiLevelType w:val="hybridMultilevel"/>
    <w:lvl w:ilvl="0">
      <w:lvlJc w:val="left"/>
      <w:lvlText w:val="·"/>
      <w:numFmt w:val="bullet"/>
      <w:start w:val="1"/>
    </w:lvl>
  </w:abstractNum>
  <w:abstractNum w:abstractNumId="27">
    <w:nsid w:val="11CCA8BA"/>
    <w:multiLevelType w:val="hybridMultilevel"/>
    <w:lvl w:ilvl="0">
      <w:lvlJc w:val="left"/>
      <w:lvlText w:val="$"/>
      <w:numFmt w:val="bullet"/>
      <w:start w:val="1"/>
    </w:lvl>
  </w:abstractNum>
  <w:abstractNum w:abstractNumId="28">
    <w:nsid w:val="4D32AB86"/>
    <w:multiLevelType w:val="hybridMultilevel"/>
    <w:lvl w:ilvl="0">
      <w:lvlJc w:val="left"/>
      <w:lvlText w:val="$"/>
      <w:numFmt w:val="bullet"/>
      <w:start w:val="1"/>
    </w:lvl>
  </w:abstractNum>
  <w:abstractNum w:abstractNumId="29">
    <w:nsid w:val="3F07ACC3"/>
    <w:multiLevelType w:val="hybridMultilevel"/>
    <w:lvl w:ilvl="0">
      <w:lvlJc w:val="left"/>
      <w:lvlText w:val="$"/>
      <w:numFmt w:val="bullet"/>
      <w:start w:val="1"/>
    </w:lvl>
  </w:abstractNum>
  <w:abstractNum w:abstractNumId="30">
    <w:nsid w:val="6B47F63E"/>
    <w:multiLevelType w:val="hybridMultilevel"/>
    <w:lvl w:ilvl="0">
      <w:lvlJc w:val="left"/>
      <w:lvlText w:val="$"/>
      <w:numFmt w:val="bullet"/>
      <w:start w:val="1"/>
    </w:lvl>
  </w:abstractNum>
  <w:abstractNum w:abstractNumId="31">
    <w:nsid w:val="5CB44A05"/>
    <w:multiLevelType w:val="hybridMultilevel"/>
    <w:lvl w:ilvl="0">
      <w:lvlJc w:val="left"/>
      <w:lvlText w:val="$"/>
      <w:numFmt w:val="bullet"/>
      <w:start w:val="1"/>
    </w:lvl>
  </w:abstractNum>
  <w:abstractNum w:abstractNumId="32">
    <w:nsid w:val="16CF80F1"/>
    <w:multiLevelType w:val="hybridMultilevel"/>
    <w:lvl w:ilvl="0">
      <w:lvlJc w:val="left"/>
      <w:lvlText w:val="$"/>
      <w:numFmt w:val="bullet"/>
      <w:start w:val="1"/>
    </w:lvl>
  </w:abstractNum>
  <w:abstractNum w:abstractNumId="33">
    <w:nsid w:val="1C695DEC"/>
    <w:multiLevelType w:val="hybridMultilevel"/>
    <w:lvl w:ilvl="0">
      <w:lvlJc w:val="left"/>
      <w:lvlText w:val="$"/>
      <w:numFmt w:val="bullet"/>
      <w:start w:val="1"/>
    </w:lvl>
    <w:lvl w:ilvl="1">
      <w:lvlJc w:val="left"/>
      <w:lvlText w:val="%"/>
      <w:numFmt w:val="bullet"/>
      <w:start w:val="1"/>
    </w:lvl>
  </w:abstractNum>
  <w:abstractNum w:abstractNumId="34">
    <w:nsid w:val="3FCFAED9"/>
    <w:multiLevelType w:val="hybridMultilevel"/>
    <w:lvl w:ilvl="0">
      <w:lvlJc w:val="left"/>
      <w:lvlText w:val="(%1)"/>
      <w:numFmt w:val="decimal"/>
      <w:start w:val="1"/>
    </w:lvl>
  </w:abstractNum>
  <w:abstractNum w:abstractNumId="35">
    <w:nsid w:val="F856867"/>
    <w:multiLevelType w:val="hybridMultilevel"/>
    <w:lvl w:ilvl="0">
      <w:lvlJc w:val="left"/>
      <w:lvlText w:val="(%1)"/>
      <w:numFmt w:val="decimal"/>
      <w:start w:val="3"/>
    </w:lvl>
  </w:abstractNum>
  <w:abstractNum w:abstractNumId="36">
    <w:nsid w:val="11B1CC33"/>
    <w:multiLevelType w:val="hybridMultilevel"/>
    <w:lvl w:ilvl="0">
      <w:lvlJc w:val="left"/>
      <w:lvlText w:val="(%1)"/>
      <w:numFmt w:val="decimal"/>
      <w:start w:val="1"/>
    </w:lvl>
  </w:abstractNum>
  <w:abstractNum w:abstractNumId="37">
    <w:nsid w:val="2E22FBB7"/>
    <w:multiLevelType w:val="hybridMultilevel"/>
    <w:lvl w:ilvl="0">
      <w:lvlJc w:val="left"/>
      <w:lvlText w:val="(%1)"/>
      <w:numFmt w:val="decimal"/>
      <w:start w:val="1"/>
    </w:lvl>
  </w:abstractNum>
  <w:abstractNum w:abstractNumId="38">
    <w:nsid w:val="29934699"/>
    <w:multiLevelType w:val="hybridMultilevel"/>
    <w:lvl w:ilvl="0">
      <w:lvlJc w:val="left"/>
      <w:lvlText w:val="·"/>
      <w:numFmt w:val="bullet"/>
      <w:start w:val="1"/>
    </w:lvl>
  </w:abstractNum>
  <w:abstractNum w:abstractNumId="39">
    <w:nsid w:val="77485850"/>
    <w:multiLevelType w:val="hybridMultilevel"/>
    <w:lvl w:ilvl="0">
      <w:lvlJc w:val="left"/>
      <w:lvlText w:val="·"/>
      <w:numFmt w:val="bullet"/>
      <w:start w:val="1"/>
    </w:lvl>
  </w:abstractNum>
  <w:abstractNum w:abstractNumId="40">
    <w:nsid w:val="744939A3"/>
    <w:multiLevelType w:val="hybridMultilevel"/>
    <w:lvl w:ilvl="0">
      <w:lvlJc w:val="left"/>
      <w:lvlText w:val="·"/>
      <w:numFmt w:val="bullet"/>
      <w:start w:val="1"/>
    </w:lvl>
  </w:abstractNum>
  <w:abstractNum w:abstractNumId="41">
    <w:nsid w:val="4FA0D2E3"/>
    <w:multiLevelType w:val="hybridMultilevel"/>
    <w:lvl w:ilvl="0">
      <w:lvlJc w:val="left"/>
      <w:lvlText w:val="·"/>
      <w:numFmt w:val="bullet"/>
      <w:start w:val="1"/>
    </w:lvl>
  </w:abstractNum>
  <w:abstractNum w:abstractNumId="42">
    <w:nsid w:val="6B1D2C14"/>
    <w:multiLevelType w:val="hybridMultilevel"/>
    <w:lvl w:ilvl="0">
      <w:lvlJc w:val="left"/>
      <w:lvlText w:val="·"/>
      <w:numFmt w:val="bullet"/>
      <w:start w:val="1"/>
    </w:lvl>
  </w:abstractNum>
  <w:abstractNum w:abstractNumId="43">
    <w:nsid w:val="68B867D3"/>
    <w:multiLevelType w:val="hybridMultilevel"/>
    <w:lvl w:ilvl="0">
      <w:lvlJc w:val="left"/>
      <w:lvlText w:val="·"/>
      <w:numFmt w:val="bullet"/>
      <w:start w:val="1"/>
    </w:lvl>
  </w:abstractNum>
  <w:abstractNum w:abstractNumId="44">
    <w:nsid w:val="3F7F5DD9"/>
    <w:multiLevelType w:val="hybridMultilevel"/>
    <w:lvl w:ilvl="0">
      <w:lvlJc w:val="left"/>
      <w:lvlText w:val="·"/>
      <w:numFmt w:val="bullet"/>
      <w:start w:val="1"/>
    </w:lvl>
  </w:abstractNum>
  <w:abstractNum w:abstractNumId="45">
    <w:nsid w:val="2AE05A34"/>
    <w:multiLevelType w:val="hybridMultilevel"/>
    <w:lvl w:ilvl="0">
      <w:lvlJc w:val="left"/>
      <w:lvlText w:val="·"/>
      <w:numFmt w:val="bullet"/>
      <w:start w:val="1"/>
    </w:lvl>
  </w:abstractNum>
  <w:abstractNum w:abstractNumId="46">
    <w:nsid w:val="32794FF7"/>
    <w:multiLevelType w:val="hybridMultilevel"/>
    <w:lvl w:ilvl="0">
      <w:lvlJc w:val="left"/>
      <w:lvlText w:val="·"/>
      <w:numFmt w:val="bullet"/>
      <w:start w:val="1"/>
    </w:lvl>
  </w:abstractNum>
  <w:abstractNum w:abstractNumId="47">
    <w:nsid w:val="5454945E"/>
    <w:multiLevelType w:val="hybridMultilevel"/>
    <w:lvl w:ilvl="0">
      <w:lvlJc w:val="left"/>
      <w:lvlText w:val="·"/>
      <w:numFmt w:val="bullet"/>
      <w:start w:val="1"/>
    </w:lvl>
  </w:abstractNum>
  <w:abstractNum w:abstractNumId="48">
    <w:nsid w:val="4DEFDFA0"/>
    <w:multiLevelType w:val="hybridMultilevel"/>
    <w:lvl w:ilvl="0">
      <w:lvlJc w:val="left"/>
      <w:lvlText w:val="·"/>
      <w:numFmt w:val="bullet"/>
      <w:start w:val="1"/>
    </w:lvl>
  </w:abstractNum>
  <w:abstractNum w:abstractNumId="49">
    <w:nsid w:val="2123D5F2"/>
    <w:multiLevelType w:val="hybridMultilevel"/>
    <w:lvl w:ilvl="0">
      <w:lvlJc w:val="left"/>
      <w:lvlText w:val="·"/>
      <w:numFmt w:val="bullet"/>
      <w:start w:val="1"/>
    </w:lvl>
  </w:abstractNum>
  <w:abstractNum w:abstractNumId="50">
    <w:nsid w:val="135B8110"/>
    <w:multiLevelType w:val="hybridMultilevel"/>
    <w:lvl w:ilvl="0">
      <w:lvlJc w:val="left"/>
      <w:lvlText w:val="·"/>
      <w:numFmt w:val="bullet"/>
      <w:start w:val="1"/>
    </w:lvl>
  </w:abstractNum>
  <w:abstractNum w:abstractNumId="51">
    <w:nsid w:val="94927A8"/>
    <w:multiLevelType w:val="hybridMultilevel"/>
    <w:lvl w:ilvl="0">
      <w:lvlJc w:val="left"/>
      <w:lvlText w:val="·"/>
      <w:numFmt w:val="bullet"/>
      <w:start w:val="1"/>
    </w:lvl>
  </w:abstractNum>
  <w:abstractNum w:abstractNumId="52">
    <w:nsid w:val="DCDF8F6"/>
    <w:multiLevelType w:val="hybridMultilevel"/>
    <w:lvl w:ilvl="0">
      <w:lvlJc w:val="left"/>
      <w:lvlText w:val="·"/>
      <w:numFmt w:val="bullet"/>
      <w:start w:val="1"/>
    </w:lvl>
  </w:abstractNum>
  <w:abstractNum w:abstractNumId="53">
    <w:nsid w:val="52D7B105"/>
    <w:multiLevelType w:val="hybridMultilevel"/>
    <w:lvl w:ilvl="0">
      <w:lvlJc w:val="left"/>
      <w:lvlText w:val="·"/>
      <w:numFmt w:val="bullet"/>
      <w:start w:val="1"/>
    </w:lvl>
  </w:abstractNum>
  <w:abstractNum w:abstractNumId="54">
    <w:nsid w:val="2E8A6394"/>
    <w:multiLevelType w:val="hybridMultilevel"/>
    <w:lvl w:ilvl="0">
      <w:lvlJc w:val="left"/>
      <w:lvlText w:val="·"/>
      <w:numFmt w:val="bullet"/>
      <w:start w:val="1"/>
    </w:lvl>
  </w:abstractNum>
  <w:abstractNum w:abstractNumId="55">
    <w:nsid w:val="24E60401"/>
    <w:multiLevelType w:val="hybridMultilevel"/>
    <w:lvl w:ilvl="0">
      <w:lvlJc w:val="left"/>
      <w:lvlText w:val="·"/>
      <w:numFmt w:val="bullet"/>
      <w:start w:val="1"/>
    </w:lvl>
  </w:abstractNum>
  <w:abstractNum w:abstractNumId="56">
    <w:nsid w:val="2A6AD9BE"/>
    <w:multiLevelType w:val="hybridMultilevel"/>
    <w:lvl w:ilvl="0">
      <w:lvlJc w:val="left"/>
      <w:lvlText w:val="(%1)"/>
      <w:numFmt w:val="decimal"/>
      <w:start w:val="1"/>
    </w:lvl>
  </w:abstractNum>
  <w:abstractNum w:abstractNumId="57">
    <w:nsid w:val="BAAC1B4"/>
    <w:multiLevelType w:val="hybridMultilevel"/>
    <w:lvl w:ilvl="0">
      <w:lvlJc w:val="left"/>
      <w:lvlText w:val="·"/>
      <w:numFmt w:val="bullet"/>
      <w:start w:val="1"/>
    </w:lvl>
  </w:abstractNum>
  <w:abstractNum w:abstractNumId="58">
    <w:nsid w:val="36B2ACBC"/>
    <w:multiLevelType w:val="hybridMultilevel"/>
    <w:lvl w:ilvl="0">
      <w:lvlJc w:val="left"/>
      <w:lvlText w:val="·"/>
      <w:numFmt w:val="bullet"/>
      <w:start w:val="1"/>
    </w:lvl>
  </w:abstractNum>
  <w:abstractNum w:abstractNumId="59">
    <w:nsid w:val="779D8544"/>
    <w:multiLevelType w:val="hybridMultilevel"/>
    <w:lvl w:ilvl="0">
      <w:lvlJc w:val="left"/>
      <w:lvlText w:val="·"/>
      <w:numFmt w:val="bullet"/>
      <w:start w:val="1"/>
    </w:lvl>
  </w:abstractNum>
  <w:abstractNum w:abstractNumId="60">
    <w:nsid w:val="4AB26E78"/>
    <w:multiLevelType w:val="hybridMultilevel"/>
    <w:lvl w:ilvl="0">
      <w:lvlJc w:val="left"/>
      <w:lvlText w:val="·"/>
      <w:numFmt w:val="bullet"/>
      <w:start w:val="1"/>
    </w:lvl>
  </w:abstractNum>
  <w:abstractNum w:abstractNumId="61">
    <w:nsid w:val="21FAA2FA"/>
    <w:multiLevelType w:val="hybridMultilevel"/>
    <w:lvl w:ilvl="0">
      <w:lvlJc w:val="left"/>
      <w:lvlText w:val="·"/>
      <w:numFmt w:val="bullet"/>
      <w:start w:val="1"/>
    </w:lvl>
  </w:abstractNum>
  <w:abstractNum w:abstractNumId="62">
    <w:nsid w:val="5451CF49"/>
    <w:multiLevelType w:val="hybridMultilevel"/>
    <w:lvl w:ilvl="0">
      <w:lvlJc w:val="left"/>
      <w:lvlText w:val="·"/>
      <w:numFmt w:val="bullet"/>
      <w:start w:val="1"/>
    </w:lvl>
  </w:abstractNum>
  <w:abstractNum w:abstractNumId="63">
    <w:nsid w:val="6181EF69"/>
    <w:multiLevelType w:val="hybridMultilevel"/>
    <w:lvl w:ilvl="0">
      <w:lvlJc w:val="left"/>
      <w:lvlText w:val="·"/>
      <w:numFmt w:val="bullet"/>
      <w:start w:val="1"/>
    </w:lvl>
  </w:abstractNum>
  <w:abstractNum w:abstractNumId="64">
    <w:nsid w:val="3E6400E6"/>
    <w:multiLevelType w:val="hybridMultilevel"/>
    <w:lvl w:ilvl="0">
      <w:lvlJc w:val="left"/>
      <w:lvlText w:val="·"/>
      <w:numFmt w:val="bullet"/>
      <w:start w:val="1"/>
    </w:lvl>
  </w:abstractNum>
  <w:abstractNum w:abstractNumId="65">
    <w:nsid w:val="14217E23"/>
    <w:multiLevelType w:val="hybridMultilevel"/>
    <w:lvl w:ilvl="0">
      <w:lvlJc w:val="left"/>
      <w:lvlText w:val="·"/>
      <w:numFmt w:val="bullet"/>
      <w:start w:val="1"/>
    </w:lvl>
  </w:abstractNum>
  <w:abstractNum w:abstractNumId="66">
    <w:nsid w:val="710757D0"/>
    <w:multiLevelType w:val="hybridMultilevel"/>
    <w:lvl w:ilvl="0">
      <w:lvlJc w:val="left"/>
      <w:lvlText w:val="·"/>
      <w:numFmt w:val="bullet"/>
      <w:start w:val="1"/>
    </w:lvl>
  </w:abstractNum>
  <w:abstractNum w:abstractNumId="67">
    <w:nsid w:val="5015CD1A"/>
    <w:multiLevelType w:val="hybridMultilevel"/>
    <w:lvl w:ilvl="0">
      <w:lvlJc w:val="left"/>
      <w:lvlText w:val="(%1)"/>
      <w:numFmt w:val="lowerLetter"/>
      <w:start w:val="1"/>
    </w:lvl>
  </w:abstractNum>
  <w:abstractNum w:abstractNumId="68">
    <w:nsid w:val="424479DA"/>
    <w:multiLevelType w:val="hybridMultilevel"/>
    <w:lvl w:ilvl="0">
      <w:lvlJc w:val="left"/>
      <w:lvlText w:val="·"/>
      <w:numFmt w:val="bullet"/>
      <w:start w:val="1"/>
    </w:lvl>
  </w:abstractNum>
  <w:abstractNum w:abstractNumId="69">
    <w:nsid w:val="1A9A9E69"/>
    <w:multiLevelType w:val="hybridMultilevel"/>
    <w:lvl w:ilvl="0">
      <w:lvlJc w:val="left"/>
      <w:lvlText w:val="·"/>
      <w:numFmt w:val="bullet"/>
      <w:start w:val="1"/>
    </w:lvl>
  </w:abstractNum>
  <w:abstractNum w:abstractNumId="70">
    <w:nsid w:val="475E256A"/>
    <w:multiLevelType w:val="hybridMultilevel"/>
    <w:lvl w:ilvl="0">
      <w:lvlJc w:val="left"/>
      <w:lvlText w:val="%1."/>
      <w:numFmt w:val="decimal"/>
      <w:start w:val="1"/>
    </w:lvl>
  </w:abstractNum>
  <w:abstractNum w:abstractNumId="71">
    <w:nsid w:val="368DB37E"/>
    <w:multiLevelType w:val="hybridMultilevel"/>
    <w:lvl w:ilvl="0">
      <w:lvlJc w:val="left"/>
      <w:lvlText w:val="·"/>
      <w:numFmt w:val="bullet"/>
      <w:start w:val="1"/>
    </w:lvl>
  </w:abstractNum>
  <w:abstractNum w:abstractNumId="72">
    <w:nsid w:val="6A3B714C"/>
    <w:multiLevelType w:val="hybridMultilevel"/>
    <w:lvl w:ilvl="0">
      <w:lvlJc w:val="left"/>
      <w:lvlText w:val="·"/>
      <w:numFmt w:val="bullet"/>
      <w:start w:val="1"/>
    </w:lvl>
  </w:abstractNum>
  <w:abstractNum w:abstractNumId="73">
    <w:nsid w:val="327B517E"/>
    <w:multiLevelType w:val="hybridMultilevel"/>
    <w:lvl w:ilvl="0">
      <w:lvlJc w:val="left"/>
      <w:lvlText w:val="·"/>
      <w:numFmt w:val="bullet"/>
      <w:start w:val="1"/>
    </w:lvl>
  </w:abstractNum>
  <w:abstractNum w:abstractNumId="74">
    <w:nsid w:val="1F461B51"/>
    <w:multiLevelType w:val="hybridMultilevel"/>
    <w:lvl w:ilvl="0">
      <w:lvlJc w:val="left"/>
      <w:lvlText w:val="(%1)"/>
      <w:numFmt w:val="decimal"/>
      <w:start w:val="1"/>
    </w:lvl>
  </w:abstractNum>
  <w:abstractNum w:abstractNumId="75">
    <w:nsid w:val="29BACF25"/>
    <w:multiLevelType w:val="hybridMultilevel"/>
    <w:lvl w:ilvl="0">
      <w:lvlJc w:val="left"/>
      <w:lvlText w:val="·"/>
      <w:numFmt w:val="bullet"/>
      <w:start w:val="1"/>
    </w:lvl>
  </w:abstractNum>
  <w:abstractNum w:abstractNumId="76">
    <w:nsid w:val="5D5BABB3"/>
    <w:multiLevelType w:val="hybridMultilevel"/>
    <w:lvl w:ilvl="0">
      <w:lvlJc w:val="left"/>
      <w:lvlText w:val="·"/>
      <w:numFmt w:val="bullet"/>
      <w:start w:val="1"/>
    </w:lvl>
  </w:abstractNum>
  <w:abstractNum w:abstractNumId="77">
    <w:nsid w:val="51BF6B48"/>
    <w:multiLevelType w:val="hybridMultilevel"/>
    <w:lvl w:ilvl="0">
      <w:lvlJc w:val="left"/>
      <w:lvlText w:val="(%1)"/>
      <w:numFmt w:val="lowerLetter"/>
      <w:start w:val="1"/>
    </w:lvl>
  </w:abstractNum>
  <w:abstractNum w:abstractNumId="78">
    <w:nsid w:val="7E0F6384"/>
    <w:multiLevelType w:val="hybridMultilevel"/>
    <w:lvl w:ilvl="0">
      <w:lvlJc w:val="left"/>
      <w:lvlText w:val="(%1)"/>
      <w:numFmt w:val="lowerLetter"/>
      <w:start w:val="1"/>
    </w:lvl>
  </w:abstractNum>
  <w:abstractNum w:abstractNumId="79">
    <w:nsid w:val="2B4B8B53"/>
    <w:multiLevelType w:val="hybridMultilevel"/>
    <w:lvl w:ilvl="0">
      <w:lvlJc w:val="left"/>
      <w:lvlText w:val="(%1)"/>
      <w:numFmt w:val="upperLetter"/>
      <w:start w:val="2"/>
    </w:lvl>
  </w:abstractNum>
  <w:abstractNum w:abstractNumId="80">
    <w:nsid w:val="72E3413A"/>
    <w:multiLevelType w:val="hybridMultilevel"/>
    <w:lvl w:ilvl="0">
      <w:lvlJc w:val="left"/>
      <w:lvlText w:val="(%1)"/>
      <w:numFmt w:val="lowerLetter"/>
      <w:start w:val="2"/>
    </w:lvl>
  </w:abstractNum>
  <w:abstractNum w:abstractNumId="81">
    <w:nsid w:val="116AE494"/>
    <w:multiLevelType w:val="hybridMultilevel"/>
    <w:lvl w:ilvl="0">
      <w:lvlJc w:val="left"/>
      <w:lvlText w:val="·"/>
      <w:numFmt w:val="bullet"/>
      <w:start w:val="1"/>
    </w:lvl>
  </w:abstractNum>
  <w:abstractNum w:abstractNumId="82">
    <w:nsid w:val="3494B2FB"/>
    <w:multiLevelType w:val="hybridMultilevel"/>
    <w:lvl w:ilvl="0">
      <w:lvlJc w:val="left"/>
      <w:lvlText w:val="(%1)"/>
      <w:numFmt w:val="decimal"/>
      <w:start w:val="1"/>
    </w:lvl>
  </w:abstractNum>
  <w:abstractNum w:abstractNumId="83">
    <w:nsid w:val="B13A31"/>
    <w:multiLevelType w:val="hybridMultilevel"/>
    <w:lvl w:ilvl="0">
      <w:lvlJc w:val="left"/>
      <w:lvlText w:val="(%1)"/>
      <w:numFmt w:val="decimal"/>
      <w:start w:val="1"/>
    </w:lvl>
  </w:abstractNum>
  <w:abstractNum w:abstractNumId="84">
    <w:nsid w:val="64429599"/>
    <w:multiLevelType w:val="hybridMultilevel"/>
    <w:lvl w:ilvl="0">
      <w:lvlJc w:val="left"/>
      <w:lvlText w:val="(%1)"/>
      <w:numFmt w:val="decimal"/>
      <w:start w:val="1"/>
    </w:lvl>
  </w:abstractNum>
  <w:abstractNum w:abstractNumId="85">
    <w:nsid w:val="631F1690"/>
    <w:multiLevelType w:val="hybridMultilevel"/>
    <w:lvl w:ilvl="0">
      <w:lvlJc w:val="left"/>
      <w:lvlText w:val="●"/>
      <w:numFmt w:val="bullet"/>
      <w:start w:val="1"/>
    </w:lvl>
  </w:abstractNum>
  <w:abstractNum w:abstractNumId="86">
    <w:nsid w:val="25973E32"/>
    <w:multiLevelType w:val="hybridMultilevel"/>
    <w:lvl w:ilvl="0">
      <w:lvlJc w:val="left"/>
      <w:lvlText w:val="(%1)"/>
      <w:numFmt w:val="lowerLetter"/>
      <w:start w:val="1"/>
    </w:lvl>
  </w:abstractNum>
  <w:abstractNum w:abstractNumId="87">
    <w:nsid w:val="EAD6F57"/>
    <w:multiLevelType w:val="hybridMultilevel"/>
    <w:lvl w:ilvl="0">
      <w:lvlJc w:val="left"/>
      <w:lvlText w:val="*"/>
      <w:numFmt w:val="bullet"/>
      <w:start w:val="1"/>
    </w:lvl>
    <w:lvl w:ilvl="1">
      <w:lvlJc w:val="left"/>
      <w:lvlText w:val="%2"/>
      <w:numFmt w:val="decimal"/>
      <w:start w:val="24"/>
    </w:lvl>
  </w:abstractNum>
  <w:abstractNum w:abstractNumId="88">
    <w:nsid w:val="6EC9D844"/>
    <w:multiLevelType w:val="hybridMultilevel"/>
    <w:lvl w:ilvl="0">
      <w:lvlJc w:val="left"/>
      <w:lvlText w:val="(%1)"/>
      <w:numFmt w:val="lowerLetter"/>
      <w:start w:val="2"/>
    </w:lvl>
  </w:abstractNum>
  <w:abstractNum w:abstractNumId="89">
    <w:nsid w:val="5C49EAE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0">
    <w:nsid w:val="64AF49B"/>
    <w:multiLevelType w:val="hybridMultilevel"/>
    <w:lvl w:ilvl="0">
      <w:lvlJc w:val="left"/>
      <w:lvlText w:val="%1."/>
      <w:numFmt w:val="decimal"/>
      <w:start w:val="1"/>
    </w:lvl>
  </w:abstractNum>
  <w:abstractNum w:abstractNumId="91">
    <w:nsid w:val="397C46BC"/>
    <w:multiLevelType w:val="hybridMultilevel"/>
    <w:lvl w:ilvl="0">
      <w:lvlJc w:val="left"/>
      <w:lvlText w:val="%1."/>
      <w:numFmt w:val="decimal"/>
      <w:start w:val="2"/>
    </w:lvl>
  </w:abstractNum>
  <w:abstractNum w:abstractNumId="92">
    <w:nsid w:val="7E448DE9"/>
    <w:multiLevelType w:val="hybridMultilevel"/>
    <w:lvl w:ilvl="0">
      <w:lvlJc w:val="left"/>
      <w:lvlText w:val="(%1)"/>
      <w:numFmt w:val="lowerLetter"/>
      <w:start w:val="1"/>
    </w:lvl>
  </w:abstractNum>
  <w:abstractNum w:abstractNumId="93">
    <w:nsid w:val="5A9CC3E5"/>
    <w:multiLevelType w:val="hybridMultilevel"/>
    <w:lvl w:ilvl="0">
      <w:lvlJc w:val="left"/>
      <w:lvlText w:val="(%1)"/>
      <w:numFmt w:val="lowerLetter"/>
      <w:start w:val="2"/>
    </w:lvl>
  </w:abstractNum>
  <w:abstractNum w:abstractNumId="94">
    <w:nsid w:val="1AFE3625"/>
    <w:multiLevelType w:val="hybridMultilevel"/>
    <w:lvl w:ilvl="0">
      <w:lvlJc w:val="left"/>
      <w:lvlText w:val="(%1)"/>
      <w:numFmt w:val="lowerLetter"/>
      <w:start w:val="5"/>
    </w:lvl>
  </w:abstractNum>
  <w:abstractNum w:abstractNumId="95">
    <w:nsid w:val="3CA88ECF"/>
    <w:multiLevelType w:val="hybridMultilevel"/>
    <w:lvl w:ilvl="0">
      <w:lvlJc w:val="left"/>
      <w:lvlText w:val="(%1)"/>
      <w:numFmt w:val="lowerLetter"/>
      <w:start w:val="13"/>
    </w:lvl>
  </w:abstractNum>
  <w:abstractNum w:abstractNumId="96">
    <w:nsid w:val="6EBE4208"/>
    <w:multiLevelType w:val="hybridMultilevel"/>
    <w:lvl w:ilvl="0">
      <w:lvlJc w:val="left"/>
      <w:lvlText w:val="(%1)"/>
      <w:numFmt w:val="lowerLetter"/>
      <w:start w:val="22"/>
    </w:lvl>
  </w:abstractNum>
  <w:abstractNum w:abstractNumId="97">
    <w:nsid w:val="C058DF5"/>
    <w:multiLevelType w:val="hybridMultilevel"/>
    <w:lvl w:ilvl="0">
      <w:lvlJc w:val="left"/>
      <w:lvlText w:val="(%1)"/>
      <w:numFmt w:val="lowerLetter"/>
      <w:start w:val="27"/>
    </w:lvl>
  </w:abstractNum>
  <w:abstractNum w:abstractNumId="98">
    <w:nsid w:val="CBE5BE9"/>
    <w:multiLevelType w:val="hybridMultilevel"/>
    <w:lvl w:ilvl="0">
      <w:lvlJc w:val="left"/>
      <w:lvlText w:val="%1"/>
      <w:numFmt w:val="lowerLetter"/>
      <w:start w:val="1"/>
    </w:lvl>
    <w:lvl w:ilvl="1">
      <w:lvlJc w:val="left"/>
      <w:lvlText w:val="(%2)"/>
      <w:numFmt w:val="lowerLetter"/>
      <w:start w:val="30"/>
    </w:lvl>
  </w:abstractNum>
  <w:abstractNum w:abstractNumId="99">
    <w:nsid w:val="3102BBE2"/>
    <w:multiLevelType w:val="hybridMultilevel"/>
    <w:lvl w:ilvl="0">
      <w:lvlJc w:val="left"/>
      <w:lvlText w:val="(%1)"/>
      <w:numFmt w:val="lowerLetter"/>
      <w:start w:val="25"/>
    </w:lvl>
    <w:lvl w:ilvl="1">
      <w:lvlJc w:val="left"/>
      <w:lvlText w:val="(%2)"/>
      <w:numFmt w:val="lowerLetter"/>
      <w:start w:val="31"/>
    </w:lvl>
  </w:abstractNum>
  <w:abstractNum w:abstractNumId="100">
    <w:nsid w:val="26A02C5E"/>
    <w:multiLevelType w:val="hybridMultilevel"/>
    <w:lvl w:ilvl="0">
      <w:lvlJc w:val="left"/>
      <w:lvlText w:val="(%1)"/>
      <w:numFmt w:val="lowerLetter"/>
      <w:start w:val="34"/>
    </w:lvl>
  </w:abstractNum>
  <w:abstractNum w:abstractNumId="101">
    <w:nsid w:val="541C8153"/>
    <w:multiLevelType w:val="hybridMultilevel"/>
    <w:lvl w:ilvl="0">
      <w:lvlJc w:val="left"/>
      <w:lvlText w:val="(%1)"/>
      <w:numFmt w:val="lowerLetter"/>
      <w:start w:val="38"/>
    </w:lvl>
  </w:abstractNum>
  <w:abstractNum w:abstractNumId="102">
    <w:nsid w:val="67906F60"/>
    <w:multiLevelType w:val="hybridMultilevel"/>
    <w:lvl w:ilvl="0">
      <w:lvlJc w:val="left"/>
      <w:lvlText w:val="(%1)"/>
      <w:numFmt w:val="lowerLetter"/>
      <w:start w:val="42"/>
    </w:lvl>
  </w:abstractNum>
  <w:abstractNum w:abstractNumId="103">
    <w:nsid w:val="10DB9DAA"/>
    <w:multiLevelType w:val="hybridMultilevel"/>
    <w:lvl w:ilvl="0">
      <w:lvlJc w:val="left"/>
      <w:lvlText w:val="(%1)"/>
      <w:numFmt w:val="lowerLetter"/>
      <w:start w:val="46"/>
    </w:lvl>
  </w:abstractNum>
  <w:abstractNum w:abstractNumId="104">
    <w:nsid w:val="697D2D2"/>
    <w:multiLevelType w:val="hybridMultilevel"/>
    <w:lvl w:ilvl="0">
      <w:lvlJc w:val="left"/>
      <w:lvlText w:val="(%1)"/>
      <w:numFmt w:val="lowerLetter"/>
      <w:start w:val="53"/>
    </w:lvl>
  </w:abstractNum>
  <w:abstractNum w:abstractNumId="105">
    <w:nsid w:val="6D68AB2"/>
    <w:multiLevelType w:val="hybridMultilevel"/>
    <w:lvl w:ilvl="0">
      <w:lvlJc w:val="left"/>
      <w:lvlText w:val="%1"/>
      <w:numFmt w:val="lowerLetter"/>
      <w:start w:val="1"/>
    </w:lvl>
    <w:lvl w:ilvl="1">
      <w:lvlJc w:val="left"/>
      <w:lvlText w:val="(%2)"/>
      <w:numFmt w:val="lowerLetter"/>
      <w:start w:val="54"/>
    </w:lvl>
  </w:abstractNum>
  <w:abstractNum w:abstractNumId="106">
    <w:nsid w:val="3A966CD0"/>
    <w:multiLevelType w:val="hybridMultilevel"/>
    <w:lvl w:ilvl="0">
      <w:lvlJc w:val="left"/>
      <w:lvlText w:val="(%1)"/>
      <w:numFmt w:val="lowerLetter"/>
      <w:start w:val="35"/>
    </w:lvl>
    <w:lvl w:ilvl="1">
      <w:lvlJc w:val="left"/>
      <w:lvlText w:val="(%2)"/>
      <w:numFmt w:val="lowerLetter"/>
      <w:start w:val="58"/>
    </w:lvl>
  </w:abstractNum>
  <w:abstractNum w:abstractNumId="107">
    <w:nsid w:val="63F37E85"/>
    <w:multiLevelType w:val="hybridMultilevel"/>
    <w:lvl w:ilvl="0">
      <w:lvlJc w:val="left"/>
      <w:lvlText w:val="(%1)"/>
      <w:numFmt w:val="lowerLetter"/>
      <w:start w:val="62"/>
    </w:lvl>
  </w:abstractNum>
  <w:abstractNum w:abstractNumId="108">
    <w:nsid w:val="5895F5FA"/>
    <w:multiLevelType w:val="hybridMultilevel"/>
    <w:lvl w:ilvl="0">
      <w:lvlJc w:val="left"/>
      <w:lvlText w:val="%1."/>
      <w:numFmt w:val="decimal"/>
      <w:start w:val="3"/>
    </w:lvl>
  </w:abstractNum>
  <w:abstractNum w:abstractNumId="109">
    <w:nsid w:val="38A5D054"/>
    <w:multiLevelType w:val="hybridMultilevel"/>
    <w:lvl w:ilvl="0">
      <w:lvlJc w:val="left"/>
      <w:lvlText w:val="(%1)"/>
      <w:numFmt w:val="lowerLetter"/>
      <w:start w:val="1"/>
    </w:lvl>
  </w:abstractNum>
  <w:abstractNum w:abstractNumId="110">
    <w:nsid w:val="F3F09D8"/>
    <w:multiLevelType w:val="hybridMultilevel"/>
    <w:lvl w:ilvl="0">
      <w:lvlJc w:val="left"/>
      <w:lvlText w:val="%1."/>
      <w:numFmt w:val="decimal"/>
      <w:start w:val="4"/>
    </w:lvl>
  </w:abstractNum>
  <w:abstractNum w:abstractNumId="111">
    <w:nsid w:val="4B793735"/>
    <w:multiLevelType w:val="hybridMultilevel"/>
    <w:lvl w:ilvl="0">
      <w:lvlJc w:val="left"/>
      <w:lvlText w:val="(%1)"/>
      <w:numFmt w:val="lowerLetter"/>
      <w:start w:val="1"/>
    </w:lvl>
  </w:abstractNum>
  <w:abstractNum w:abstractNumId="112">
    <w:nsid w:val="4A10B4E8"/>
    <w:multiLevelType w:val="hybridMultilevel"/>
    <w:lvl w:ilvl="0">
      <w:lvlJc w:val="left"/>
      <w:lvlText w:val="(%1)"/>
      <w:numFmt w:val="lowerLetter"/>
      <w:start w:val="2"/>
    </w:lvl>
  </w:abstractNum>
  <w:abstractNum w:abstractNumId="113">
    <w:nsid w:val="43D3BCD4"/>
    <w:multiLevelType w:val="hybridMultilevel"/>
    <w:lvl w:ilvl="0">
      <w:lvlJc w:val="left"/>
      <w:lvlText w:val="%1."/>
      <w:numFmt w:val="decimal"/>
      <w:start w:val="5"/>
    </w:lvl>
  </w:abstractNum>
  <w:abstractNum w:abstractNumId="114">
    <w:nsid w:val="4C2A7166"/>
    <w:multiLevelType w:val="hybridMultilevel"/>
    <w:lvl w:ilvl="0">
      <w:lvlJc w:val="left"/>
      <w:lvlText w:val="(%1)"/>
      <w:numFmt w:val="lowerLetter"/>
      <w:start w:val="1"/>
    </w:lvl>
  </w:abstractNum>
  <w:abstractNum w:abstractNumId="115">
    <w:nsid w:val="2E534A82"/>
    <w:multiLevelType w:val="hybridMultilevel"/>
    <w:lvl w:ilvl="0">
      <w:lvlJc w:val="left"/>
      <w:lvlText w:val="(%1)"/>
      <w:numFmt w:val="lowerLetter"/>
      <w:start w:val="2"/>
    </w:lvl>
  </w:abstractNum>
  <w:abstractNum w:abstractNumId="116">
    <w:nsid w:val="26F2D364"/>
    <w:multiLevelType w:val="hybridMultilevel"/>
    <w:lvl w:ilvl="0">
      <w:lvlJc w:val="left"/>
      <w:lvlText w:val="(%1)"/>
      <w:numFmt w:val="lowerLetter"/>
      <w:start w:val="8"/>
    </w:lvl>
  </w:abstractNum>
  <w:abstractNum w:abstractNumId="117">
    <w:nsid w:val="71C1AF98"/>
    <w:multiLevelType w:val="hybridMultilevel"/>
    <w:lvl w:ilvl="0">
      <w:lvlJc w:val="left"/>
      <w:lvlText w:val="(%1)"/>
      <w:numFmt w:val="lowerLetter"/>
      <w:start w:val="12"/>
    </w:lvl>
  </w:abstractNum>
  <w:abstractNum w:abstractNumId="118">
    <w:nsid w:val="3D00B9D9"/>
    <w:multiLevelType w:val="hybridMultilevel"/>
    <w:lvl w:ilvl="0">
      <w:lvlJc w:val="left"/>
      <w:lvlText w:val="(%1)"/>
      <w:numFmt w:val="lowerLetter"/>
      <w:start w:val="17"/>
    </w:lvl>
  </w:abstractNum>
  <w:abstractNum w:abstractNumId="119">
    <w:nsid w:val="15BCABA8"/>
    <w:multiLevelType w:val="hybridMultilevel"/>
    <w:lvl w:ilvl="0">
      <w:lvlJc w:val="left"/>
      <w:lvlText w:val="%1"/>
      <w:numFmt w:val="lowerLetter"/>
      <w:start w:val="1"/>
    </w:lvl>
    <w:lvl w:ilvl="1">
      <w:lvlJc w:val="left"/>
      <w:lvlText w:val="(%2)"/>
      <w:numFmt w:val="lowerLetter"/>
      <w:start w:val="22"/>
    </w:lvl>
  </w:abstractNum>
  <w:abstractNum w:abstractNumId="120">
    <w:nsid w:val="4E0B9A87"/>
    <w:multiLevelType w:val="hybridMultilevel"/>
    <w:lvl w:ilvl="0">
      <w:lvlJc w:val="left"/>
      <w:lvlText w:val="(%1)"/>
      <w:numFmt w:val="lowerLetter"/>
      <w:start w:val="9"/>
    </w:lvl>
    <w:lvl w:ilvl="1">
      <w:lvlJc w:val="left"/>
      <w:lvlText w:val="(%2)"/>
      <w:numFmt w:val="lowerLetter"/>
      <w:start w:val="27"/>
    </w:lvl>
  </w:abstractNum>
  <w:abstractNum w:abstractNumId="121">
    <w:nsid w:val="434BAE75"/>
    <w:multiLevelType w:val="hybridMultilevel"/>
    <w:lvl w:ilvl="0">
      <w:lvlJc w:val="left"/>
      <w:lvlText w:val="(%1)"/>
      <w:numFmt w:val="lowerLetter"/>
      <w:start w:val="31"/>
    </w:lvl>
  </w:abstractNum>
  <w:abstractNum w:abstractNumId="122">
    <w:nsid w:val="4F38F265"/>
    <w:multiLevelType w:val="hybridMultilevel"/>
    <w:lvl w:ilvl="0">
      <w:lvlJc w:val="left"/>
      <w:lvlText w:val="%1"/>
      <w:numFmt w:val="lowerLetter"/>
      <w:start w:val="1"/>
    </w:lvl>
    <w:lvl w:ilvl="1">
      <w:lvlJc w:val="left"/>
      <w:lvlText w:val="(%2)"/>
      <w:numFmt w:val="lowerLetter"/>
      <w:start w:val="32"/>
    </w:lvl>
  </w:abstractNum>
  <w:abstractNum w:abstractNumId="123">
    <w:nsid w:val="4C502870"/>
    <w:multiLevelType w:val="hybridMultilevel"/>
    <w:lvl w:ilvl="0">
      <w:lvlJc w:val="left"/>
      <w:lvlText w:val="(%1)"/>
      <w:numFmt w:val="lowerLetter"/>
      <w:start w:val="61"/>
    </w:lvl>
    <w:lvl w:ilvl="1">
      <w:lvlJc w:val="left"/>
      <w:lvlText w:val="(%2)"/>
      <w:numFmt w:val="lowerLetter"/>
      <w:start w:val="35"/>
    </w:lvl>
  </w:abstractNum>
  <w:abstractNum w:abstractNumId="124">
    <w:nsid w:val="1DE8725A"/>
    <w:multiLevelType w:val="hybridMultilevel"/>
    <w:lvl w:ilvl="0">
      <w:lvlJc w:val="left"/>
      <w:lvlText w:val="%1"/>
      <w:numFmt w:val="lowerLetter"/>
      <w:start w:val="1"/>
    </w:lvl>
    <w:lvl w:ilvl="1">
      <w:lvlJc w:val="left"/>
      <w:lvlText w:val="(%2)"/>
      <w:numFmt w:val="lowerLetter"/>
      <w:start w:val="36"/>
    </w:lvl>
  </w:abstractNum>
  <w:abstractNum w:abstractNumId="125">
    <w:nsid w:val="6A37288A"/>
    <w:multiLevelType w:val="hybridMultilevel"/>
    <w:lvl w:ilvl="0">
      <w:lvlJc w:val="left"/>
      <w:lvlText w:val="(%1)"/>
      <w:numFmt w:val="lowerLetter"/>
      <w:start w:val="1"/>
    </w:lvl>
    <w:lvl w:ilvl="1">
      <w:lvlJc w:val="left"/>
      <w:lvlText w:val="(%2)"/>
      <w:numFmt w:val="lowerLetter"/>
      <w:start w:val="39"/>
    </w:lvl>
  </w:abstractNum>
  <w:abstractNum w:abstractNumId="126">
    <w:nsid w:val="8F8B73F"/>
    <w:multiLevelType w:val="hybridMultilevel"/>
    <w:lvl w:ilvl="0">
      <w:lvlJc w:val="left"/>
      <w:lvlText w:val="%1."/>
      <w:numFmt w:val="decimal"/>
      <w:start w:val="7"/>
    </w:lvl>
  </w:abstractNum>
  <w:abstractNum w:abstractNumId="127">
    <w:nsid w:val="CA6B462"/>
    <w:multiLevelType w:val="hybridMultilevel"/>
    <w:lvl w:ilvl="0">
      <w:lvlJc w:val="left"/>
      <w:lvlText w:val="(%1)"/>
      <w:numFmt w:val="lowerLetter"/>
      <w:start w:val="1"/>
    </w:lvl>
  </w:abstractNum>
  <w:abstractNum w:abstractNumId="128">
    <w:nsid w:val="763CB680"/>
    <w:multiLevelType w:val="hybridMultilevel"/>
    <w:lvl w:ilvl="0">
      <w:lvlJc w:val="left"/>
      <w:lvlText w:val="(%1)"/>
      <w:numFmt w:val="lowerLetter"/>
      <w:start w:val="3"/>
    </w:lvl>
    <w:lvl w:ilvl="1">
      <w:lvlJc w:val="left"/>
      <w:lvlText w:val="(%2)"/>
      <w:numFmt w:val="lowerRoman"/>
      <w:start w:val="1"/>
    </w:lvl>
  </w:abstractNum>
  <w:abstractNum w:abstractNumId="129">
    <w:nsid w:val="15B71329"/>
    <w:multiLevelType w:val="hybridMultilevel"/>
    <w:lvl w:ilvl="0">
      <w:lvlJc w:val="left"/>
      <w:lvlText w:val="(%1)"/>
      <w:numFmt w:val="lowerLetter"/>
      <w:start w:val="9"/>
    </w:lvl>
  </w:abstractNum>
  <w:abstractNum w:abstractNumId="130">
    <w:nsid w:val="3DA97044"/>
    <w:multiLevelType w:val="hybridMultilevel"/>
    <w:lvl w:ilvl="0">
      <w:lvlJc w:val="left"/>
      <w:lvlText w:val="%1."/>
      <w:numFmt w:val="decimal"/>
      <w:start w:val="8"/>
    </w:lvl>
  </w:abstractNum>
  <w:abstractNum w:abstractNumId="131">
    <w:nsid w:val="1CDCE2DE"/>
    <w:multiLevelType w:val="hybridMultilevel"/>
    <w:lvl w:ilvl="0">
      <w:lvlJc w:val="left"/>
      <w:lvlText w:val="(%1)"/>
      <w:numFmt w:val="lowerLetter"/>
      <w:start w:val="1"/>
    </w:lvl>
  </w:abstractNum>
  <w:abstractNum w:abstractNumId="132">
    <w:nsid w:val="69D3947C"/>
    <w:multiLevelType w:val="hybridMultilevel"/>
    <w:lvl w:ilvl="0">
      <w:lvlJc w:val="left"/>
      <w:lvlText w:val="%1"/>
      <w:numFmt w:val="lowerLetter"/>
      <w:start w:val="1"/>
    </w:lvl>
    <w:lvl w:ilvl="1">
      <w:lvlJc w:val="left"/>
      <w:lvlText w:val="(%2)"/>
      <w:numFmt w:val="lowerLetter"/>
      <w:start w:val="2"/>
    </w:lvl>
  </w:abstractNum>
  <w:abstractNum w:abstractNumId="133">
    <w:nsid w:val="2539DFA5"/>
    <w:multiLevelType w:val="hybridMultilevel"/>
    <w:lvl w:ilvl="0">
      <w:lvlJc w:val="left"/>
      <w:lvlText w:val="(%1)"/>
      <w:numFmt w:val="lowerLetter"/>
      <w:start w:val="2"/>
    </w:lvl>
    <w:lvl w:ilvl="1">
      <w:lvlJc w:val="left"/>
      <w:lvlText w:val="%2"/>
      <w:numFmt w:val="lowerLetter"/>
      <w:start w:val="1"/>
    </w:lvl>
  </w:abstractNum>
  <w:abstractNum w:abstractNumId="134">
    <w:nsid w:val="2DB88089"/>
    <w:multiLevelType w:val="hybridMultilevel"/>
    <w:lvl w:ilvl="0">
      <w:lvlJc w:val="left"/>
      <w:lvlText w:val="(%1)"/>
      <w:numFmt w:val="lowerLetter"/>
      <w:start w:val="4"/>
    </w:lvl>
  </w:abstractNum>
  <w:abstractNum w:abstractNumId="135">
    <w:nsid w:val="706B674E"/>
    <w:multiLevelType w:val="hybridMultilevel"/>
    <w:lvl w:ilvl="0">
      <w:lvlJc w:val="left"/>
      <w:lvlText w:val="%1."/>
      <w:numFmt w:val="decimal"/>
      <w:start w:val="9"/>
    </w:lvl>
  </w:abstractNum>
  <w:abstractNum w:abstractNumId="136">
    <w:nsid w:val="2C106A57"/>
    <w:multiLevelType w:val="hybridMultilevel"/>
    <w:lvl w:ilvl="0">
      <w:lvlJc w:val="left"/>
      <w:lvlText w:val="%1."/>
      <w:numFmt w:val="decimal"/>
      <w:start w:val="10"/>
    </w:lvl>
  </w:abstractNum>
  <w:abstractNum w:abstractNumId="137">
    <w:nsid w:val="684EED59"/>
    <w:multiLevelType w:val="hybridMultilevel"/>
    <w:lvl w:ilvl="0">
      <w:lvlJc w:val="left"/>
      <w:lvlText w:val="%1."/>
      <w:numFmt w:val="decimal"/>
      <w:start w:val="13"/>
    </w:lvl>
  </w:abstractNum>
  <w:abstractNum w:abstractNumId="138">
    <w:nsid w:val="545EE5D3"/>
    <w:multiLevelType w:val="hybridMultilevel"/>
    <w:lvl w:ilvl="0">
      <w:lvlJc w:val="left"/>
      <w:lvlText w:val="(%1)"/>
      <w:numFmt w:val="lowerLetter"/>
      <w:start w:val="1"/>
    </w:lvl>
  </w:abstractNum>
  <w:abstractNum w:abstractNumId="139">
    <w:nsid w:val="4A66051"/>
    <w:multiLevelType w:val="hybridMultilevel"/>
    <w:lvl w:ilvl="0">
      <w:lvlJc w:val="left"/>
      <w:lvlText w:val="(%1)"/>
      <w:numFmt w:val="lowerLetter"/>
      <w:start w:val="3"/>
    </w:lvl>
  </w:abstractNum>
  <w:abstractNum w:abstractNumId="140">
    <w:nsid w:val="20F4BDAD"/>
    <w:multiLevelType w:val="hybridMultilevel"/>
    <w:lvl w:ilvl="0">
      <w:lvlJc w:val="left"/>
      <w:lvlText w:val="%1."/>
      <w:numFmt w:val="decimal"/>
      <w:start w:val="17"/>
    </w:lvl>
  </w:abstractNum>
  <w:abstractNum w:abstractNumId="141">
    <w:nsid w:val="639DEFAC"/>
    <w:multiLevelType w:val="hybridMultilevel"/>
    <w:lvl w:ilvl="0">
      <w:lvlJc w:val="left"/>
      <w:lvlText w:val="%1."/>
      <w:numFmt w:val="decimal"/>
      <w:start w:val="20"/>
    </w:lvl>
  </w:abstractNum>
  <w:abstractNum w:abstractNumId="142">
    <w:nsid w:val="501F9786"/>
    <w:multiLevelType w:val="hybridMultilevel"/>
    <w:lvl w:ilvl="0">
      <w:lvlJc w:val="left"/>
      <w:lvlText w:val="%1."/>
      <w:numFmt w:val="decimal"/>
      <w:start w:val="21"/>
    </w:lvl>
  </w:abstractNum>
  <w:abstractNum w:abstractNumId="143">
    <w:nsid w:val="6B057295"/>
    <w:multiLevelType w:val="hybridMultilevel"/>
    <w:lvl w:ilvl="0">
      <w:lvlJc w:val="left"/>
      <w:lvlText w:val="(%1)"/>
      <w:numFmt w:val="lowerLetter"/>
      <w:start w:val="1"/>
    </w:lvl>
  </w:abstractNum>
  <w:abstractNum w:abstractNumId="144">
    <w:nsid w:val="2771AC80"/>
    <w:multiLevelType w:val="hybridMultilevel"/>
    <w:lvl w:ilvl="0">
      <w:lvlJc w:val="left"/>
      <w:lvlText w:val="(%1)"/>
      <w:numFmt w:val="lowerRoman"/>
      <w:start w:val="1"/>
    </w:lvl>
  </w:abstractNum>
  <w:abstractNum w:abstractNumId="145">
    <w:nsid w:val="1C4A08EC"/>
    <w:multiLevelType w:val="hybridMultilevel"/>
    <w:lvl w:ilvl="0">
      <w:lvlJc w:val="left"/>
      <w:lvlText w:val="1"/>
      <w:numFmt w:val="bullet"/>
      <w:start w:val="1"/>
    </w:lvl>
  </w:abstractNum>
  <w:abstractNum w:abstractNumId="146">
    <w:nsid w:val="1958BD17"/>
    <w:multiLevelType w:val="hybridMultilevel"/>
    <w:lvl w:ilvl="0">
      <w:lvlJc w:val="left"/>
      <w:lvlText w:val="2"/>
      <w:numFmt w:val="bullet"/>
      <w:start w:val="1"/>
    </w:lvl>
  </w:abstractNum>
  <w:abstractNum w:abstractNumId="147">
    <w:nsid w:val="4E647FE4"/>
    <w:multiLevelType w:val="hybridMultilevel"/>
    <w:lvl w:ilvl="0">
      <w:lvlJc w:val="left"/>
      <w:lvlText w:val="3"/>
      <w:numFmt w:val="bullet"/>
      <w:start w:val="1"/>
    </w:lvl>
  </w:abstractNum>
  <w:abstractNum w:abstractNumId="148">
    <w:nsid w:val="E0BB885"/>
    <w:multiLevelType w:val="hybridMultilevel"/>
    <w:lvl w:ilvl="0">
      <w:lvlJc w:val="left"/>
      <w:lvlText w:val="4"/>
      <w:numFmt w:val="bullet"/>
      <w:start w:val="1"/>
    </w:lvl>
  </w:abstractNum>
  <w:abstractNum w:abstractNumId="149">
    <w:nsid w:val="565976F1"/>
    <w:multiLevelType w:val="hybridMultilevel"/>
    <w:lvl w:ilvl="0">
      <w:lvlJc w:val="left"/>
      <w:lvlText w:val="5"/>
      <w:numFmt w:val="bullet"/>
      <w:start w:val="1"/>
    </w:lvl>
  </w:abstractNum>
  <w:abstractNum w:abstractNumId="150">
    <w:nsid w:val="64212B8C"/>
    <w:multiLevelType w:val="hybridMultilevel"/>
    <w:lvl w:ilvl="0">
      <w:lvlJc w:val="left"/>
      <w:lvlText w:val="6"/>
      <w:numFmt w:val="bullet"/>
      <w:start w:val="1"/>
    </w:lvl>
  </w:abstractNum>
  <w:abstractNum w:abstractNumId="151">
    <w:nsid w:val="5C17530C"/>
    <w:multiLevelType w:val="hybridMultilevel"/>
    <w:lvl w:ilvl="0">
      <w:lvlJc w:val="left"/>
      <w:lvlText w:val="7"/>
      <w:numFmt w:val="bullet"/>
      <w:start w:val="1"/>
    </w:lvl>
  </w:abstractNum>
  <w:abstractNum w:abstractNumId="152">
    <w:nsid w:val="19A52566"/>
    <w:multiLevelType w:val="hybridMultilevel"/>
    <w:lvl w:ilvl="0">
      <w:lvlJc w:val="left"/>
      <w:lvlText w:val="1"/>
      <w:numFmt w:val="bullet"/>
      <w:start w:val="1"/>
    </w:lvl>
  </w:abstractNum>
  <w:abstractNum w:abstractNumId="153">
    <w:nsid w:val="335A1DF1"/>
    <w:multiLevelType w:val="hybridMultilevel"/>
    <w:lvl w:ilvl="0">
      <w:lvlJc w:val="left"/>
      <w:lvlText w:val="(%1)"/>
      <w:numFmt w:val="lowerLetter"/>
      <w:start w:val="10"/>
    </w:lvl>
  </w:abstractNum>
  <w:abstractNum w:abstractNumId="154">
    <w:nsid w:val="28677B7C"/>
    <w:multiLevelType w:val="hybridMultilevel"/>
    <w:lvl w:ilvl="0">
      <w:lvlJc w:val="left"/>
      <w:lvlText w:val="2"/>
      <w:numFmt w:val="bullet"/>
      <w:start w:val="1"/>
    </w:lvl>
  </w:abstractNum>
  <w:abstractNum w:abstractNumId="155">
    <w:nsid w:val="378D97C0"/>
    <w:multiLevelType w:val="hybridMultilevel"/>
    <w:lvl w:ilvl="0">
      <w:lvlJc w:val="left"/>
      <w:lvlText w:val="3"/>
      <w:numFmt w:val="bullet"/>
      <w:start w:val="1"/>
    </w:lvl>
  </w:abstractNum>
  <w:abstractNum w:abstractNumId="156">
    <w:nsid w:val="1D91467C"/>
    <w:multiLevelType w:val="hybridMultilevel"/>
    <w:lvl w:ilvl="0">
      <w:lvlJc w:val="left"/>
      <w:lvlText w:val="4"/>
      <w:numFmt w:val="bullet"/>
      <w:start w:val="1"/>
    </w:lvl>
  </w:abstractNum>
  <w:abstractNum w:abstractNumId="157">
    <w:nsid w:val="316032BB"/>
    <w:multiLevelType w:val="hybridMultilevel"/>
    <w:lvl w:ilvl="0">
      <w:lvlJc w:val="left"/>
      <w:lvlText w:val="5"/>
      <w:numFmt w:val="bullet"/>
      <w:start w:val="1"/>
    </w:lvl>
  </w:abstractNum>
  <w:abstractNum w:abstractNumId="158">
    <w:nsid w:val="44344C22"/>
    <w:multiLevelType w:val="hybridMultilevel"/>
    <w:lvl w:ilvl="0">
      <w:lvlJc w:val="left"/>
      <w:lvlText w:val="6"/>
      <w:numFmt w:val="bullet"/>
      <w:start w:val="1"/>
    </w:lvl>
  </w:abstractNum>
  <w:abstractNum w:abstractNumId="159">
    <w:nsid w:val="13CDFCFC"/>
    <w:multiLevelType w:val="hybridMultilevel"/>
    <w:lvl w:ilvl="0">
      <w:lvlJc w:val="left"/>
      <w:lvlText w:val="7"/>
      <w:numFmt w:val="bullet"/>
      <w:start w:val="1"/>
    </w:lvl>
  </w:abstractNum>
  <w:abstractNum w:abstractNumId="160">
    <w:nsid w:val="471745E4"/>
    <w:multiLevelType w:val="hybridMultilevel"/>
    <w:lvl w:ilvl="0">
      <w:lvlJc w:val="left"/>
      <w:lvlText w:val="8"/>
      <w:numFmt w:val="bullet"/>
      <w:start w:val="1"/>
    </w:lvl>
  </w:abstractNum>
  <w:abstractNum w:abstractNumId="161">
    <w:nsid w:val="1DDBC66"/>
    <w:multiLevelType w:val="hybridMultilevel"/>
    <w:lvl w:ilvl="0">
      <w:lvlJc w:val="left"/>
      <w:lvlText w:val="(%1)"/>
      <w:numFmt w:val="lowerLetter"/>
      <w:start w:val="1"/>
    </w:lvl>
  </w:abstractNum>
  <w:abstractNum w:abstractNumId="162">
    <w:nsid w:val="30AADFDA"/>
    <w:multiLevelType w:val="hybridMultilevel"/>
    <w:lvl w:ilvl="0">
      <w:lvlJc w:val="left"/>
      <w:lvlText w:val="9"/>
      <w:numFmt w:val="bullet"/>
      <w:start w:val="1"/>
    </w:lvl>
  </w:abstractNum>
  <w:abstractNum w:abstractNumId="163">
    <w:nsid w:val="30EADA61"/>
    <w:multiLevelType w:val="hybridMultilevel"/>
    <w:lvl w:ilvl="0">
      <w:lvlJc w:val="left"/>
      <w:lvlText w:val="%1"/>
      <w:numFmt w:val="decimal"/>
      <w:start w:val="11"/>
    </w:lvl>
  </w:abstractNum>
  <w:abstractNum w:abstractNumId="164">
    <w:nsid w:val="27179C0B"/>
    <w:multiLevelType w:val="hybridMultilevel"/>
    <w:lvl w:ilvl="0">
      <w:lvlJc w:val="left"/>
      <w:lvlText w:val="(%1)"/>
      <w:numFmt w:val="lowerLetter"/>
      <w:start w:val="1"/>
    </w:lvl>
  </w:abstractNum>
  <w:abstractNum w:abstractNumId="165">
    <w:nsid w:val="5E636063"/>
    <w:multiLevelType w:val="hybridMultilevel"/>
    <w:lvl w:ilvl="0">
      <w:lvlJc w:val="left"/>
      <w:lvlText w:val="(%1)"/>
      <w:numFmt w:val="lowerLetter"/>
      <w:start w:val="1"/>
    </w:lvl>
  </w:abstractNum>
  <w:abstractNum w:abstractNumId="166">
    <w:nsid w:val="215641AF"/>
    <w:multiLevelType w:val="hybridMultilevel"/>
    <w:lvl w:ilvl="0">
      <w:lvlJc w:val="left"/>
      <w:lvlText w:val="%1"/>
      <w:numFmt w:val="decimal"/>
      <w:start w:val="19"/>
    </w:lvl>
  </w:abstractNum>
  <w:abstractNum w:abstractNumId="167">
    <w:nsid w:val="53280662"/>
    <w:multiLevelType w:val="hybridMultilevel"/>
    <w:lvl w:ilvl="0">
      <w:lvlJc w:val="left"/>
      <w:lvlText w:val="(%1)"/>
      <w:numFmt w:val="lowerLetter"/>
      <w:start w:val="1"/>
    </w:lvl>
  </w:abstractNum>
  <w:abstractNum w:abstractNumId="168">
    <w:nsid w:val="46B24DBC"/>
    <w:multiLevelType w:val="hybridMultilevel"/>
    <w:lvl w:ilvl="0">
      <w:lvlJc w:val="left"/>
      <w:lvlText w:val="%1"/>
      <w:numFmt w:val="decimal"/>
      <w:start w:val="26"/>
    </w:lvl>
  </w:abstractNum>
  <w:abstractNum w:abstractNumId="169">
    <w:nsid w:val="75B52783"/>
    <w:multiLevelType w:val="hybridMultilevel"/>
    <w:lvl w:ilvl="0">
      <w:lvlJc w:val="left"/>
      <w:lvlText w:val="%1"/>
      <w:numFmt w:val="decimal"/>
      <w:start w:val="30"/>
    </w:lvl>
    <w:lvl w:ilvl="1">
      <w:lvlJc w:val="left"/>
      <w:lvlText w:val="(%2)"/>
      <w:numFmt w:val="lowerLetter"/>
      <w:start w:val="1"/>
    </w:lvl>
  </w:abstractNum>
  <w:abstractNum w:abstractNumId="170">
    <w:nsid w:val="57CE66B4"/>
    <w:multiLevelType w:val="hybridMultilevel"/>
    <w:lvl w:ilvl="0">
      <w:lvlJc w:val="left"/>
      <w:lvlText w:val="%1"/>
      <w:numFmt w:val="decimal"/>
      <w:start w:val="32"/>
    </w:lvl>
  </w:abstractNum>
  <w:abstractNum w:abstractNumId="171">
    <w:nsid w:val="67A70B69"/>
    <w:multiLevelType w:val="hybridMultilevel"/>
    <w:lvl w:ilvl="0">
      <w:lvlJc w:val="left"/>
      <w:lvlText w:val="%1"/>
      <w:numFmt w:val="decimal"/>
      <w:start w:val="34"/>
    </w:lvl>
  </w:abstractNum>
  <w:abstractNum w:abstractNumId="172">
    <w:nsid w:val="5953172F"/>
    <w:multiLevelType w:val="hybridMultilevel"/>
    <w:lvl w:ilvl="0">
      <w:lvlJc w:val="left"/>
      <w:lvlText w:val="%1"/>
      <w:numFmt w:val="decimal"/>
      <w:start w:val="36"/>
    </w:lvl>
  </w:abstractNum>
  <w:abstractNum w:abstractNumId="173">
    <w:nsid w:val="27EDFE3A"/>
    <w:multiLevelType w:val="hybridMultilevel"/>
    <w:lvl w:ilvl="0">
      <w:lvlJc w:val="left"/>
      <w:lvlText w:val="%1"/>
      <w:numFmt w:val="decimal"/>
      <w:start w:val="40"/>
    </w:lvl>
  </w:abstractNum>
  <w:abstractNum w:abstractNumId="174">
    <w:nsid w:val="52AC7DFF"/>
    <w:multiLevelType w:val="hybridMultilevel"/>
    <w:lvl w:ilvl="0">
      <w:lvlJc w:val="left"/>
      <w:lvlText w:val="(%1)"/>
      <w:numFmt w:val="lowerLetter"/>
      <w:start w:val="1"/>
    </w:lvl>
  </w:abstractNum>
  <w:abstractNum w:abstractNumId="175">
    <w:nsid w:val="C4C3AF"/>
    <w:multiLevelType w:val="hybridMultilevel"/>
    <w:lvl w:ilvl="0">
      <w:lvlJc w:val="left"/>
      <w:lvlText w:val="%1"/>
      <w:numFmt w:val="decimal"/>
      <w:start w:val="46"/>
    </w:lvl>
  </w:abstractNum>
  <w:abstractNum w:abstractNumId="176">
    <w:nsid w:val="44380727"/>
    <w:multiLevelType w:val="hybridMultilevel"/>
    <w:lvl w:ilvl="0">
      <w:lvlJc w:val="left"/>
      <w:lvlText w:val="(%1)"/>
      <w:numFmt w:val="lowerLetter"/>
      <w:start w:val="1"/>
    </w:lvl>
  </w:abstractNum>
  <w:abstractNum w:abstractNumId="177">
    <w:nsid w:val="6C053B16"/>
    <w:multiLevelType w:val="hybridMultilevel"/>
    <w:lvl w:ilvl="0">
      <w:lvlJc w:val="left"/>
      <w:lvlText w:val="(%1)"/>
      <w:numFmt w:val="lowerLetter"/>
      <w:start w:val="1"/>
    </w:lvl>
  </w:abstractNum>
  <w:abstractNum w:abstractNumId="178">
    <w:nsid w:val="4F294393"/>
    <w:multiLevelType w:val="hybridMultilevel"/>
    <w:lvl w:ilvl="0">
      <w:lvlJc w:val="left"/>
      <w:lvlText w:val="(%1)"/>
      <w:numFmt w:val="lowerRoman"/>
      <w:start w:val="2"/>
    </w:lvl>
  </w:abstractNum>
  <w:abstractNum w:abstractNumId="179">
    <w:nsid w:val="5243BFAC"/>
    <w:multiLevelType w:val="hybridMultilevel"/>
    <w:lvl w:ilvl="0">
      <w:lvlJc w:val="left"/>
      <w:lvlText w:val="(%1)"/>
      <w:numFmt w:val="decimal"/>
      <w:start w:val="1"/>
    </w:lvl>
  </w:abstractNum>
  <w:abstractNum w:abstractNumId="180">
    <w:nsid w:val="425EB207"/>
    <w:multiLevelType w:val="hybridMultilevel"/>
    <w:lvl w:ilvl="0">
      <w:lvlJc w:val="left"/>
      <w:lvlText w:val="%1."/>
      <w:numFmt w:val="decimal"/>
      <w:start w:val="1"/>
    </w:lvl>
  </w:abstractNum>
  <w:abstractNum w:abstractNumId="181">
    <w:nsid w:val="334A6F1F"/>
    <w:multiLevelType w:val="hybridMultilevel"/>
    <w:lvl w:ilvl="0">
      <w:lvlJc w:val="left"/>
      <w:lvlText w:val="(%1)"/>
      <w:numFmt w:val="lowerLetter"/>
      <w:start w:val="1"/>
    </w:lvl>
  </w:abstractNum>
  <w:abstractNum w:abstractNumId="182">
    <w:nsid w:val="2E5B12B8"/>
    <w:multiLevelType w:val="hybridMultilevel"/>
    <w:lvl w:ilvl="0">
      <w:lvlJc w:val="left"/>
      <w:lvlText w:val="%1."/>
      <w:numFmt w:val="decimal"/>
      <w:start w:val="3"/>
    </w:lvl>
  </w:abstractNum>
  <w:abstractNum w:abstractNumId="183">
    <w:nsid w:val="5C03D76D"/>
    <w:multiLevelType w:val="hybridMultilevel"/>
    <w:lvl w:ilvl="0">
      <w:lvlJc w:val="left"/>
      <w:lvlText w:val="(%1)"/>
      <w:numFmt w:val="lowerLetter"/>
      <w:start w:val="1"/>
    </w:lvl>
  </w:abstractNum>
  <w:abstractNum w:abstractNumId="184">
    <w:nsid w:val="66A48D11"/>
    <w:multiLevelType w:val="hybridMultilevel"/>
    <w:lvl w:ilvl="0">
      <w:lvlJc w:val="left"/>
      <w:lvlText w:val="(%1)"/>
      <w:numFmt w:val="lowerLetter"/>
      <w:start w:val="2"/>
    </w:lvl>
  </w:abstractNum>
  <w:abstractNum w:abstractNumId="185">
    <w:nsid w:val="56C28E34"/>
    <w:multiLevelType w:val="hybridMultilevel"/>
    <w:lvl w:ilvl="0">
      <w:lvlJc w:val="left"/>
      <w:lvlText w:val="%1."/>
      <w:numFmt w:val="decimal"/>
      <w:start w:val="4"/>
    </w:lvl>
  </w:abstractNum>
  <w:abstractNum w:abstractNumId="186">
    <w:nsid w:val="13916F2D"/>
    <w:multiLevelType w:val="hybridMultilevel"/>
    <w:lvl w:ilvl="0">
      <w:lvlJc w:val="left"/>
      <w:lvlText w:val="(%1)"/>
      <w:numFmt w:val="lowerRoman"/>
      <w:start w:val="1"/>
    </w:lvl>
  </w:abstractNum>
  <w:abstractNum w:abstractNumId="187">
    <w:nsid w:val="435D38D"/>
    <w:multiLevelType w:val="hybridMultilevel"/>
    <w:lvl w:ilvl="0">
      <w:lvlJc w:val="left"/>
      <w:lvlText w:val="%1."/>
      <w:numFmt w:val="decimal"/>
      <w:start w:val="5"/>
    </w:lvl>
  </w:abstractNum>
  <w:abstractNum w:abstractNumId="188">
    <w:nsid w:val="822C0EF"/>
    <w:multiLevelType w:val="hybridMultilevel"/>
    <w:lvl w:ilvl="0">
      <w:lvlJc w:val="left"/>
      <w:lvlText w:val="%1."/>
      <w:numFmt w:val="decimal"/>
      <w:start w:val="6"/>
    </w:lvl>
  </w:abstractNum>
  <w:abstractNum w:abstractNumId="189">
    <w:nsid w:val="57C5BB4F"/>
    <w:multiLevelType w:val="hybridMultilevel"/>
    <w:lvl w:ilvl="0">
      <w:lvlJc w:val="left"/>
      <w:lvlText w:val="%1."/>
      <w:numFmt w:val="decimal"/>
      <w:start w:val="7"/>
    </w:lvl>
  </w:abstractNum>
  <w:abstractNum w:abstractNumId="190">
    <w:nsid w:val="1803D089"/>
    <w:multiLevelType w:val="hybridMultilevel"/>
    <w:lvl w:ilvl="0">
      <w:lvlJc w:val="left"/>
      <w:lvlText w:val="%1."/>
      <w:numFmt w:val="decimal"/>
      <w:start w:val="8"/>
    </w:lvl>
  </w:abstractNum>
  <w:abstractNum w:abstractNumId="191">
    <w:nsid w:val="4F3A06D4"/>
    <w:multiLevelType w:val="hybridMultilevel"/>
    <w:lvl w:ilvl="0">
      <w:lvlJc w:val="left"/>
      <w:lvlText w:val="%1."/>
      <w:numFmt w:val="decimal"/>
      <w:start w:val="9"/>
    </w:lvl>
  </w:abstractNum>
  <w:abstractNum w:abstractNumId="192">
    <w:nsid w:val="59A377B6"/>
    <w:multiLevelType w:val="hybridMultilevel"/>
    <w:lvl w:ilvl="0">
      <w:lvlJc w:val="left"/>
      <w:lvlText w:val="(%1)"/>
      <w:numFmt w:val="lowerLetter"/>
      <w:start w:val="1"/>
    </w:lvl>
  </w:abstractNum>
  <w:abstractNum w:abstractNumId="193">
    <w:nsid w:val="48AEB063"/>
    <w:multiLevelType w:val="hybridMultilevel"/>
    <w:lvl w:ilvl="0">
      <w:lvlJc w:val="left"/>
      <w:lvlText w:val="1"/>
      <w:numFmt w:val="bullet"/>
      <w:start w:val="1"/>
    </w:lvl>
  </w:abstractNum>
  <w:abstractNum w:abstractNumId="194">
    <w:nsid w:val="24E135"/>
    <w:multiLevelType w:val="hybridMultilevel"/>
    <w:lvl w:ilvl="0">
      <w:lvlJc w:val="left"/>
      <w:lvlText w:val="2"/>
      <w:numFmt w:val="bullet"/>
      <w:start w:val="1"/>
    </w:lvl>
  </w:abstractNum>
  <w:abstractNum w:abstractNumId="195">
    <w:nsid w:val="BB13C1"/>
    <w:multiLevelType w:val="hybridMultilevel"/>
    <w:lvl w:ilvl="0">
      <w:lvlJc w:val="left"/>
      <w:lvlText w:val="3"/>
      <w:numFmt w:val="bullet"/>
      <w:start w:val="1"/>
    </w:lvl>
  </w:abstractNum>
  <w:abstractNum w:abstractNumId="196">
    <w:nsid w:val="271210C7"/>
    <w:multiLevelType w:val="hybridMultilevel"/>
    <w:lvl w:ilvl="0">
      <w:lvlJc w:val="left"/>
      <w:lvlText w:val="4"/>
      <w:numFmt w:val="bullet"/>
      <w:start w:val="1"/>
    </w:lvl>
  </w:abstractNum>
  <w:abstractNum w:abstractNumId="197">
    <w:nsid w:val="217B22E4"/>
    <w:multiLevelType w:val="hybridMultilevel"/>
    <w:lvl w:ilvl="0">
      <w:lvlJc w:val="left"/>
      <w:lvlText w:val="(%1)"/>
      <w:numFmt w:val="lowerLetter"/>
      <w:start w:val="1"/>
    </w:lvl>
  </w:abstractNum>
  <w:abstractNum w:abstractNumId="198">
    <w:nsid w:val="53E31A24"/>
    <w:multiLevelType w:val="hybridMultilevel"/>
    <w:lvl w:ilvl="0">
      <w:lvlJc w:val="left"/>
      <w:lvlText w:val="1"/>
      <w:numFmt w:val="bullet"/>
      <w:start w:val="1"/>
    </w:lvl>
  </w:abstractNum>
  <w:abstractNum w:abstractNumId="199">
    <w:nsid w:val="6DC45E83"/>
    <w:multiLevelType w:val="hybridMultilevel"/>
    <w:lvl w:ilvl="0">
      <w:lvlJc w:val="left"/>
      <w:lvlText w:val="2"/>
      <w:numFmt w:val="bullet"/>
      <w:start w:val="1"/>
    </w:lvl>
  </w:abstractNum>
  <w:abstractNum w:abstractNumId="200">
    <w:nsid w:val="17304A67"/>
    <w:multiLevelType w:val="hybridMultilevel"/>
    <w:lvl w:ilvl="0">
      <w:lvlJc w:val="left"/>
      <w:lvlText w:val="3"/>
      <w:numFmt w:val="bullet"/>
      <w:start w:val="1"/>
    </w:lvl>
  </w:abstractNum>
  <w:abstractNum w:abstractNumId="201">
    <w:nsid w:val="2BB180D8"/>
    <w:multiLevelType w:val="hybridMultilevel"/>
    <w:lvl w:ilvl="0">
      <w:lvlJc w:val="left"/>
      <w:lvlText w:val="4"/>
      <w:numFmt w:val="bullet"/>
      <w:start w:val="1"/>
    </w:lvl>
  </w:abstractNum>
  <w:abstractNum w:abstractNumId="202">
    <w:nsid w:val="556B69ED"/>
    <w:multiLevelType w:val="hybridMultilevel"/>
    <w:lvl w:ilvl="0">
      <w:lvlJc w:val="left"/>
      <w:lvlText w:val="5"/>
      <w:numFmt w:val="bullet"/>
      <w:start w:val="1"/>
    </w:lvl>
  </w:abstractNum>
  <w:abstractNum w:abstractNumId="203">
    <w:nsid w:val="70836196"/>
    <w:multiLevelType w:val="hybridMultilevel"/>
    <w:lvl w:ilvl="0">
      <w:lvlJc w:val="left"/>
      <w:lvlText w:val="6"/>
      <w:numFmt w:val="bullet"/>
      <w:start w:val="1"/>
    </w:lvl>
  </w:abstractNum>
  <w:abstractNum w:abstractNumId="204">
    <w:nsid w:val="539F7F12"/>
    <w:multiLevelType w:val="hybridMultilevel"/>
    <w:lvl w:ilvl="0">
      <w:lvlJc w:val="left"/>
      <w:lvlText w:val="7"/>
      <w:numFmt w:val="bullet"/>
      <w:start w:val="1"/>
    </w:lvl>
  </w:abstractNum>
  <w:abstractNum w:abstractNumId="205">
    <w:nsid w:val="2817E7EC"/>
    <w:multiLevelType w:val="hybridMultilevel"/>
    <w:lvl w:ilvl="0">
      <w:lvlJc w:val="left"/>
      <w:lvlText w:val="8"/>
      <w:numFmt w:val="bullet"/>
      <w:start w:val="1"/>
    </w:lvl>
  </w:abstractNum>
  <w:abstractNum w:abstractNumId="206">
    <w:nsid w:val="71482545"/>
    <w:multiLevelType w:val="hybridMultilevel"/>
    <w:lvl w:ilvl="0">
      <w:lvlJc w:val="left"/>
      <w:lvlText w:val="9"/>
      <w:numFmt w:val="bullet"/>
      <w:start w:val="1"/>
    </w:lvl>
  </w:abstractNum>
  <w:abstractNum w:abstractNumId="207">
    <w:nsid w:val="17D78639"/>
    <w:multiLevelType w:val="hybridMultilevel"/>
    <w:lvl w:ilvl="0">
      <w:lvlJc w:val="left"/>
      <w:lvlText w:val="%1"/>
      <w:numFmt w:val="decimal"/>
      <w:start w:val="10"/>
    </w:lvl>
  </w:abstractNum>
  <w:abstractNum w:abstractNumId="208">
    <w:nsid w:val="141D2302"/>
    <w:multiLevelType w:val="hybridMultilevel"/>
    <w:lvl w:ilvl="0">
      <w:lvlJc w:val="left"/>
      <w:lvlText w:val="(%1)"/>
      <w:numFmt w:val="lowerRoman"/>
      <w:start w:val="1"/>
    </w:lvl>
  </w:abstractNum>
  <w:abstractNum w:abstractNumId="209">
    <w:nsid w:val="407168D8"/>
    <w:multiLevelType w:val="hybridMultilevel"/>
    <w:lvl w:ilvl="0">
      <w:lvlJc w:val="left"/>
      <w:lvlText w:val="%1."/>
      <w:numFmt w:val="decimal"/>
      <w:start w:val="1"/>
    </w:lvl>
  </w:abstractNum>
  <w:abstractNum w:abstractNumId="210">
    <w:nsid w:val="6A1B45E5"/>
    <w:multiLevelType w:val="hybridMultilevel"/>
    <w:lvl w:ilvl="0">
      <w:lvlJc w:val="left"/>
      <w:lvlText w:val="%1"/>
      <w:numFmt w:val="lowerRoman"/>
      <w:start w:val="1"/>
    </w:lvl>
    <w:lvl w:ilvl="1">
      <w:lvlJc w:val="left"/>
      <w:lvlText w:val="%2."/>
      <w:numFmt w:val="decimal"/>
      <w:start w:val="1"/>
    </w:lvl>
  </w:abstractNum>
  <w:abstractNum w:abstractNumId="211">
    <w:nsid w:val="567BD50A"/>
    <w:multiLevelType w:val="hybridMultilevel"/>
    <w:lvl w:ilvl="0">
      <w:lvlJc w:val="left"/>
      <w:lvlText w:val="(%1)"/>
      <w:numFmt w:val="lowerRoman"/>
      <w:start w:val="3"/>
    </w:lvl>
    <w:lvl w:ilvl="1">
      <w:lvlJc w:val="left"/>
      <w:lvlText w:val="%2"/>
      <w:numFmt w:val="decimal"/>
      <w:start w:val="1"/>
    </w:lvl>
  </w:abstractNum>
  <w:abstractNum w:abstractNumId="212">
    <w:nsid w:val="73BBD7F8"/>
    <w:multiLevelType w:val="hybridMultilevel"/>
    <w:lvl w:ilvl="0">
      <w:lvlJc w:val="left"/>
      <w:lvlText w:val="%1."/>
      <w:numFmt w:val="decimal"/>
      <w:start w:val="3"/>
    </w:lvl>
  </w:abstractNum>
  <w:abstractNum w:abstractNumId="213">
    <w:nsid w:val="1876589D"/>
    <w:multiLevelType w:val="hybridMultilevel"/>
    <w:lvl w:ilvl="0">
      <w:lvlJc w:val="left"/>
      <w:lvlText w:val="%1."/>
      <w:numFmt w:val="decimal"/>
      <w:start w:val="6"/>
    </w:lvl>
    <w:lvl w:ilvl="1">
      <w:lvlJc w:val="left"/>
      <w:lvlText w:val="(%2)"/>
      <w:numFmt w:val="lowerLetter"/>
      <w:start w:val="2"/>
    </w:lvl>
  </w:abstractNum>
  <w:abstractNum w:abstractNumId="214">
    <w:nsid w:val="327FAC77"/>
    <w:multiLevelType w:val="hybridMultilevel"/>
    <w:lvl w:ilvl="0">
      <w:lvlJc w:val="left"/>
      <w:lvlText w:val="%1"/>
      <w:numFmt w:val="lowerRoman"/>
      <w:start w:val="1"/>
    </w:lvl>
    <w:lvl w:ilvl="1">
      <w:lvlJc w:val="left"/>
      <w:lvlText w:val="%2."/>
      <w:numFmt w:val="decimal"/>
      <w:start w:val="9"/>
    </w:lvl>
  </w:abstractNum>
  <w:abstractNum w:abstractNumId="215">
    <w:nsid w:val="5A606509"/>
    <w:multiLevelType w:val="hybridMultilevel"/>
    <w:lvl w:ilvl="0">
      <w:lvlJc w:val="left"/>
      <w:lvlText w:val="(%1)"/>
      <w:numFmt w:val="lowerRoman"/>
      <w:start w:val="5"/>
    </w:lvl>
    <w:lvl w:ilvl="1">
      <w:lvlJc w:val="left"/>
      <w:lvlText w:val="%2."/>
      <w:numFmt w:val="decimal"/>
      <w:start w:val="12"/>
    </w:lvl>
  </w:abstractNum>
  <w:abstractNum w:abstractNumId="216">
    <w:nsid w:val="6F38E6D1"/>
    <w:multiLevelType w:val="hybridMultilevel"/>
    <w:lvl w:ilvl="0">
      <w:lvlJc w:val="left"/>
      <w:lvlText w:val="%1."/>
      <w:numFmt w:val="decimal"/>
      <w:start w:val="13"/>
    </w:lvl>
  </w:abstractNum>
  <w:abstractNum w:abstractNumId="217">
    <w:nsid w:val="46111BA5"/>
    <w:multiLevelType w:val="hybridMultilevel"/>
    <w:lvl w:ilvl="0">
      <w:lvlJc w:val="left"/>
      <w:lvlText w:val="%1."/>
      <w:numFmt w:val="decimal"/>
      <w:start w:val="1"/>
    </w:lvl>
  </w:abstractNum>
  <w:abstractNum w:abstractNumId="218">
    <w:nsid w:val="5E963896"/>
    <w:multiLevelType w:val="hybridMultilevel"/>
    <w:lvl w:ilvl="0">
      <w:lvlJc w:val="left"/>
      <w:lvlText w:val="(%1)"/>
      <w:numFmt w:val="lowerLetter"/>
      <w:start w:val="1"/>
    </w:lvl>
  </w:abstractNum>
  <w:abstractNum w:abstractNumId="219">
    <w:nsid w:val="775BA7C1"/>
    <w:multiLevelType w:val="hybridMultilevel"/>
    <w:lvl w:ilvl="0">
      <w:lvlJc w:val="left"/>
      <w:lvlText w:val="(%1)"/>
      <w:numFmt w:val="lowerLetter"/>
      <w:start w:val="10"/>
    </w:lvl>
  </w:abstractNum>
  <w:abstractNum w:abstractNumId="220">
    <w:nsid w:val="1DD6D6F4"/>
    <w:multiLevelType w:val="hybridMultilevel"/>
    <w:lvl w:ilvl="0">
      <w:lvlJc w:val="left"/>
      <w:lvlText w:val="%1"/>
      <w:numFmt w:val="decimal"/>
      <w:start w:val="1"/>
    </w:lvl>
    <w:lvl w:ilvl="1">
      <w:lvlJc w:val="left"/>
      <w:lvlText w:val="(%2)"/>
      <w:numFmt w:val="lowerLetter"/>
      <w:start w:val="12"/>
    </w:lvl>
  </w:abstractNum>
  <w:abstractNum w:abstractNumId="221">
    <w:nsid w:val="769A091F"/>
    <w:multiLevelType w:val="hybridMultilevel"/>
    <w:lvl w:ilvl="0">
      <w:lvlJc w:val="left"/>
      <w:lvlText w:val="%1."/>
      <w:numFmt w:val="decimal"/>
      <w:start w:val="2"/>
    </w:lvl>
    <w:lvl w:ilvl="1">
      <w:lvlJc w:val="left"/>
      <w:lvlText w:val="(%2)"/>
      <w:numFmt w:val="lowerLetter"/>
      <w:start w:val="1"/>
    </w:lvl>
  </w:abstractNum>
  <w:abstractNum w:abstractNumId="222">
    <w:nsid w:val="4695AE95"/>
    <w:multiLevelType w:val="hybridMultilevel"/>
    <w:lvl w:ilvl="0">
      <w:lvlJc w:val="left"/>
      <w:lvlText w:val="%1"/>
      <w:numFmt w:val="decimal"/>
      <w:start w:val="1"/>
    </w:lvl>
    <w:lvl w:ilvl="1">
      <w:lvlJc w:val="left"/>
      <w:lvlText w:val="(%2)"/>
      <w:numFmt w:val="lowerLetter"/>
      <w:start w:val="3"/>
    </w:lvl>
  </w:abstractNum>
  <w:abstractNum w:abstractNumId="223">
    <w:nsid w:val="777A4EAA"/>
    <w:multiLevelType w:val="hybridMultilevel"/>
    <w:lvl w:ilvl="0">
      <w:lvlJc w:val="left"/>
      <w:lvlText w:val="%1."/>
      <w:numFmt w:val="decimal"/>
      <w:start w:val="3"/>
    </w:lvl>
    <w:lvl w:ilvl="1">
      <w:lvlJc w:val="left"/>
      <w:lvlText w:val="(%2)"/>
      <w:numFmt w:val="lowerLetter"/>
      <w:start w:val="1"/>
    </w:lvl>
  </w:abstractNum>
  <w:abstractNum w:abstractNumId="224">
    <w:nsid w:val="3F48B982"/>
    <w:multiLevelType w:val="hybridMultilevel"/>
    <w:lvl w:ilvl="0">
      <w:lvlJc w:val="left"/>
      <w:lvlText w:val="(%1)"/>
      <w:numFmt w:val="lowerLetter"/>
      <w:start w:val="3"/>
    </w:lvl>
  </w:abstractNum>
  <w:abstractNum w:abstractNumId="225">
    <w:nsid w:val="46BA8FCA"/>
    <w:multiLevelType w:val="hybridMultilevel"/>
    <w:lvl w:ilvl="0">
      <w:lvlJc w:val="left"/>
      <w:lvlText w:val="%1"/>
      <w:numFmt w:val="decimal"/>
      <w:start w:val="1"/>
    </w:lvl>
    <w:lvl w:ilvl="1">
      <w:lvlJc w:val="left"/>
      <w:lvlText w:val="(%2)"/>
      <w:numFmt w:val="lowerLetter"/>
      <w:start w:val="11"/>
    </w:lvl>
  </w:abstractNum>
  <w:abstractNum w:abstractNumId="226">
    <w:nsid w:val="7835626C"/>
    <w:multiLevelType w:val="hybridMultilevel"/>
    <w:lvl w:ilvl="0">
      <w:lvlJc w:val="left"/>
      <w:lvlText w:val="%1."/>
      <w:numFmt w:val="decimal"/>
      <w:start w:val="4"/>
    </w:lvl>
    <w:lvl w:ilvl="1">
      <w:lvlJc w:val="left"/>
      <w:lvlText w:val="(%2)"/>
      <w:numFmt w:val="lowerLetter"/>
      <w:start w:val="1"/>
    </w:lvl>
  </w:abstractNum>
  <w:abstractNum w:abstractNumId="227">
    <w:nsid w:val="665ACA49"/>
    <w:multiLevelType w:val="hybridMultilevel"/>
    <w:lvl w:ilvl="0">
      <w:lvlJc w:val="left"/>
      <w:lvlText w:val="%1."/>
      <w:numFmt w:val="decimal"/>
      <w:start w:val="6"/>
    </w:lvl>
    <w:lvl w:ilvl="1">
      <w:lvlJc w:val="left"/>
      <w:lvlText w:val="(%2)"/>
      <w:numFmt w:val="lowerLetter"/>
      <w:start w:val="1"/>
    </w:lvl>
  </w:abstractNum>
  <w:abstractNum w:abstractNumId="228">
    <w:nsid w:val="6835B2AE"/>
    <w:multiLevelType w:val="hybridMultilevel"/>
    <w:lvl w:ilvl="0">
      <w:lvlJc w:val="left"/>
      <w:lvlText w:val="(%1)"/>
      <w:numFmt w:val="lowerLetter"/>
      <w:start w:val="6"/>
    </w:lvl>
  </w:abstractNum>
  <w:abstractNum w:abstractNumId="229">
    <w:nsid w:val="4C187C90"/>
    <w:multiLevelType w:val="hybridMultilevel"/>
    <w:lvl w:ilvl="0">
      <w:lvlJc w:val="left"/>
      <w:lvlText w:val="(%1)"/>
      <w:numFmt w:val="lowerLetter"/>
      <w:start w:val="8"/>
    </w:lvl>
  </w:abstractNum>
  <w:abstractNum w:abstractNumId="230">
    <w:nsid w:val="541F28CD"/>
    <w:multiLevelType w:val="hybridMultilevel"/>
    <w:lvl w:ilvl="0">
      <w:lvlJc w:val="left"/>
      <w:lvlText w:val="[·]"/>
      <w:numFmt w:val="bullet"/>
      <w:start w:val="1"/>
    </w:lvl>
  </w:abstractNum>
  <w:abstractNum w:abstractNumId="231">
    <w:nsid w:val="7F65FD16"/>
    <w:multiLevelType w:val="hybridMultilevel"/>
    <w:lvl w:ilvl="0">
      <w:lvlJc w:val="left"/>
      <w:lvlText w:val="(%1)"/>
      <w:numFmt w:val="upperLetter"/>
      <w:start w:val="2"/>
    </w:lvl>
  </w:abstractNum>
  <w:abstractNum w:abstractNumId="232">
    <w:nsid w:val="77C9FD68"/>
    <w:multiLevelType w:val="hybridMultilevel"/>
    <w:lvl w:ilvl="0">
      <w:lvlJc w:val="left"/>
      <w:lvlText w:val="(%1)"/>
      <w:numFmt w:val="lowerLetter"/>
      <w:start w:val="2"/>
    </w:lvl>
  </w:abstractNum>
  <w:abstractNum w:abstractNumId="233">
    <w:nsid w:val="298A92BA"/>
    <w:multiLevelType w:val="hybridMultilevel"/>
    <w:lvl w:ilvl="0">
      <w:lvlJc w:val="left"/>
      <w:lvlText w:val="(%1)"/>
      <w:numFmt w:val="upperLetter"/>
      <w:start w:val="1"/>
    </w:lvl>
  </w:abstractNum>
  <w:abstractNum w:abstractNumId="234">
    <w:nsid w:val="6FE95EAC"/>
    <w:multiLevelType w:val="hybridMultilevel"/>
    <w:lvl w:ilvl="0">
      <w:lvlJc w:val="left"/>
      <w:lvlText w:val="(%1)"/>
      <w:numFmt w:val="lowerLetter"/>
      <w:start w:val="1"/>
    </w:lvl>
  </w:abstractNum>
  <w:abstractNum w:abstractNumId="235">
    <w:nsid w:val="4B697C7A"/>
    <w:multiLevelType w:val="hybridMultilevel"/>
    <w:lvl w:ilvl="0">
      <w:lvlJc w:val="left"/>
      <w:lvlText w:val="(%1)"/>
      <w:numFmt w:val="lowerLetter"/>
      <w:start w:val="2"/>
    </w:lvl>
  </w:abstractNum>
  <w:abstractNum w:abstractNumId="236">
    <w:nsid w:val="51A27AA6"/>
    <w:multiLevelType w:val="hybridMultilevel"/>
    <w:lvl w:ilvl="0">
      <w:lvlJc w:val="left"/>
      <w:lvlText w:val="(%1)"/>
      <w:numFmt w:val="upperLetter"/>
      <w:start w:val="1"/>
    </w:lvl>
  </w:abstractNum>
  <w:abstractNum w:abstractNumId="237">
    <w:nsid w:val="613183F2"/>
    <w:multiLevelType w:val="hybridMultilevel"/>
    <w:lvl w:ilvl="0">
      <w:lvlJc w:val="left"/>
      <w:lvlText w:val="(%1)"/>
      <w:numFmt w:val="lowerLetter"/>
      <w:start w:val="1"/>
    </w:lvl>
    <w:lvl w:ilvl="1">
      <w:lvlJc w:val="left"/>
      <w:lvlText w:val="(%2)"/>
      <w:numFmt w:val="lowerLetter"/>
      <w:start w:val="9"/>
    </w:lvl>
  </w:abstractNum>
  <w:abstractNum w:abstractNumId="238">
    <w:nsid w:val="634102B4"/>
    <w:multiLevelType w:val="hybridMultilevel"/>
    <w:lvl w:ilvl="0">
      <w:lvlJc w:val="left"/>
      <w:lvlText w:val="%1"/>
      <w:numFmt w:val="lowerLetter"/>
      <w:start w:val="1"/>
    </w:lvl>
    <w:lvl w:ilvl="1">
      <w:lvlJc w:val="left"/>
      <w:lvlText w:val="(%2)"/>
      <w:numFmt w:val="lowerLetter"/>
      <w:start w:val="35"/>
    </w:lvl>
  </w:abstractNum>
  <w:abstractNum w:abstractNumId="239">
    <w:nsid w:val="65BF9DA8"/>
    <w:multiLevelType w:val="hybridMultilevel"/>
    <w:lvl w:ilvl="0">
      <w:lvlJc w:val="left"/>
      <w:lvlText w:val="(%1)"/>
      <w:numFmt w:val="lowerLetter"/>
      <w:start w:val="3"/>
    </w:lvl>
    <w:lvl w:ilvl="1">
      <w:lvlJc w:val="left"/>
      <w:lvlText w:val="(%2)"/>
      <w:numFmt w:val="lowerLetter"/>
      <w:start w:val="9"/>
    </w:lvl>
  </w:abstractNum>
  <w:abstractNum w:abstractNumId="240">
    <w:nsid w:val="21A2ECCA"/>
    <w:multiLevelType w:val="hybridMultilevel"/>
    <w:lvl w:ilvl="0">
      <w:lvlJc w:val="left"/>
      <w:lvlText w:val="(%1)"/>
      <w:numFmt w:val="lowerRoman"/>
      <w:start w:val="2"/>
    </w:lvl>
  </w:abstractNum>
  <w:abstractNum w:abstractNumId="241">
    <w:nsid w:val="4D5C4899"/>
    <w:multiLevelType w:val="hybridMultilevel"/>
    <w:lvl w:ilvl="0">
      <w:lvlJc w:val="left"/>
      <w:lvlText w:val="(%1)"/>
      <w:numFmt w:val="lowerLetter"/>
      <w:start w:val="1"/>
    </w:lvl>
  </w:abstractNum>
  <w:abstractNum w:abstractNumId="242">
    <w:nsid w:val="3C3B72B2"/>
    <w:multiLevelType w:val="hybridMultilevel"/>
    <w:lvl w:ilvl="0">
      <w:lvlJc w:val="left"/>
      <w:lvlText w:val="(%1)"/>
      <w:numFmt w:val="lowerLetter"/>
      <w:start w:val="2"/>
    </w:lvl>
    <w:lvl w:ilvl="1">
      <w:lvlJc w:val="left"/>
      <w:lvlText w:val="(%2)"/>
      <w:numFmt w:val="lowerRoman"/>
      <w:start w:val="1"/>
    </w:lvl>
  </w:abstractNum>
  <w:abstractNum w:abstractNumId="243">
    <w:nsid w:val="155EC4C2"/>
    <w:multiLevelType w:val="hybridMultilevel"/>
    <w:lvl w:ilvl="0">
      <w:lvlJc w:val="left"/>
      <w:lvlText w:val="(%1)"/>
      <w:numFmt w:val="lowerLetter"/>
      <w:start w:val="1"/>
    </w:lvl>
    <w:lvl w:ilvl="1">
      <w:lvlJc w:val="left"/>
      <w:lvlText w:val="(%2)"/>
      <w:numFmt w:val="lowerRoman"/>
      <w:start w:val="1"/>
    </w:lvl>
  </w:abstractNum>
  <w:abstractNum w:abstractNumId="244">
    <w:nsid w:val="65D2A137"/>
    <w:multiLevelType w:val="hybridMultilevel"/>
    <w:lvl w:ilvl="0">
      <w:lvlJc w:val="left"/>
      <w:lvlText w:val="(%1)"/>
      <w:numFmt w:val="lowerRoman"/>
      <w:start w:val="4"/>
    </w:lvl>
  </w:abstractNum>
  <w:abstractNum w:abstractNumId="245">
    <w:nsid w:val="6EBB1F2A"/>
    <w:multiLevelType w:val="hybridMultilevel"/>
    <w:lvl w:ilvl="0">
      <w:lvlJc w:val="left"/>
      <w:lvlText w:val="(%1)"/>
      <w:numFmt w:val="lowerLetter"/>
      <w:start w:val="1"/>
    </w:lvl>
  </w:abstractNum>
  <w:abstractNum w:abstractNumId="246">
    <w:nsid w:val="6FBF29CB"/>
    <w:multiLevelType w:val="hybridMultilevel"/>
    <w:lvl w:ilvl="0">
      <w:lvlJc w:val="left"/>
      <w:lvlText w:val="(%1)"/>
      <w:numFmt w:val="lowerLetter"/>
      <w:start w:val="1"/>
    </w:lvl>
  </w:abstractNum>
  <w:abstractNum w:abstractNumId="247">
    <w:nsid w:val="550B8808"/>
    <w:multiLevelType w:val="hybridMultilevel"/>
    <w:lvl w:ilvl="0">
      <w:lvlJc w:val="left"/>
      <w:lvlText w:val="(%1)"/>
      <w:numFmt w:val="lowerLetter"/>
      <w:start w:val="1"/>
    </w:lvl>
  </w:abstractNum>
  <w:abstractNum w:abstractNumId="248">
    <w:nsid w:val="34CC3ACF"/>
    <w:multiLevelType w:val="hybridMultilevel"/>
    <w:lvl w:ilvl="0">
      <w:lvlJc w:val="left"/>
      <w:lvlText w:val="%1."/>
      <w:numFmt w:val="decimal"/>
      <w:start w:val="1"/>
    </w:lvl>
  </w:abstractNum>
  <w:abstractNum w:abstractNumId="249">
    <w:nsid w:val="4E556261"/>
    <w:multiLevelType w:val="hybridMultilevel"/>
    <w:lvl w:ilvl="0">
      <w:lvlJc w:val="left"/>
      <w:lvlText w:val="(%1)"/>
      <w:numFmt w:val="lowerLetter"/>
      <w:start w:val="1"/>
    </w:lvl>
  </w:abstractNum>
  <w:abstractNum w:abstractNumId="250">
    <w:nsid w:val="4C672FC9"/>
    <w:multiLevelType w:val="hybridMultilevel"/>
    <w:lvl w:ilvl="0">
      <w:lvlJc w:val="left"/>
      <w:lvlText w:val="(%1)"/>
      <w:numFmt w:val="lowerRoman"/>
      <w:start w:val="1"/>
    </w:lvl>
  </w:abstractNum>
  <w:abstractNum w:abstractNumId="251">
    <w:nsid w:val="52A311C3"/>
    <w:multiLevelType w:val="hybridMultilevel"/>
    <w:lvl w:ilvl="0">
      <w:lvlJc w:val="left"/>
      <w:lvlText w:val="(%1)"/>
      <w:numFmt w:val="lowerRoman"/>
      <w:start w:val="3"/>
    </w:lvl>
  </w:abstractNum>
  <w:abstractNum w:abstractNumId="252">
    <w:nsid w:val="44EF6B80"/>
    <w:multiLevelType w:val="hybridMultilevel"/>
    <w:lvl w:ilvl="0">
      <w:lvlJc w:val="left"/>
      <w:lvlText w:val="(%1)"/>
      <w:numFmt w:val="lowerLetter"/>
      <w:start w:val="5"/>
    </w:lvl>
  </w:abstractNum>
  <w:abstractNum w:abstractNumId="253">
    <w:nsid w:val="12FCDE5E"/>
    <w:multiLevelType w:val="hybridMultilevel"/>
    <w:lvl w:ilvl="0">
      <w:lvlJc w:val="left"/>
      <w:lvlText w:val="(%1)"/>
      <w:numFmt w:val="lowerLetter"/>
      <w:start w:val="7"/>
    </w:lvl>
  </w:abstractNum>
  <w:abstractNum w:abstractNumId="254">
    <w:nsid w:val="4A1D606E"/>
    <w:multiLevelType w:val="hybridMultilevel"/>
    <w:lvl w:ilvl="0">
      <w:lvlJc w:val="left"/>
      <w:lvlText w:val="(%1)"/>
      <w:numFmt w:val="lowerLetter"/>
      <w:start w:val="14"/>
    </w:lvl>
  </w:abstractNum>
  <w:abstractNum w:abstractNumId="255">
    <w:nsid w:val="4382503"/>
    <w:multiLevelType w:val="hybridMultilevel"/>
    <w:lvl w:ilvl="0">
      <w:lvlJc w:val="left"/>
      <w:lvlText w:val="%1."/>
      <w:numFmt w:val="decimal"/>
      <w:start w:val="3"/>
    </w:lvl>
  </w:abstractNum>
  <w:abstractNum w:abstractNumId="256">
    <w:nsid w:val="59B76E28"/>
    <w:multiLevelType w:val="hybridMultilevel"/>
    <w:lvl w:ilvl="0">
      <w:lvlJc w:val="left"/>
      <w:lvlText w:val="%1."/>
      <w:numFmt w:val="decimal"/>
      <w:start w:val="4"/>
    </w:lvl>
  </w:abstractNum>
  <w:abstractNum w:abstractNumId="257">
    <w:nsid w:val="4252C2DA"/>
    <w:multiLevelType w:val="hybridMultilevel"/>
    <w:lvl w:ilvl="0">
      <w:lvlJc w:val="left"/>
      <w:lvlText w:val="%1."/>
      <w:numFmt w:val="decimal"/>
      <w:start w:val="6"/>
    </w:lvl>
  </w:abstractNum>
  <w:abstractNum w:abstractNumId="258">
    <w:nsid w:val="6A92EF4C"/>
    <w:multiLevelType w:val="hybridMultilevel"/>
    <w:lvl w:ilvl="0">
      <w:lvlJc w:val="left"/>
      <w:lvlText w:val="(%1)"/>
      <w:numFmt w:val="lowerLetter"/>
      <w:start w:val="1"/>
    </w:lvl>
  </w:abstractNum>
  <w:abstractNum w:abstractNumId="259">
    <w:nsid w:val="41ED20D7"/>
    <w:multiLevelType w:val="hybridMultilevel"/>
    <w:lvl w:ilvl="0">
      <w:lvlJc w:val="left"/>
      <w:lvlText w:val="%1."/>
      <w:numFmt w:val="decimal"/>
      <w:start w:val="8"/>
    </w:lvl>
  </w:abstractNum>
  <w:abstractNum w:abstractNumId="260">
    <w:nsid w:val="E6B3F6A"/>
    <w:multiLevelType w:val="hybridMultilevel"/>
    <w:lvl w:ilvl="0">
      <w:lvlJc w:val="left"/>
      <w:lvlText w:val="(%1)"/>
      <w:numFmt w:val="lowerLetter"/>
      <w:start w:val="1"/>
    </w:lvl>
  </w:abstractNum>
  <w:abstractNum w:abstractNumId="261">
    <w:nsid w:val="3EB21819"/>
    <w:multiLevelType w:val="hybridMultilevel"/>
    <w:lvl w:ilvl="0">
      <w:lvlJc w:val="left"/>
      <w:lvlText w:val="(%1)"/>
      <w:numFmt w:val="lowerLetter"/>
      <w:start w:val="2"/>
    </w:lvl>
  </w:abstractNum>
  <w:abstractNum w:abstractNumId="262">
    <w:nsid w:val="41531DED"/>
    <w:multiLevelType w:val="hybridMultilevel"/>
    <w:lvl w:ilvl="0">
      <w:lvlJc w:val="left"/>
      <w:lvlText w:val="%1."/>
      <w:numFmt w:val="decimal"/>
      <w:start w:val="9"/>
    </w:lvl>
  </w:abstractNum>
  <w:abstractNum w:abstractNumId="263">
    <w:nsid w:val="6353CD2"/>
    <w:multiLevelType w:val="hybridMultilevel"/>
    <w:lvl w:ilvl="0">
      <w:lvlJc w:val="left"/>
      <w:lvlText w:val="(%1)"/>
      <w:numFmt w:val="lowerLetter"/>
      <w:start w:val="1"/>
    </w:lvl>
  </w:abstractNum>
  <w:abstractNum w:abstractNumId="264">
    <w:nsid w:val="683CAAD3"/>
    <w:multiLevelType w:val="hybridMultilevel"/>
    <w:lvl w:ilvl="0">
      <w:lvlJc w:val="left"/>
      <w:lvlText w:val="%1."/>
      <w:numFmt w:val="decimal"/>
      <w:start w:val="10"/>
    </w:lvl>
  </w:abstractNum>
  <w:abstractNum w:abstractNumId="265">
    <w:nsid w:val="313C7C99"/>
    <w:multiLevelType w:val="hybridMultilevel"/>
    <w:lvl w:ilvl="0">
      <w:lvlJc w:val="left"/>
      <w:lvlText w:val="(%1)"/>
      <w:numFmt w:val="lowerLetter"/>
      <w:start w:val="1"/>
    </w:lvl>
  </w:abstractNum>
  <w:abstractNum w:abstractNumId="266">
    <w:nsid w:val="519EB94C"/>
    <w:multiLevelType w:val="hybridMultilevel"/>
    <w:lvl w:ilvl="0">
      <w:lvlJc w:val="left"/>
      <w:lvlText w:val="(%1)"/>
      <w:numFmt w:val="lowerLetter"/>
      <w:start w:val="2"/>
    </w:lvl>
  </w:abstractNum>
  <w:abstractNum w:abstractNumId="267">
    <w:nsid w:val="39DF2579"/>
    <w:multiLevelType w:val="hybridMultilevel"/>
    <w:lvl w:ilvl="0">
      <w:lvlJc w:val="left"/>
      <w:lvlText w:val="%1."/>
      <w:numFmt w:val="decimal"/>
      <w:start w:val="11"/>
    </w:lvl>
  </w:abstractNum>
  <w:abstractNum w:abstractNumId="268">
    <w:nsid w:val="126E008B"/>
    <w:multiLevelType w:val="hybridMultilevel"/>
    <w:lvl w:ilvl="0">
      <w:lvlJc w:val="left"/>
      <w:lvlText w:val="(%1)"/>
      <w:numFmt w:val="lowerLetter"/>
      <w:start w:val="1"/>
    </w:lvl>
  </w:abstractNum>
  <w:abstractNum w:abstractNumId="269">
    <w:nsid w:val="34DFBC00"/>
    <w:multiLevelType w:val="hybridMultilevel"/>
    <w:lvl w:ilvl="0">
      <w:lvlJc w:val="left"/>
      <w:lvlText w:val="%1."/>
      <w:numFmt w:val="decimal"/>
      <w:start w:val="12"/>
    </w:lvl>
  </w:abstractNum>
  <w:abstractNum w:abstractNumId="270">
    <w:nsid w:val="1F9EC322"/>
    <w:multiLevelType w:val="hybridMultilevel"/>
    <w:lvl w:ilvl="0">
      <w:lvlJc w:val="left"/>
      <w:lvlText w:val="(%1)"/>
      <w:numFmt w:val="lowerLetter"/>
      <w:start w:val="1"/>
    </w:lvl>
  </w:abstractNum>
  <w:abstractNum w:abstractNumId="271">
    <w:nsid w:val="3410ED56"/>
    <w:multiLevelType w:val="hybridMultilevel"/>
    <w:lvl w:ilvl="0">
      <w:lvlJc w:val="left"/>
      <w:lvlText w:val="(%1)"/>
      <w:numFmt w:val="lowerLetter"/>
      <w:start w:val="2"/>
    </w:lvl>
  </w:abstractNum>
  <w:abstractNum w:abstractNumId="272">
    <w:nsid w:val="23C049A"/>
    <w:multiLevelType w:val="hybridMultilevel"/>
    <w:lvl w:ilvl="0">
      <w:lvlJc w:val="left"/>
      <w:lvlText w:val="(%1)"/>
      <w:numFmt w:val="lowerLetter"/>
      <w:start w:val="3"/>
    </w:lvl>
  </w:abstractNum>
  <w:abstractNum w:abstractNumId="273">
    <w:nsid w:val="5BDA35D4"/>
    <w:multiLevelType w:val="hybridMultilevel"/>
    <w:lvl w:ilvl="0">
      <w:lvlJc w:val="left"/>
      <w:lvlText w:val="%1."/>
      <w:numFmt w:val="decimal"/>
      <w:start w:val="13"/>
    </w:lvl>
  </w:abstractNum>
  <w:abstractNum w:abstractNumId="274">
    <w:nsid w:val="496FB218"/>
    <w:multiLevelType w:val="hybridMultilevel"/>
    <w:lvl w:ilvl="0">
      <w:lvlJc w:val="left"/>
      <w:lvlText w:val="(%1)"/>
      <w:numFmt w:val="lowerLetter"/>
      <w:start w:val="1"/>
    </w:lvl>
  </w:abstractNum>
  <w:abstractNum w:abstractNumId="275">
    <w:nsid w:val="680EA5D1"/>
    <w:multiLevelType w:val="hybridMultilevel"/>
    <w:lvl w:ilvl="0">
      <w:lvlJc w:val="left"/>
      <w:lvlText w:val="(%1)"/>
      <w:numFmt w:val="lowerLetter"/>
      <w:start w:val="4"/>
    </w:lvl>
  </w:abstractNum>
  <w:abstractNum w:abstractNumId="276">
    <w:nsid w:val="4A9554FE"/>
    <w:multiLevelType w:val="hybridMultilevel"/>
    <w:lvl w:ilvl="0">
      <w:lvlJc w:val="left"/>
      <w:lvlText w:val="%1."/>
      <w:numFmt w:val="decimal"/>
      <w:start w:val="14"/>
    </w:lvl>
  </w:abstractNum>
  <w:abstractNum w:abstractNumId="277">
    <w:nsid w:val="392EDBE4"/>
    <w:multiLevelType w:val="hybridMultilevel"/>
    <w:lvl w:ilvl="0">
      <w:lvlJc w:val="left"/>
      <w:lvlText w:val="(%1)"/>
      <w:numFmt w:val="lowerLetter"/>
      <w:start w:val="1"/>
    </w:lvl>
  </w:abstractNum>
  <w:abstractNum w:abstractNumId="278">
    <w:nsid w:val="3D1A2DD9"/>
    <w:multiLevelType w:val="hybridMultilevel"/>
    <w:lvl w:ilvl="0">
      <w:lvlJc w:val="left"/>
      <w:lvlText w:val="(%1)"/>
      <w:numFmt w:val="lowerLetter"/>
      <w:start w:val="3"/>
    </w:lvl>
  </w:abstractNum>
  <w:abstractNum w:abstractNumId="279">
    <w:nsid w:val="7F618FCD"/>
    <w:multiLevelType w:val="hybridMultilevel"/>
    <w:lvl w:ilvl="0">
      <w:lvlJc w:val="left"/>
      <w:lvlText w:val="%1."/>
      <w:numFmt w:val="decimal"/>
      <w:start w:val="15"/>
    </w:lvl>
  </w:abstractNum>
  <w:abstractNum w:abstractNumId="280">
    <w:nsid w:val="7843E45"/>
    <w:multiLevelType w:val="hybridMultilevel"/>
    <w:lvl w:ilvl="0">
      <w:lvlJc w:val="left"/>
      <w:lvlText w:val="(%1)"/>
      <w:numFmt w:val="lowerLetter"/>
      <w:start w:val="1"/>
    </w:lvl>
  </w:abstractNum>
  <w:abstractNum w:abstractNumId="281">
    <w:nsid w:val="9815DA3"/>
    <w:multiLevelType w:val="hybridMultilevel"/>
    <w:lvl w:ilvl="0">
      <w:lvlJc w:val="left"/>
      <w:lvlText w:val="(%1)"/>
      <w:numFmt w:val="lowerLetter"/>
      <w:start w:val="3"/>
    </w:lvl>
  </w:abstractNum>
  <w:abstractNum w:abstractNumId="282">
    <w:nsid w:val="5204A191"/>
    <w:multiLevelType w:val="hybridMultilevel"/>
    <w:lvl w:ilvl="0">
      <w:lvlJc w:val="left"/>
      <w:lvlText w:val="%1."/>
      <w:numFmt w:val="decimal"/>
      <w:start w:val="17"/>
    </w:lvl>
  </w:abstractNum>
  <w:abstractNum w:abstractNumId="283">
    <w:nsid w:val="4C73A9C6"/>
    <w:multiLevelType w:val="hybridMultilevel"/>
    <w:lvl w:ilvl="0">
      <w:lvlJc w:val="left"/>
      <w:lvlText w:val="(%1)"/>
      <w:numFmt w:val="lowerLetter"/>
      <w:start w:val="1"/>
    </w:lvl>
  </w:abstractNum>
  <w:abstractNum w:abstractNumId="284">
    <w:nsid w:val="1C7E3C01"/>
    <w:multiLevelType w:val="hybridMultilevel"/>
    <w:lvl w:ilvl="0">
      <w:lvlJc w:val="left"/>
      <w:lvlText w:val="(%1)"/>
      <w:numFmt w:val="lowerLetter"/>
      <w:start w:val="4"/>
    </w:lvl>
  </w:abstractNum>
  <w:abstractNum w:abstractNumId="285">
    <w:nsid w:val="1C2201FF"/>
    <w:multiLevelType w:val="hybridMultilevel"/>
    <w:lvl w:ilvl="0">
      <w:lvlJc w:val="left"/>
      <w:lvlText w:val="%1."/>
      <w:numFmt w:val="decimal"/>
      <w:start w:val="20"/>
    </w:lvl>
  </w:abstractNum>
  <w:abstractNum w:abstractNumId="286">
    <w:nsid w:val="50ABCEC9"/>
    <w:multiLevelType w:val="hybridMultilevel"/>
    <w:lvl w:ilvl="0">
      <w:lvlJc w:val="left"/>
      <w:lvlText w:val="(%1)"/>
      <w:numFmt w:val="lowerLetter"/>
      <w:start w:val="1"/>
    </w:lvl>
  </w:abstractNum>
  <w:abstractNum w:abstractNumId="287">
    <w:nsid w:val="7635AA2A"/>
    <w:multiLevelType w:val="hybridMultilevel"/>
    <w:lvl w:ilvl="0">
      <w:lvlJc w:val="left"/>
      <w:lvlText w:val="%1."/>
      <w:numFmt w:val="decimal"/>
      <w:start w:val="22"/>
    </w:lvl>
  </w:abstractNum>
  <w:abstractNum w:abstractNumId="288">
    <w:nsid w:val="5E74C4D9"/>
    <w:multiLevelType w:val="hybridMultilevel"/>
    <w:lvl w:ilvl="0">
      <w:lvlJc w:val="left"/>
      <w:lvlText w:val="%1."/>
      <w:numFmt w:val="decimal"/>
      <w:start w:val="26"/>
    </w:lvl>
  </w:abstractNum>
  <w:abstractNum w:abstractNumId="289">
    <w:nsid w:val="3B3EBE1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jpeg"/><Relationship Id="rId399" Type="http://schemas.openxmlformats.org/officeDocument/2006/relationships/image" Target="media/image388.png"/><Relationship Id="rId400" Type="http://schemas.openxmlformats.org/officeDocument/2006/relationships/image" Target="media/image389.jpe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252" Type="http://schemas.openxmlformats.org/officeDocument/2006/relationships/hyperlink" Target="http://www.sec.gov/Archives/edgar/data/1779474/000095010319009505/dp109911_ex0301.htm" TargetMode="External"/><Relationship Id="rId253" Type="http://schemas.openxmlformats.org/officeDocument/2006/relationships/hyperlink" Target="http://www.sec.gov/Archives/edgar/data/1779474/000095010319009505/dp109911_ex1001.htm" TargetMode="External"/><Relationship Id="rId254" Type="http://schemas.openxmlformats.org/officeDocument/2006/relationships/hyperlink" Target="http://www.sec.gov/Archives/edgar/data/1779474/000095010319009505/dp109911_ex1005.htm" TargetMode="External"/><Relationship Id="rId255" Type="http://schemas.openxmlformats.org/officeDocument/2006/relationships/hyperlink" Target="http://www.sec.gov/Archives/edgar/data/1779474/000095010319009505/dp109911_s1.htm#power"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2019-11-30T17:45:57Z</dcterms:created>
  <dcterms:modified xsi:type="dcterms:W3CDTF">2019-11-30T17:45:57Z</dcterms:modified>
</cp:coreProperties>
</file>