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Gregory M. Gentile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Silver Spike Acquisition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660 Madison Ave., Suite 1600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10065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Silver Spike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1, 2021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333-252186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Gentile: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March 26, 2021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Form S-4 filed April 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Selected Historical Financial Information of Silver Spike, page 49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the revised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19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 in response to prior comment 1. Please further revise the introductory paragraph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address the fiscal year end December 31, 2020 information and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remove reference to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period ended September 30, 2020. Further, please remove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column with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period ended September 30, 2019 information, as this is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included in the fiscal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 December 31, 2019 information, or advise.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Gregory M. Gentile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Silver SpikeLastNameGregory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Corp.M. Gentile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NameSilver Spike Acquisition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214, 2021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completion of the business combination, the post-merger WMH equity holders..., page 85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post-merger New WMH common stock holder percentages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disclosed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 total greater than 100%. Further, the percentages disclosed do not agree with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post-merger organizational chart on page 13. Please revise or advise. Unaudited Pro Forma Condensed Combined Financial Information, page 184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that, pursuant to the Exchange Agreement, the post-merger WMH equity holders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have the right to exchange their post-merger WMH units for shares of Class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 or cash. Please tell us who determines the form of consideration to be paid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upon redemption (i.e., the Company or New WMH's Board of Directors), and in the case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cash redemption clarify whether that will be paid from current cash or assets on hand.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Also, explain how you determined that the noncontrolling interests should be classified in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permanent equity and the specific guidance you considered.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Brittany Ebbertt, Senior Staff Accountant,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551-3572 or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Christine Dietz, Senior Staff Accountant, at (202) 551-3408 if you have questions regarding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Mitchell Austin, Staff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551-3574 or Jan Woo, Legal Branch Chief, at (202) 551-3453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237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Derek J. Dostal, Esq.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2021-06-23T23:07:33Z</dcterms:created>
  <dcterms:modified xsi:type="dcterms:W3CDTF">2021-06-23T23:07:33Z</dcterms:modified>
</cp:coreProperties>
</file>