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59"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(Mark One)</w:t>
      </w:r>
    </w:p>
    <w:p>
      <w:pPr>
        <w:spacing w:after="0" w:line="240" w:lineRule="exact"/>
        <w:rPr>
          <w:sz w:val="24"/>
          <w:szCs w:val="24"/>
          <w:color w:val="auto"/>
        </w:rPr>
      </w:pPr>
    </w:p>
    <w:p>
      <w:pPr>
        <w:ind w:left="1380" w:hanging="1372"/>
        <w:spacing w:after="0"/>
        <w:tabs>
          <w:tab w:leader="none" w:pos="1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 the quarterly period ended September 30, 2020</w:t>
      </w:r>
    </w:p>
    <w:p>
      <w:pPr>
        <w:spacing w:after="0" w:line="242" w:lineRule="exact"/>
        <w:rPr>
          <w:sz w:val="24"/>
          <w:szCs w:val="24"/>
          <w:color w:val="auto"/>
        </w:rPr>
      </w:pPr>
    </w:p>
    <w:p>
      <w:pPr>
        <w:ind w:left="1200" w:hanging="1192"/>
        <w:spacing w:after="0"/>
        <w:tabs>
          <w:tab w:leader="none" w:pos="12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 the transition period from</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Commission File No. 001-39021</w:t>
      </w:r>
    </w:p>
    <w:p>
      <w:pPr>
        <w:spacing w:after="0" w:line="217"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Silver Spike Acquisition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7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Cayman Islands</w:t>
            </w:r>
          </w:p>
        </w:tc>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6"/>
              </w:rPr>
              <w:t>N/A</w:t>
            </w:r>
          </w:p>
        </w:tc>
      </w:tr>
      <w:tr>
        <w:trPr>
          <w:trHeight w:val="230"/>
        </w:trPr>
        <w:tc>
          <w:tcPr>
            <w:tcW w:w="5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bl>
    <w:p>
      <w:pPr>
        <w:spacing w:after="0" w:line="210"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600 Madison Ave, 17th Floor</w:t>
      </w:r>
    </w:p>
    <w:p>
      <w:pPr>
        <w:spacing w:after="0" w:line="27" w:lineRule="exact"/>
        <w:rPr>
          <w:sz w:val="24"/>
          <w:szCs w:val="24"/>
          <w:color w:val="auto"/>
        </w:rPr>
      </w:pPr>
    </w:p>
    <w:p>
      <w:pPr>
        <w:ind w:left="4560"/>
        <w:spacing w:after="0"/>
        <w:rPr>
          <w:sz w:val="20"/>
          <w:szCs w:val="20"/>
          <w:color w:val="auto"/>
        </w:rPr>
      </w:pPr>
      <w:r>
        <w:rPr>
          <w:rFonts w:ascii="Arial" w:cs="Arial" w:eastAsia="Arial" w:hAnsi="Arial"/>
          <w:sz w:val="18"/>
          <w:szCs w:val="18"/>
          <w:b w:val="1"/>
          <w:bCs w:val="1"/>
          <w:color w:val="auto"/>
        </w:rPr>
        <w:t>New York, New York 10022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4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(212) 905-4923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24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45" w:lineRule="exact"/>
        <w:rPr>
          <w:sz w:val="24"/>
          <w:szCs w:val="24"/>
          <w:color w:val="auto"/>
        </w:rPr>
      </w:pPr>
    </w:p>
    <w:p>
      <w:pPr>
        <w:ind w:left="660"/>
        <w:spacing w:after="0"/>
        <w:rPr>
          <w:sz w:val="20"/>
          <w:szCs w:val="20"/>
          <w:color w:val="auto"/>
        </w:rPr>
      </w:pPr>
      <w:r>
        <w:rPr>
          <w:rFonts w:ascii="Arial" w:cs="Arial" w:eastAsia="Arial" w:hAnsi="Arial"/>
          <w:sz w:val="22"/>
          <w:szCs w:val="22"/>
          <w:color w:val="auto"/>
        </w:rPr>
        <w:t>Securities registered pursuant to Section 12(b) of the Act:</w:t>
      </w:r>
    </w:p>
    <w:p>
      <w:pPr>
        <w:spacing w:after="0" w:line="23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w:t>
            </w:r>
          </w:p>
        </w:tc>
      </w:tr>
      <w:tr>
        <w:trPr>
          <w:trHeight w:val="241"/>
        </w:trPr>
        <w:tc>
          <w:tcPr>
            <w:tcW w:w="38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Title of each class</w:t>
            </w:r>
          </w:p>
        </w:tc>
        <w:tc>
          <w:tcPr>
            <w:tcW w:w="3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8"/>
              </w:rPr>
              <w:t>which registered</w:t>
            </w:r>
          </w:p>
        </w:tc>
      </w:tr>
      <w:tr>
        <w:trPr>
          <w:trHeight w:val="202"/>
        </w:trPr>
        <w:tc>
          <w:tcPr>
            <w:tcW w:w="3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Class A ordinary shares, par value $0.0001 per</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SSPK</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4"/>
              </w:rPr>
              <w:t>The NASDAQ Stock Market LLC</w:t>
            </w:r>
          </w:p>
        </w:tc>
      </w:tr>
      <w:tr>
        <w:trPr>
          <w:trHeight w:val="216"/>
        </w:trPr>
        <w:tc>
          <w:tcPr>
            <w:tcW w:w="3840" w:type="dxa"/>
            <w:vAlign w:val="bottom"/>
            <w:gridSpan w:val="2"/>
          </w:tcPr>
          <w:p>
            <w:pPr>
              <w:jc w:val="center"/>
              <w:ind w:right="260"/>
              <w:spacing w:after="0"/>
              <w:rPr>
                <w:sz w:val="20"/>
                <w:szCs w:val="20"/>
                <w:color w:val="auto"/>
              </w:rPr>
            </w:pPr>
            <w:r>
              <w:rPr>
                <w:rFonts w:ascii="Arial" w:cs="Arial" w:eastAsia="Arial" w:hAnsi="Arial"/>
                <w:sz w:val="18"/>
                <w:szCs w:val="18"/>
                <w:color w:val="auto"/>
                <w:w w:val="84"/>
              </w:rPr>
              <w:t>share</w:t>
            </w: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16"/>
        </w:trPr>
        <w:tc>
          <w:tcPr>
            <w:tcW w:w="384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Redeemable warrants, each whole warrant</w:t>
            </w:r>
          </w:p>
        </w:tc>
        <w:tc>
          <w:tcPr>
            <w:tcW w:w="380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SSPKW</w:t>
            </w:r>
          </w:p>
        </w:tc>
        <w:tc>
          <w:tcPr>
            <w:tcW w:w="3600" w:type="dxa"/>
            <w:vAlign w:val="bottom"/>
          </w:tcPr>
          <w:p>
            <w:pPr>
              <w:jc w:val="center"/>
              <w:spacing w:after="0"/>
              <w:rPr>
                <w:sz w:val="20"/>
                <w:szCs w:val="20"/>
                <w:color w:val="auto"/>
              </w:rPr>
            </w:pPr>
            <w:r>
              <w:rPr>
                <w:rFonts w:ascii="Arial" w:cs="Arial" w:eastAsia="Arial" w:hAnsi="Arial"/>
                <w:sz w:val="18"/>
                <w:szCs w:val="18"/>
                <w:color w:val="auto"/>
                <w:w w:val="94"/>
              </w:rPr>
              <w:t>The NASDAQ Stock Market LLC</w:t>
            </w:r>
          </w:p>
        </w:tc>
      </w:tr>
      <w:tr>
        <w:trPr>
          <w:trHeight w:val="216"/>
        </w:trPr>
        <w:tc>
          <w:tcPr>
            <w:tcW w:w="384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exercisable for one Class A ordinary share at an</w:t>
            </w: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16"/>
        </w:trPr>
        <w:tc>
          <w:tcPr>
            <w:tcW w:w="384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exercise price of $11.50</w:t>
            </w: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16"/>
        </w:trPr>
        <w:tc>
          <w:tcPr>
            <w:tcW w:w="384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Units, each consisting of one Class A ordinary</w:t>
            </w:r>
          </w:p>
        </w:tc>
        <w:tc>
          <w:tcPr>
            <w:tcW w:w="380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SSPKU</w:t>
            </w:r>
          </w:p>
        </w:tc>
        <w:tc>
          <w:tcPr>
            <w:tcW w:w="3600" w:type="dxa"/>
            <w:vAlign w:val="bottom"/>
          </w:tcPr>
          <w:p>
            <w:pPr>
              <w:jc w:val="center"/>
              <w:spacing w:after="0"/>
              <w:rPr>
                <w:sz w:val="20"/>
                <w:szCs w:val="20"/>
                <w:color w:val="auto"/>
              </w:rPr>
            </w:pPr>
            <w:r>
              <w:rPr>
                <w:rFonts w:ascii="Arial" w:cs="Arial" w:eastAsia="Arial" w:hAnsi="Arial"/>
                <w:sz w:val="18"/>
                <w:szCs w:val="18"/>
                <w:color w:val="auto"/>
                <w:w w:val="94"/>
              </w:rPr>
              <w:t>The NASDAQ Stock Market LLC</w:t>
            </w:r>
          </w:p>
        </w:tc>
      </w:tr>
      <w:tr>
        <w:trPr>
          <w:trHeight w:val="230"/>
        </w:trPr>
        <w:tc>
          <w:tcPr>
            <w:tcW w:w="384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share and one-half of one redeemable warrant</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222" w:lineRule="exact"/>
        <w:rPr>
          <w:sz w:val="24"/>
          <w:szCs w:val="24"/>
          <w:color w:val="auto"/>
        </w:rPr>
      </w:pPr>
    </w:p>
    <w:p>
      <w:pPr>
        <w:jc w:val="both"/>
        <w:ind w:firstLine="648"/>
        <w:spacing w:after="0" w:line="266" w:lineRule="exact"/>
        <w:rPr>
          <w:sz w:val="20"/>
          <w:szCs w:val="20"/>
          <w:color w:val="auto"/>
        </w:rPr>
      </w:pPr>
      <w:r>
        <w:rPr>
          <w:rFonts w:ascii="Arial" w:cs="Arial" w:eastAsia="Arial" w:hAnsi="Arial"/>
          <w:sz w:val="21"/>
          <w:szCs w:val="2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21"/>
          <w:szCs w:val="21"/>
          <w:color w:val="auto"/>
        </w:rPr>
        <w:t xml:space="preserve"> No </w:t>
      </w:r>
      <w:r>
        <w:rPr>
          <w:rFonts w:ascii="MS PGothic" w:cs="MS PGothic" w:eastAsia="MS PGothic" w:hAnsi="MS PGothic"/>
          <w:sz w:val="21"/>
          <w:szCs w:val="21"/>
          <w:color w:val="auto"/>
        </w:rPr>
        <w:t>☐</w:t>
      </w:r>
    </w:p>
    <w:p>
      <w:pPr>
        <w:spacing w:after="0" w:line="189" w:lineRule="exact"/>
        <w:rPr>
          <w:sz w:val="24"/>
          <w:szCs w:val="24"/>
          <w:color w:val="auto"/>
        </w:rPr>
      </w:pPr>
    </w:p>
    <w:p>
      <w:pPr>
        <w:jc w:val="both"/>
        <w:ind w:firstLine="648"/>
        <w:spacing w:after="0" w:line="266" w:lineRule="exact"/>
        <w:rPr>
          <w:sz w:val="20"/>
          <w:szCs w:val="20"/>
          <w:color w:val="auto"/>
        </w:rPr>
      </w:pPr>
      <w:r>
        <w:rPr>
          <w:rFonts w:ascii="Arial" w:cs="Arial" w:eastAsia="Arial" w:hAnsi="Arial"/>
          <w:sz w:val="22"/>
          <w:szCs w:val="22"/>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MS PGothic" w:cs="MS PGothic" w:eastAsia="MS PGothic" w:hAnsi="MS PGothic"/>
          <w:sz w:val="22"/>
          <w:szCs w:val="22"/>
          <w:color w:val="auto"/>
        </w:rPr>
        <w:t>☒</w:t>
      </w:r>
      <w:r>
        <w:rPr>
          <w:rFonts w:ascii="Arial" w:cs="Arial" w:eastAsia="Arial" w:hAnsi="Arial"/>
          <w:sz w:val="22"/>
          <w:szCs w:val="22"/>
          <w:color w:val="auto"/>
        </w:rPr>
        <w:t xml:space="preserve"> No </w:t>
      </w:r>
      <w:r>
        <w:rPr>
          <w:rFonts w:ascii="MS PGothic" w:cs="MS PGothic" w:eastAsia="MS PGothic" w:hAnsi="MS PGothic"/>
          <w:sz w:val="22"/>
          <w:szCs w:val="22"/>
          <w:color w:val="auto"/>
        </w:rPr>
        <w:t>☐</w:t>
      </w:r>
    </w:p>
    <w:p>
      <w:pPr>
        <w:spacing w:after="0" w:line="189" w:lineRule="exact"/>
        <w:rPr>
          <w:sz w:val="24"/>
          <w:szCs w:val="24"/>
          <w:color w:val="auto"/>
        </w:rPr>
      </w:pPr>
    </w:p>
    <w:p>
      <w:pPr>
        <w:jc w:val="both"/>
        <w:ind w:right="20" w:firstLine="648"/>
        <w:spacing w:after="0" w:line="257" w:lineRule="auto"/>
        <w:rPr>
          <w:sz w:val="20"/>
          <w:szCs w:val="20"/>
          <w:color w:val="auto"/>
        </w:rPr>
      </w:pPr>
      <w:r>
        <w:rPr>
          <w:rFonts w:ascii="Arial" w:cs="Arial" w:eastAsia="Arial" w:hAnsi="Arial"/>
          <w:sz w:val="21"/>
          <w:szCs w:val="2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3540" w:type="dxa"/>
            <w:vAlign w:val="bottom"/>
          </w:tcPr>
          <w:p>
            <w:pPr>
              <w:ind w:left="200"/>
              <w:spacing w:after="0"/>
              <w:rPr>
                <w:sz w:val="20"/>
                <w:szCs w:val="20"/>
                <w:color w:val="auto"/>
              </w:rPr>
            </w:pPr>
            <w:r>
              <w:rPr>
                <w:rFonts w:ascii="Arial" w:cs="Arial" w:eastAsia="Arial" w:hAnsi="Arial"/>
                <w:sz w:val="18"/>
                <w:szCs w:val="18"/>
                <w:color w:val="auto"/>
              </w:rPr>
              <w:t>Large accelerated filer</w:t>
            </w:r>
          </w:p>
        </w:tc>
        <w:tc>
          <w:tcPr>
            <w:tcW w:w="2080" w:type="dxa"/>
            <w:vAlign w:val="bottom"/>
          </w:tcPr>
          <w:p>
            <w:pPr>
              <w:ind w:left="1720"/>
              <w:spacing w:after="0" w:line="181" w:lineRule="exact"/>
              <w:rPr>
                <w:sz w:val="20"/>
                <w:szCs w:val="20"/>
                <w:color w:val="auto"/>
              </w:rPr>
            </w:pPr>
            <w:r>
              <w:rPr>
                <w:rFonts w:ascii="MS PGothic" w:cs="MS PGothic" w:eastAsia="MS PGothic" w:hAnsi="MS PGothic"/>
                <w:sz w:val="18"/>
                <w:szCs w:val="18"/>
                <w:color w:val="auto"/>
              </w:rPr>
              <w:t>☐</w:t>
            </w:r>
          </w:p>
        </w:tc>
        <w:tc>
          <w:tcPr>
            <w:tcW w:w="2160" w:type="dxa"/>
            <w:vAlign w:val="bottom"/>
          </w:tcPr>
          <w:p>
            <w:pPr>
              <w:ind w:left="200"/>
              <w:spacing w:after="0"/>
              <w:rPr>
                <w:sz w:val="20"/>
                <w:szCs w:val="20"/>
                <w:color w:val="auto"/>
              </w:rPr>
            </w:pPr>
            <w:r>
              <w:rPr>
                <w:rFonts w:ascii="Arial" w:cs="Arial" w:eastAsia="Arial" w:hAnsi="Arial"/>
                <w:sz w:val="18"/>
                <w:szCs w:val="18"/>
                <w:color w:val="auto"/>
              </w:rPr>
              <w:t>Accelerated filer</w:t>
            </w:r>
          </w:p>
        </w:tc>
      </w:tr>
      <w:tr>
        <w:trPr>
          <w:trHeight w:val="216"/>
        </w:trPr>
        <w:tc>
          <w:tcPr>
            <w:tcW w:w="38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3540" w:type="dxa"/>
            <w:vAlign w:val="bottom"/>
          </w:tcPr>
          <w:p>
            <w:pPr>
              <w:ind w:left="200"/>
              <w:spacing w:after="0"/>
              <w:rPr>
                <w:sz w:val="20"/>
                <w:szCs w:val="20"/>
                <w:color w:val="auto"/>
              </w:rPr>
            </w:pPr>
            <w:r>
              <w:rPr>
                <w:rFonts w:ascii="Arial" w:cs="Arial" w:eastAsia="Arial" w:hAnsi="Arial"/>
                <w:sz w:val="18"/>
                <w:szCs w:val="18"/>
                <w:color w:val="auto"/>
              </w:rPr>
              <w:t>Non-accelerated filer</w:t>
            </w:r>
          </w:p>
        </w:tc>
        <w:tc>
          <w:tcPr>
            <w:tcW w:w="2080" w:type="dxa"/>
            <w:vAlign w:val="bottom"/>
          </w:tcPr>
          <w:p>
            <w:pPr>
              <w:ind w:left="1720"/>
              <w:spacing w:after="0" w:line="181" w:lineRule="exact"/>
              <w:rPr>
                <w:sz w:val="20"/>
                <w:szCs w:val="20"/>
                <w:color w:val="auto"/>
              </w:rPr>
            </w:pPr>
            <w:r>
              <w:rPr>
                <w:rFonts w:ascii="MS PGothic" w:cs="MS PGothic" w:eastAsia="MS PGothic" w:hAnsi="MS PGothic"/>
                <w:sz w:val="18"/>
                <w:szCs w:val="18"/>
                <w:color w:val="auto"/>
              </w:rPr>
              <w:t>☒</w:t>
            </w:r>
          </w:p>
        </w:tc>
        <w:tc>
          <w:tcPr>
            <w:tcW w:w="2160" w:type="dxa"/>
            <w:vAlign w:val="bottom"/>
          </w:tcPr>
          <w:p>
            <w:pPr>
              <w:ind w:left="200"/>
              <w:spacing w:after="0"/>
              <w:rPr>
                <w:sz w:val="20"/>
                <w:szCs w:val="20"/>
                <w:color w:val="auto"/>
              </w:rPr>
            </w:pPr>
            <w:r>
              <w:rPr>
                <w:rFonts w:ascii="Arial" w:cs="Arial" w:eastAsia="Arial" w:hAnsi="Arial"/>
                <w:sz w:val="18"/>
                <w:szCs w:val="18"/>
                <w:color w:val="auto"/>
                <w:w w:val="90"/>
              </w:rPr>
              <w:t>Smaller reporting company</w:t>
            </w:r>
          </w:p>
        </w:tc>
      </w:tr>
      <w:tr>
        <w:trPr>
          <w:trHeight w:val="283"/>
        </w:trPr>
        <w:tc>
          <w:tcPr>
            <w:tcW w:w="3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080" w:type="dxa"/>
            <w:vAlign w:val="bottom"/>
          </w:tcPr>
          <w:p>
            <w:pPr>
              <w:ind w:left="1720"/>
              <w:spacing w:after="0" w:line="181" w:lineRule="exact"/>
              <w:rPr>
                <w:sz w:val="20"/>
                <w:szCs w:val="20"/>
                <w:color w:val="auto"/>
              </w:rPr>
            </w:pPr>
            <w:r>
              <w:rPr>
                <w:rFonts w:ascii="MS PGothic" w:cs="MS PGothic" w:eastAsia="MS PGothic" w:hAnsi="MS PGothic"/>
                <w:sz w:val="18"/>
                <w:szCs w:val="18"/>
                <w:color w:val="auto"/>
              </w:rPr>
              <w:t>☒</w:t>
            </w:r>
          </w:p>
        </w:tc>
        <w:tc>
          <w:tcPr>
            <w:tcW w:w="2160" w:type="dxa"/>
            <w:vAlign w:val="bottom"/>
          </w:tcPr>
          <w:p>
            <w:pPr>
              <w:ind w:left="200"/>
              <w:spacing w:after="0"/>
              <w:rPr>
                <w:sz w:val="20"/>
                <w:szCs w:val="20"/>
                <w:color w:val="auto"/>
              </w:rPr>
            </w:pPr>
            <w:r>
              <w:rPr>
                <w:rFonts w:ascii="Arial" w:cs="Arial" w:eastAsia="Arial" w:hAnsi="Arial"/>
                <w:sz w:val="18"/>
                <w:szCs w:val="18"/>
                <w:color w:val="auto"/>
                <w:w w:val="90"/>
              </w:rPr>
              <w:t>Emerging growth company</w:t>
            </w:r>
          </w:p>
        </w:tc>
      </w:tr>
    </w:tbl>
    <w:p>
      <w:pPr>
        <w:spacing w:after="0" w:line="200" w:lineRule="exact"/>
        <w:rPr>
          <w:sz w:val="24"/>
          <w:szCs w:val="24"/>
          <w:color w:val="auto"/>
        </w:rPr>
      </w:pPr>
    </w:p>
    <w:p>
      <w:pPr>
        <w:sectPr>
          <w:pgSz w:w="11900" w:h="16913" w:orient="portrait"/>
          <w:cols w:equalWidth="0" w:num="1">
            <w:col w:w="11240"/>
          </w:cols>
          <w:pgMar w:left="320" w:top="535" w:right="339" w:bottom="0" w:gutter="0" w:footer="0" w:header="0"/>
        </w:sectPr>
      </w:pPr>
    </w:p>
    <w:p>
      <w:pPr>
        <w:spacing w:after="0" w:line="2" w:lineRule="exact"/>
        <w:rPr>
          <w:sz w:val="24"/>
          <w:szCs w:val="24"/>
          <w:color w:val="auto"/>
        </w:rPr>
      </w:pPr>
    </w:p>
    <w:p>
      <w:pPr>
        <w:ind w:firstLine="648"/>
        <w:spacing w:after="0" w:line="328" w:lineRule="auto"/>
        <w:rPr>
          <w:sz w:val="20"/>
          <w:szCs w:val="20"/>
          <w:color w:val="auto"/>
        </w:rPr>
      </w:pPr>
      <w:r>
        <w:rPr>
          <w:rFonts w:ascii="Arial" w:cs="Arial" w:eastAsia="Arial" w:hAnsi="Arial"/>
          <w:sz w:val="19"/>
          <w:szCs w:val="19"/>
          <w:color w:val="auto"/>
        </w:rPr>
        <w:t>If an emerging growth company, indicate by check mark if the registrant has elected not to use the extended transition period for complying with any new or revised financial accounting standards provided pursuant to Section 13(a) of the Exchange</w:t>
      </w:r>
    </w:p>
    <w:p>
      <w:pPr>
        <w:sectPr>
          <w:pgSz w:w="11900" w:h="16913" w:orient="portrait"/>
          <w:cols w:equalWidth="0" w:num="1">
            <w:col w:w="11240"/>
          </w:cols>
          <w:pgMar w:left="320" w:top="535" w:right="339" w:bottom="0" w:gutter="0" w:footer="0" w:header="0"/>
          <w:type w:val="continuous"/>
        </w:sectPr>
      </w:pPr>
    </w:p>
    <w:bookmarkStart w:id="1" w:name="page2"/>
    <w:bookmarkEnd w:id="1"/>
    <w:p>
      <w:pPr>
        <w:spacing w:after="0" w:line="253" w:lineRule="exact"/>
        <w:rPr>
          <w:sz w:val="20"/>
          <w:szCs w:val="20"/>
          <w:color w:val="auto"/>
        </w:rPr>
      </w:pPr>
      <w:r>
        <w:rPr>
          <w:rFonts w:ascii="Arial" w:cs="Arial" w:eastAsia="Arial" w:hAnsi="Arial"/>
          <w:sz w:val="22"/>
          <w:szCs w:val="22"/>
          <w:color w:val="auto"/>
        </w:rPr>
        <w:t>Act.</w:t>
      </w:r>
      <w:r>
        <w:rPr>
          <w:rFonts w:ascii="MS PGothic" w:cs="MS PGothic" w:eastAsia="MS PGothic" w:hAnsi="MS PGothic"/>
          <w:sz w:val="22"/>
          <w:szCs w:val="22"/>
          <w:color w:val="auto"/>
        </w:rPr>
        <w:t>☐</w:t>
      </w:r>
    </w:p>
    <w:p>
      <w:pPr>
        <w:spacing w:after="0" w:line="247" w:lineRule="exact"/>
        <w:rPr>
          <w:sz w:val="20"/>
          <w:szCs w:val="20"/>
          <w:color w:val="auto"/>
        </w:rPr>
      </w:pPr>
    </w:p>
    <w:p>
      <w:pPr>
        <w:ind w:left="660"/>
        <w:spacing w:after="0" w:line="219" w:lineRule="exact"/>
        <w:rPr>
          <w:sz w:val="20"/>
          <w:szCs w:val="20"/>
          <w:color w:val="auto"/>
        </w:rPr>
      </w:pPr>
      <w:r>
        <w:rPr>
          <w:rFonts w:ascii="Arial" w:cs="Arial" w:eastAsia="Arial" w:hAnsi="Arial"/>
          <w:sz w:val="19"/>
          <w:szCs w:val="19"/>
          <w:color w:val="auto"/>
        </w:rPr>
        <w:t xml:space="preserve">Indicate by check mark whether the registrant is a shell company (as defined in Rule 12b-2 of the Exchange Act): Yes </w:t>
      </w:r>
      <w:r>
        <w:rPr>
          <w:rFonts w:ascii="MS PGothic" w:cs="MS PGothic" w:eastAsia="MS PGothic" w:hAnsi="MS PGothic"/>
          <w:sz w:val="19"/>
          <w:szCs w:val="19"/>
          <w:color w:val="auto"/>
        </w:rPr>
        <w:t>☒</w:t>
      </w:r>
    </w:p>
    <w:p>
      <w:pPr>
        <w:spacing w:after="0" w:line="88" w:lineRule="exact"/>
        <w:rPr>
          <w:sz w:val="20"/>
          <w:szCs w:val="20"/>
          <w:color w:val="auto"/>
        </w:rPr>
      </w:pPr>
    </w:p>
    <w:p>
      <w:pPr>
        <w:spacing w:after="0" w:line="253" w:lineRule="exact"/>
        <w:rPr>
          <w:sz w:val="20"/>
          <w:szCs w:val="20"/>
          <w:color w:val="auto"/>
        </w:rPr>
      </w:pPr>
      <w:r>
        <w:rPr>
          <w:rFonts w:ascii="Arial" w:cs="Arial" w:eastAsia="Arial" w:hAnsi="Arial"/>
          <w:sz w:val="22"/>
          <w:szCs w:val="22"/>
          <w:color w:val="auto"/>
        </w:rPr>
        <w:t xml:space="preserve">No </w:t>
      </w:r>
      <w:r>
        <w:rPr>
          <w:rFonts w:ascii="MS PGothic" w:cs="MS PGothic" w:eastAsia="MS PGothic" w:hAnsi="MS PGothic"/>
          <w:sz w:val="22"/>
          <w:szCs w:val="22"/>
          <w:color w:val="auto"/>
        </w:rPr>
        <w:t>☐</w:t>
      </w:r>
    </w:p>
    <w:p>
      <w:pPr>
        <w:spacing w:after="0" w:line="223"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As of November 13, 2020, there were 25,000,000 Class A ordinary shares, $0.0001 par value per share, and 6,250,000 Class B ordinary shares, $0.0001 par value per share,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450215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SILVER SPIKE ACQUISITION CORP.</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QUARTERLY REPORT ON FORM 10-Q</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Page</w:t>
            </w:r>
          </w:p>
        </w:tc>
      </w:tr>
      <w:tr>
        <w:trPr>
          <w:trHeight w:val="432"/>
        </w:trPr>
        <w:tc>
          <w:tcPr>
            <w:tcW w:w="10120" w:type="dxa"/>
            <w:vAlign w:val="bottom"/>
            <w:gridSpan w:val="8"/>
          </w:tcPr>
          <w:p>
            <w:pPr>
              <w:spacing w:after="0"/>
              <w:rPr>
                <w:sz w:val="20"/>
                <w:szCs w:val="20"/>
                <w:color w:val="auto"/>
              </w:rPr>
            </w:pPr>
            <w:r>
              <w:rPr>
                <w:rFonts w:ascii="Arial" w:cs="Arial" w:eastAsia="Arial" w:hAnsi="Arial"/>
                <w:sz w:val="18"/>
                <w:szCs w:val="18"/>
                <w:b w:val="1"/>
                <w:bCs w:val="1"/>
                <w:color w:val="auto"/>
              </w:rPr>
              <w:t>PART 1 – FINANCIAL INFORMATION</w:t>
            </w:r>
          </w:p>
        </w:tc>
        <w:tc>
          <w:tcPr>
            <w:tcW w:w="1120" w:type="dxa"/>
            <w:vAlign w:val="bottom"/>
          </w:tcPr>
          <w:p>
            <w:pPr>
              <w:spacing w:after="0"/>
              <w:rPr>
                <w:sz w:val="24"/>
                <w:szCs w:val="24"/>
                <w:color w:val="auto"/>
              </w:rPr>
            </w:pPr>
          </w:p>
        </w:tc>
      </w:tr>
      <w:tr>
        <w:trPr>
          <w:trHeight w:val="216"/>
        </w:trPr>
        <w:tc>
          <w:tcPr>
            <w:tcW w:w="9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200" w:type="dxa"/>
            <w:vAlign w:val="bottom"/>
            <w:gridSpan w:val="7"/>
            <w:shd w:val="clear" w:color="auto" w:fill="CCEEFF"/>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Statements</w:t>
              </w:r>
            </w:hyperlink>
          </w:p>
        </w:tc>
        <w:tc>
          <w:tcPr>
            <w:tcW w:w="11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w:t>
            </w:r>
          </w:p>
        </w:tc>
      </w:tr>
      <w:tr>
        <w:trPr>
          <w:trHeight w:val="216"/>
        </w:trPr>
        <w:tc>
          <w:tcPr>
            <w:tcW w:w="9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18"/>
                <w:szCs w:val="18"/>
                <w:color w:val="auto"/>
              </w:rPr>
            </w:pPr>
          </w:p>
        </w:tc>
        <w:tc>
          <w:tcPr>
            <w:tcW w:w="9200" w:type="dxa"/>
            <w:vAlign w:val="bottom"/>
            <w:gridSpan w:val="7"/>
            <w:shd w:val="clear" w:color="auto" w:fill="CCEEFF"/>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Balance Sheets as of September 30, 2020 (unaudited) and December 31, 2019</w:t>
              </w:r>
            </w:hyperlink>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r>
      <w:tr>
        <w:trPr>
          <w:trHeight w:val="216"/>
        </w:trPr>
        <w:tc>
          <w:tcPr>
            <w:tcW w:w="9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76"/>
        </w:trPr>
        <w:tc>
          <w:tcPr>
            <w:tcW w:w="920" w:type="dxa"/>
            <w:vAlign w:val="bottom"/>
            <w:tcBorders>
              <w:bottom w:val="single" w:sz="8" w:color="CCEEFF"/>
            </w:tcBorders>
            <w:shd w:val="clear" w:color="auto" w:fill="CCEEFF"/>
          </w:tcPr>
          <w:p>
            <w:pPr>
              <w:spacing w:after="0"/>
              <w:rPr>
                <w:sz w:val="15"/>
                <w:szCs w:val="15"/>
                <w:color w:val="auto"/>
              </w:rPr>
            </w:pPr>
          </w:p>
        </w:tc>
        <w:tc>
          <w:tcPr>
            <w:tcW w:w="918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3"/>
              </w:rPr>
            </w:pPr>
            <w:hyperlink w:anchor="page5">
              <w:r>
                <w:rPr>
                  <w:rFonts w:ascii="Arial" w:cs="Arial" w:eastAsia="Arial" w:hAnsi="Arial"/>
                  <w:sz w:val="18"/>
                  <w:szCs w:val="18"/>
                  <w:color w:val="0000EE"/>
                  <w:w w:val="93"/>
                </w:rPr>
                <w:t>Condensed Statements of Operations for the Three and Nine Months Ended September 30, 2020 (unaudited), for the Three</w:t>
              </w:r>
            </w:hyperlink>
          </w:p>
        </w:tc>
        <w:tc>
          <w:tcPr>
            <w:tcW w:w="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r>
      <w:tr>
        <w:trPr>
          <w:trHeight w:val="237"/>
        </w:trPr>
        <w:tc>
          <w:tcPr>
            <w:tcW w:w="920" w:type="dxa"/>
            <w:vAlign w:val="bottom"/>
            <w:shd w:val="clear" w:color="auto" w:fill="CCEEFF"/>
          </w:tcPr>
          <w:p>
            <w:pPr>
              <w:spacing w:after="0"/>
              <w:rPr>
                <w:sz w:val="20"/>
                <w:szCs w:val="20"/>
                <w:color w:val="auto"/>
              </w:rPr>
            </w:pPr>
          </w:p>
        </w:tc>
        <w:tc>
          <w:tcPr>
            <w:tcW w:w="9200" w:type="dxa"/>
            <w:vAlign w:val="bottom"/>
            <w:gridSpan w:val="7"/>
            <w:shd w:val="clear" w:color="auto" w:fill="CCEEFF"/>
          </w:tcPr>
          <w:p>
            <w:pPr>
              <w:spacing w:after="0"/>
              <w:rPr>
                <w:rFonts w:ascii="Arial" w:cs="Arial" w:eastAsia="Arial" w:hAnsi="Arial"/>
                <w:sz w:val="18"/>
                <w:szCs w:val="18"/>
                <w:u w:val="single" w:color="auto"/>
                <w:color w:val="0000EE"/>
                <w:w w:val="91"/>
              </w:rPr>
            </w:pPr>
            <w:hyperlink w:anchor="page5">
              <w:r>
                <w:rPr>
                  <w:rFonts w:ascii="Arial" w:cs="Arial" w:eastAsia="Arial" w:hAnsi="Arial"/>
                  <w:sz w:val="18"/>
                  <w:szCs w:val="18"/>
                  <w:u w:val="single" w:color="auto"/>
                  <w:color w:val="0000EE"/>
                  <w:w w:val="91"/>
                </w:rPr>
                <w:t>Months Ended September 30, 2019 and for the period from June 7, 2019 (inception) through September 30, 2019 (unaudited)</w:t>
              </w:r>
            </w:hyperlink>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r>
      <w:tr>
        <w:trPr>
          <w:trHeight w:val="216"/>
        </w:trPr>
        <w:tc>
          <w:tcPr>
            <w:tcW w:w="9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75"/>
        </w:trPr>
        <w:tc>
          <w:tcPr>
            <w:tcW w:w="920" w:type="dxa"/>
            <w:vAlign w:val="bottom"/>
            <w:tcBorders>
              <w:bottom w:val="single" w:sz="8" w:color="CCEEFF"/>
            </w:tcBorders>
            <w:shd w:val="clear" w:color="auto" w:fill="CCEEFF"/>
          </w:tcPr>
          <w:p>
            <w:pPr>
              <w:spacing w:after="0"/>
              <w:rPr>
                <w:sz w:val="15"/>
                <w:szCs w:val="15"/>
                <w:color w:val="auto"/>
              </w:rPr>
            </w:pPr>
          </w:p>
        </w:tc>
        <w:tc>
          <w:tcPr>
            <w:tcW w:w="852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Statements of Changes in Shareholders’ Equity for the Three and Nine Months Ended September 30, 2020</w:t>
              </w:r>
            </w:hyperlink>
          </w:p>
        </w:tc>
        <w:tc>
          <w:tcPr>
            <w:tcW w:w="680" w:type="dxa"/>
            <w:vAlign w:val="bottom"/>
            <w:tcBorders>
              <w:bottom w:val="single" w:sz="8" w:color="CCEEFF"/>
            </w:tcBorders>
            <w:gridSpan w:val="4"/>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r>
      <w:tr>
        <w:trPr>
          <w:trHeight w:val="196"/>
        </w:trPr>
        <w:tc>
          <w:tcPr>
            <w:tcW w:w="920" w:type="dxa"/>
            <w:vAlign w:val="bottom"/>
            <w:shd w:val="clear" w:color="auto" w:fill="CCEEFF"/>
          </w:tcPr>
          <w:p>
            <w:pPr>
              <w:spacing w:after="0"/>
              <w:rPr>
                <w:sz w:val="17"/>
                <w:szCs w:val="17"/>
                <w:color w:val="auto"/>
              </w:rPr>
            </w:pPr>
          </w:p>
        </w:tc>
        <w:tc>
          <w:tcPr>
            <w:tcW w:w="9200" w:type="dxa"/>
            <w:vAlign w:val="bottom"/>
            <w:gridSpan w:val="7"/>
            <w:shd w:val="clear" w:color="auto" w:fill="CCEEFF"/>
          </w:tcPr>
          <w:p>
            <w:pPr>
              <w:spacing w:after="0" w:line="196" w:lineRule="exact"/>
              <w:rPr>
                <w:rFonts w:ascii="Arial" w:cs="Arial" w:eastAsia="Arial" w:hAnsi="Arial"/>
                <w:sz w:val="18"/>
                <w:szCs w:val="18"/>
                <w:color w:val="0000EE"/>
                <w:w w:val="97"/>
              </w:rPr>
            </w:pPr>
            <w:hyperlink w:anchor="page6">
              <w:r>
                <w:rPr>
                  <w:rFonts w:ascii="Arial" w:cs="Arial" w:eastAsia="Arial" w:hAnsi="Arial"/>
                  <w:sz w:val="18"/>
                  <w:szCs w:val="18"/>
                  <w:color w:val="0000EE"/>
                  <w:w w:val="97"/>
                </w:rPr>
                <w:t>(unaudited), for the Three Months Ended September 30, 2019 and for the period from June 7, 2019 (inception) through</w:t>
              </w:r>
            </w:hyperlink>
          </w:p>
        </w:tc>
        <w:tc>
          <w:tcPr>
            <w:tcW w:w="1120" w:type="dxa"/>
            <w:vAlign w:val="bottom"/>
            <w:shd w:val="clear" w:color="auto" w:fill="CCEEFF"/>
          </w:tcPr>
          <w:p>
            <w:pPr>
              <w:spacing w:after="0"/>
              <w:rPr>
                <w:sz w:val="17"/>
                <w:szCs w:val="17"/>
                <w:color w:val="auto"/>
              </w:rPr>
            </w:pPr>
          </w:p>
        </w:tc>
      </w:tr>
      <w:tr>
        <w:trPr>
          <w:trHeight w:val="217"/>
        </w:trPr>
        <w:tc>
          <w:tcPr>
            <w:tcW w:w="920" w:type="dxa"/>
            <w:vAlign w:val="bottom"/>
            <w:tcBorders>
              <w:top w:val="single" w:sz="8" w:color="CCEEFF"/>
            </w:tcBorders>
            <w:shd w:val="clear" w:color="auto" w:fill="CCEEFF"/>
          </w:tcPr>
          <w:p>
            <w:pPr>
              <w:spacing w:after="0"/>
              <w:rPr>
                <w:sz w:val="18"/>
                <w:szCs w:val="18"/>
                <w:color w:val="auto"/>
              </w:rPr>
            </w:pPr>
          </w:p>
        </w:tc>
        <w:tc>
          <w:tcPr>
            <w:tcW w:w="8560" w:type="dxa"/>
            <w:vAlign w:val="bottom"/>
            <w:tcBorders>
              <w:top w:val="single" w:sz="8" w:color="0000EE"/>
            </w:tcBorders>
            <w:gridSpan w:val="4"/>
            <w:shd w:val="clear" w:color="auto" w:fill="CCEEFF"/>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September 30, 2019 (unaudited)</w:t>
              </w:r>
            </w:hyperlink>
          </w:p>
        </w:tc>
        <w:tc>
          <w:tcPr>
            <w:tcW w:w="640" w:type="dxa"/>
            <w:vAlign w:val="bottom"/>
            <w:tcBorders>
              <w:top w:val="single" w:sz="8" w:color="CCEEFF"/>
            </w:tcBorders>
            <w:gridSpan w:val="3"/>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3</w:t>
            </w:r>
          </w:p>
        </w:tc>
      </w:tr>
      <w:tr>
        <w:trPr>
          <w:trHeight w:val="216"/>
        </w:trPr>
        <w:tc>
          <w:tcPr>
            <w:tcW w:w="920" w:type="dxa"/>
            <w:vAlign w:val="bottom"/>
            <w:tcBorders>
              <w:top w:val="single" w:sz="8" w:color="CCEEFF"/>
            </w:tcBorders>
          </w:tcPr>
          <w:p>
            <w:pPr>
              <w:spacing w:after="0"/>
              <w:rPr>
                <w:sz w:val="18"/>
                <w:szCs w:val="18"/>
                <w:color w:val="auto"/>
              </w:rPr>
            </w:pPr>
          </w:p>
        </w:tc>
        <w:tc>
          <w:tcPr>
            <w:tcW w:w="2320" w:type="dxa"/>
            <w:vAlign w:val="bottom"/>
            <w:tcBorders>
              <w:top w:val="single" w:sz="8" w:color="0000EE"/>
            </w:tcBorders>
          </w:tcPr>
          <w:p>
            <w:pPr>
              <w:spacing w:after="0"/>
              <w:rPr>
                <w:sz w:val="18"/>
                <w:szCs w:val="18"/>
                <w:color w:val="auto"/>
              </w:rPr>
            </w:pPr>
          </w:p>
        </w:tc>
        <w:tc>
          <w:tcPr>
            <w:tcW w:w="2380" w:type="dxa"/>
            <w:vAlign w:val="bottom"/>
            <w:tcBorders>
              <w:top w:val="single" w:sz="8" w:color="CCEEFF"/>
            </w:tcBorders>
          </w:tcPr>
          <w:p>
            <w:pPr>
              <w:spacing w:after="0"/>
              <w:rPr>
                <w:sz w:val="18"/>
                <w:szCs w:val="18"/>
                <w:color w:val="auto"/>
              </w:rPr>
            </w:pPr>
          </w:p>
        </w:tc>
        <w:tc>
          <w:tcPr>
            <w:tcW w:w="38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6"/>
        </w:trPr>
        <w:tc>
          <w:tcPr>
            <w:tcW w:w="920" w:type="dxa"/>
            <w:vAlign w:val="bottom"/>
            <w:shd w:val="clear" w:color="auto" w:fill="CCEEFF"/>
          </w:tcPr>
          <w:p>
            <w:pPr>
              <w:spacing w:after="0"/>
              <w:rPr>
                <w:sz w:val="15"/>
                <w:szCs w:val="15"/>
                <w:color w:val="auto"/>
              </w:rPr>
            </w:pPr>
          </w:p>
        </w:tc>
        <w:tc>
          <w:tcPr>
            <w:tcW w:w="9200" w:type="dxa"/>
            <w:vAlign w:val="bottom"/>
            <w:gridSpan w:val="7"/>
            <w:shd w:val="clear" w:color="auto" w:fill="CCEEFF"/>
          </w:tcPr>
          <w:p>
            <w:pPr>
              <w:spacing w:after="0" w:line="176" w:lineRule="exact"/>
              <w:rPr>
                <w:rFonts w:ascii="Arial" w:cs="Arial" w:eastAsia="Arial" w:hAnsi="Arial"/>
                <w:sz w:val="18"/>
                <w:szCs w:val="18"/>
                <w:color w:val="0000EE"/>
                <w:w w:val="93"/>
              </w:rPr>
            </w:pPr>
            <w:hyperlink w:anchor="page7">
              <w:r>
                <w:rPr>
                  <w:rFonts w:ascii="Arial" w:cs="Arial" w:eastAsia="Arial" w:hAnsi="Arial"/>
                  <w:sz w:val="18"/>
                  <w:szCs w:val="18"/>
                  <w:color w:val="0000EE"/>
                  <w:w w:val="93"/>
                </w:rPr>
                <w:t>Condensed Statements of Cash Flows for the Nine Months Ended September 30, 2020 (unaudited) and for the period from</w:t>
              </w:r>
            </w:hyperlink>
          </w:p>
        </w:tc>
        <w:tc>
          <w:tcPr>
            <w:tcW w:w="1120" w:type="dxa"/>
            <w:vAlign w:val="bottom"/>
            <w:shd w:val="clear" w:color="auto" w:fill="CCEEFF"/>
          </w:tcPr>
          <w:p>
            <w:pPr>
              <w:spacing w:after="0"/>
              <w:rPr>
                <w:sz w:val="15"/>
                <w:szCs w:val="15"/>
                <w:color w:val="auto"/>
              </w:rPr>
            </w:pPr>
          </w:p>
        </w:tc>
      </w:tr>
      <w:tr>
        <w:trPr>
          <w:trHeight w:val="217"/>
        </w:trPr>
        <w:tc>
          <w:tcPr>
            <w:tcW w:w="920" w:type="dxa"/>
            <w:vAlign w:val="bottom"/>
            <w:tcBorders>
              <w:top w:val="single" w:sz="8" w:color="CCEEFF"/>
            </w:tcBorders>
            <w:shd w:val="clear" w:color="auto" w:fill="CCEEFF"/>
          </w:tcPr>
          <w:p>
            <w:pPr>
              <w:spacing w:after="0"/>
              <w:rPr>
                <w:sz w:val="18"/>
                <w:szCs w:val="18"/>
                <w:color w:val="auto"/>
              </w:rPr>
            </w:pPr>
          </w:p>
        </w:tc>
        <w:tc>
          <w:tcPr>
            <w:tcW w:w="9160" w:type="dxa"/>
            <w:vAlign w:val="bottom"/>
            <w:tcBorders>
              <w:top w:val="single" w:sz="8" w:color="0000EE"/>
            </w:tcBorders>
            <w:gridSpan w:val="5"/>
            <w:shd w:val="clear" w:color="auto" w:fill="CCEEFF"/>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June 7, 2019 (inception) through September 30, 2019 (unaudited)</w:t>
              </w:r>
            </w:hyperlink>
          </w:p>
        </w:tc>
        <w:tc>
          <w:tcPr>
            <w:tcW w:w="40" w:type="dxa"/>
            <w:vAlign w:val="bottom"/>
            <w:tcBorders>
              <w:top w:val="single" w:sz="8" w:color="CCEEFF"/>
            </w:tcBorders>
            <w:gridSpan w:val="2"/>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4</w:t>
            </w:r>
          </w:p>
        </w:tc>
      </w:tr>
      <w:tr>
        <w:trPr>
          <w:trHeight w:val="216"/>
        </w:trPr>
        <w:tc>
          <w:tcPr>
            <w:tcW w:w="920" w:type="dxa"/>
            <w:vAlign w:val="bottom"/>
            <w:tcBorders>
              <w:top w:val="single" w:sz="8" w:color="CCEEFF"/>
            </w:tcBorders>
          </w:tcPr>
          <w:p>
            <w:pPr>
              <w:spacing w:after="0"/>
              <w:rPr>
                <w:sz w:val="18"/>
                <w:szCs w:val="18"/>
                <w:color w:val="auto"/>
              </w:rPr>
            </w:pPr>
          </w:p>
        </w:tc>
        <w:tc>
          <w:tcPr>
            <w:tcW w:w="2320" w:type="dxa"/>
            <w:vAlign w:val="bottom"/>
            <w:tcBorders>
              <w:top w:val="single" w:sz="8" w:color="0000EE"/>
            </w:tcBorders>
          </w:tcPr>
          <w:p>
            <w:pPr>
              <w:spacing w:after="0"/>
              <w:rPr>
                <w:sz w:val="18"/>
                <w:szCs w:val="18"/>
                <w:color w:val="auto"/>
              </w:rPr>
            </w:pPr>
          </w:p>
        </w:tc>
        <w:tc>
          <w:tcPr>
            <w:tcW w:w="2380" w:type="dxa"/>
            <w:vAlign w:val="bottom"/>
            <w:tcBorders>
              <w:top w:val="single" w:sz="8" w:color="0000EE"/>
            </w:tcBorders>
          </w:tcPr>
          <w:p>
            <w:pPr>
              <w:spacing w:after="0"/>
              <w:rPr>
                <w:sz w:val="18"/>
                <w:szCs w:val="18"/>
                <w:color w:val="auto"/>
              </w:rPr>
            </w:pPr>
          </w:p>
        </w:tc>
        <w:tc>
          <w:tcPr>
            <w:tcW w:w="38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216"/>
        </w:trPr>
        <w:tc>
          <w:tcPr>
            <w:tcW w:w="920" w:type="dxa"/>
            <w:vAlign w:val="bottom"/>
            <w:shd w:val="clear" w:color="auto" w:fill="CCEEFF"/>
          </w:tcPr>
          <w:p>
            <w:pPr>
              <w:spacing w:after="0"/>
              <w:rPr>
                <w:sz w:val="18"/>
                <w:szCs w:val="18"/>
                <w:color w:val="auto"/>
              </w:rPr>
            </w:pPr>
          </w:p>
        </w:tc>
        <w:tc>
          <w:tcPr>
            <w:tcW w:w="9200" w:type="dxa"/>
            <w:vAlign w:val="bottom"/>
            <w:gridSpan w:val="7"/>
            <w:shd w:val="clear" w:color="auto" w:fill="CCEEFF"/>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Condensed Financial Statements (unaudited)</w:t>
              </w:r>
            </w:hyperlink>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r>
      <w:tr>
        <w:trPr>
          <w:trHeight w:val="216"/>
        </w:trPr>
        <w:tc>
          <w:tcPr>
            <w:tcW w:w="9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9200" w:type="dxa"/>
            <w:vAlign w:val="bottom"/>
            <w:gridSpan w:val="7"/>
            <w:shd w:val="clear" w:color="auto" w:fill="CCEEFF"/>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Management’s Discussion and Analysis of Financial Condition and Results of Operations</w:t>
              </w:r>
            </w:hyperlink>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w:t>
            </w:r>
          </w:p>
        </w:tc>
      </w:tr>
      <w:tr>
        <w:trPr>
          <w:trHeight w:val="216"/>
        </w:trPr>
        <w:tc>
          <w:tcPr>
            <w:tcW w:w="9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9200" w:type="dxa"/>
            <w:vAlign w:val="bottom"/>
            <w:gridSpan w:val="7"/>
            <w:shd w:val="clear" w:color="auto" w:fill="CCEEFF"/>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Quantitative and Qualitative Disclosures about Market Risk</w:t>
              </w:r>
            </w:hyperlink>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w:t>
            </w:r>
          </w:p>
        </w:tc>
      </w:tr>
      <w:tr>
        <w:trPr>
          <w:trHeight w:val="216"/>
        </w:trPr>
        <w:tc>
          <w:tcPr>
            <w:tcW w:w="9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9200" w:type="dxa"/>
            <w:vAlign w:val="bottom"/>
            <w:gridSpan w:val="7"/>
            <w:shd w:val="clear" w:color="auto" w:fill="CCEEFF"/>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Control and Procedures</w:t>
              </w:r>
            </w:hyperlink>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w:t>
            </w:r>
          </w:p>
        </w:tc>
      </w:tr>
      <w:tr>
        <w:trPr>
          <w:trHeight w:val="216"/>
        </w:trPr>
        <w:tc>
          <w:tcPr>
            <w:tcW w:w="9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0120" w:type="dxa"/>
            <w:vAlign w:val="bottom"/>
            <w:gridSpan w:val="8"/>
            <w:shd w:val="clear" w:color="auto" w:fill="CCEEFF"/>
          </w:tcPr>
          <w:p>
            <w:pPr>
              <w:spacing w:after="0"/>
              <w:rPr>
                <w:sz w:val="20"/>
                <w:szCs w:val="20"/>
                <w:color w:val="auto"/>
              </w:rPr>
            </w:pPr>
            <w:r>
              <w:rPr>
                <w:rFonts w:ascii="Arial" w:cs="Arial" w:eastAsia="Arial" w:hAnsi="Arial"/>
                <w:sz w:val="18"/>
                <w:szCs w:val="18"/>
                <w:b w:val="1"/>
                <w:bCs w:val="1"/>
                <w:color w:val="auto"/>
              </w:rPr>
              <w:t>PART II – OTHER INFORMATION</w:t>
            </w:r>
          </w:p>
        </w:tc>
        <w:tc>
          <w:tcPr>
            <w:tcW w:w="112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200" w:type="dxa"/>
            <w:vAlign w:val="bottom"/>
            <w:gridSpan w:val="7"/>
            <w:shd w:val="clear" w:color="auto" w:fill="CCEEFF"/>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Legal Proceedings</w:t>
              </w:r>
            </w:hyperlink>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w:t>
            </w:r>
          </w:p>
        </w:tc>
      </w:tr>
      <w:tr>
        <w:trPr>
          <w:trHeight w:val="216"/>
        </w:trPr>
        <w:tc>
          <w:tcPr>
            <w:tcW w:w="9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Item 1A.</w:t>
            </w:r>
          </w:p>
        </w:tc>
        <w:tc>
          <w:tcPr>
            <w:tcW w:w="9200" w:type="dxa"/>
            <w:vAlign w:val="bottom"/>
            <w:gridSpan w:val="7"/>
            <w:shd w:val="clear" w:color="auto" w:fill="CCEEFF"/>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Risk Factors</w:t>
              </w:r>
            </w:hyperlink>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w:t>
            </w:r>
          </w:p>
        </w:tc>
      </w:tr>
      <w:tr>
        <w:trPr>
          <w:trHeight w:val="216"/>
        </w:trPr>
        <w:tc>
          <w:tcPr>
            <w:tcW w:w="9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9200" w:type="dxa"/>
            <w:vAlign w:val="bottom"/>
            <w:gridSpan w:val="7"/>
            <w:shd w:val="clear" w:color="auto" w:fill="CCEEFF"/>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Unregistered Sales of Equity Securities and Use of Proceeds</w:t>
              </w:r>
            </w:hyperlink>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w:t>
            </w:r>
          </w:p>
        </w:tc>
      </w:tr>
      <w:tr>
        <w:trPr>
          <w:trHeight w:val="216"/>
        </w:trPr>
        <w:tc>
          <w:tcPr>
            <w:tcW w:w="9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9200" w:type="dxa"/>
            <w:vAlign w:val="bottom"/>
            <w:gridSpan w:val="7"/>
            <w:shd w:val="clear" w:color="auto" w:fill="CCEEFF"/>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Defaults Upon Senior Securities</w:t>
              </w:r>
            </w:hyperlink>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w:t>
            </w:r>
          </w:p>
        </w:tc>
      </w:tr>
      <w:tr>
        <w:trPr>
          <w:trHeight w:val="216"/>
        </w:trPr>
        <w:tc>
          <w:tcPr>
            <w:tcW w:w="9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9200" w:type="dxa"/>
            <w:vAlign w:val="bottom"/>
            <w:gridSpan w:val="7"/>
            <w:shd w:val="clear" w:color="auto" w:fill="CCEEFF"/>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Mine Safety Disclosures</w:t>
              </w:r>
            </w:hyperlink>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w:t>
            </w:r>
          </w:p>
        </w:tc>
      </w:tr>
      <w:tr>
        <w:trPr>
          <w:trHeight w:val="216"/>
        </w:trPr>
        <w:tc>
          <w:tcPr>
            <w:tcW w:w="9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Item 5.</w:t>
            </w:r>
          </w:p>
        </w:tc>
        <w:tc>
          <w:tcPr>
            <w:tcW w:w="9200" w:type="dxa"/>
            <w:vAlign w:val="bottom"/>
            <w:gridSpan w:val="7"/>
            <w:shd w:val="clear" w:color="auto" w:fill="CCEEFF"/>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Other Information</w:t>
              </w:r>
            </w:hyperlink>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w:t>
            </w:r>
          </w:p>
        </w:tc>
      </w:tr>
      <w:tr>
        <w:trPr>
          <w:trHeight w:val="216"/>
        </w:trPr>
        <w:tc>
          <w:tcPr>
            <w:tcW w:w="9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Item 6.</w:t>
            </w:r>
          </w:p>
        </w:tc>
        <w:tc>
          <w:tcPr>
            <w:tcW w:w="9200" w:type="dxa"/>
            <w:vAlign w:val="bottom"/>
            <w:gridSpan w:val="7"/>
            <w:shd w:val="clear" w:color="auto" w:fill="CCEEFF"/>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Exhibits</w:t>
              </w:r>
            </w:hyperlink>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w:t>
            </w:r>
          </w:p>
        </w:tc>
      </w:tr>
      <w:tr>
        <w:trPr>
          <w:trHeight w:val="216"/>
        </w:trPr>
        <w:tc>
          <w:tcPr>
            <w:tcW w:w="9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0120" w:type="dxa"/>
            <w:vAlign w:val="bottom"/>
            <w:gridSpan w:val="8"/>
            <w:shd w:val="clear" w:color="auto" w:fill="CCEEFF"/>
          </w:tcPr>
          <w:p>
            <w:pPr>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SIGNATURES</w:t>
              </w:r>
            </w:hyperlink>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w:t>
            </w:r>
          </w:p>
        </w:tc>
      </w:tr>
      <w:tr>
        <w:trPr>
          <w:trHeight w:val="425"/>
        </w:trPr>
        <w:tc>
          <w:tcPr>
            <w:tcW w:w="9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1" w:right="339" w:bottom="1440" w:gutter="0" w:footer="0" w:header="0"/>
        </w:sectPr>
      </w:pPr>
    </w:p>
    <w:bookmarkStart w:id="3" w:name="page4"/>
    <w:bookmarkEnd w:id="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1 – FINANCIAL INFORMATION</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Arial" w:cs="Arial" w:eastAsia="Arial" w:hAnsi="Arial"/>
                <w:sz w:val="18"/>
                <w:szCs w:val="18"/>
                <w:b w:val="1"/>
                <w:bCs w:val="1"/>
                <w:color w:val="auto"/>
              </w:rPr>
              <w:t>Item1.</w:t>
            </w:r>
          </w:p>
        </w:tc>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FINANCIAL STATEMENTS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960" w:type="dxa"/>
            <w:vAlign w:val="bottom"/>
          </w:tcPr>
          <w:p>
            <w:pPr>
              <w:spacing w:after="0"/>
              <w:rPr>
                <w:sz w:val="21"/>
                <w:szCs w:val="21"/>
                <w:color w:val="auto"/>
              </w:rPr>
            </w:pPr>
          </w:p>
        </w:tc>
        <w:tc>
          <w:tcPr>
            <w:tcW w:w="7720" w:type="dxa"/>
            <w:vAlign w:val="bottom"/>
          </w:tcPr>
          <w:p>
            <w:pPr>
              <w:jc w:val="center"/>
              <w:ind w:left="1498"/>
              <w:spacing w:after="0" w:line="243" w:lineRule="exact"/>
              <w:rPr>
                <w:sz w:val="20"/>
                <w:szCs w:val="20"/>
                <w:color w:val="auto"/>
              </w:rPr>
            </w:pPr>
            <w:r>
              <w:rPr>
                <w:rFonts w:ascii="Arial" w:cs="Arial" w:eastAsia="Arial" w:hAnsi="Arial"/>
                <w:sz w:val="22"/>
                <w:szCs w:val="22"/>
                <w:b w:val="1"/>
                <w:bCs w:val="1"/>
                <w:color w:val="auto"/>
                <w:w w:val="98"/>
              </w:rPr>
              <w:t>SILVER SPIKE ACQUISITION CORP.</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960" w:type="dxa"/>
            <w:vAlign w:val="bottom"/>
          </w:tcPr>
          <w:p>
            <w:pPr>
              <w:spacing w:after="0"/>
              <w:rPr>
                <w:sz w:val="24"/>
                <w:szCs w:val="24"/>
                <w:color w:val="auto"/>
              </w:rPr>
            </w:pPr>
          </w:p>
        </w:tc>
        <w:tc>
          <w:tcPr>
            <w:tcW w:w="7720" w:type="dxa"/>
            <w:vAlign w:val="bottom"/>
          </w:tcPr>
          <w:p>
            <w:pPr>
              <w:jc w:val="center"/>
              <w:ind w:left="1498"/>
              <w:spacing w:after="0"/>
              <w:rPr>
                <w:sz w:val="20"/>
                <w:szCs w:val="20"/>
                <w:color w:val="auto"/>
              </w:rPr>
            </w:pPr>
            <w:r>
              <w:rPr>
                <w:rFonts w:ascii="Arial" w:cs="Arial" w:eastAsia="Arial" w:hAnsi="Arial"/>
                <w:sz w:val="22"/>
                <w:szCs w:val="22"/>
                <w:b w:val="1"/>
                <w:bCs w:val="1"/>
                <w:color w:val="auto"/>
                <w:w w:val="96"/>
              </w:rPr>
              <w:t>CONDENSED BALANCE SHEETS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96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1340" w:type="dxa"/>
            <w:vAlign w:val="bottom"/>
            <w:gridSpan w:val="4"/>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41"/>
        </w:trPr>
        <w:tc>
          <w:tcPr>
            <w:tcW w:w="960" w:type="dxa"/>
            <w:vAlign w:val="bottom"/>
          </w:tcPr>
          <w:p>
            <w:pPr>
              <w:spacing w:after="0"/>
              <w:rPr>
                <w:sz w:val="20"/>
                <w:szCs w:val="20"/>
                <w:color w:val="auto"/>
              </w:rPr>
            </w:pPr>
          </w:p>
        </w:tc>
        <w:tc>
          <w:tcPr>
            <w:tcW w:w="77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6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7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w w:val="92"/>
              </w:rPr>
              <w:t>(unaudited)</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960" w:type="dxa"/>
            <w:vAlign w:val="bottom"/>
            <w:vMerge w:val="continue"/>
          </w:tcPr>
          <w:p>
            <w:pPr>
              <w:spacing w:after="0"/>
              <w:rPr>
                <w:sz w:val="16"/>
                <w:szCs w:val="16"/>
                <w:color w:val="auto"/>
              </w:rPr>
            </w:pPr>
          </w:p>
        </w:tc>
        <w:tc>
          <w:tcPr>
            <w:tcW w:w="7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7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623,644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894,589</w:t>
            </w:r>
          </w:p>
        </w:tc>
        <w:tc>
          <w:tcPr>
            <w:tcW w:w="0" w:type="dxa"/>
            <w:vAlign w:val="bottom"/>
          </w:tcPr>
          <w:p>
            <w:pPr>
              <w:spacing w:after="0"/>
              <w:rPr>
                <w:sz w:val="1"/>
                <w:szCs w:val="1"/>
                <w:color w:val="auto"/>
              </w:rPr>
            </w:pPr>
          </w:p>
        </w:tc>
      </w:tr>
      <w:tr>
        <w:trPr>
          <w:trHeight w:val="223"/>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Prepaid expenses</w:t>
            </w:r>
          </w:p>
        </w:tc>
        <w:tc>
          <w:tcPr>
            <w:tcW w:w="120" w:type="dxa"/>
            <w:vAlign w:val="bottom"/>
          </w:tcPr>
          <w:p>
            <w:pPr>
              <w:spacing w:after="0"/>
              <w:rPr>
                <w:sz w:val="19"/>
                <w:szCs w:val="19"/>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89,125</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257,110</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712,769</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1,151,699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Marketable securities held in Trust Account</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254,115,791</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251,924,993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60" w:type="dxa"/>
            <w:vAlign w:val="bottom"/>
          </w:tcPr>
          <w:p>
            <w:pPr>
              <w:spacing w:after="0"/>
              <w:rPr>
                <w:sz w:val="20"/>
                <w:szCs w:val="20"/>
                <w:color w:val="auto"/>
              </w:rPr>
            </w:pPr>
            <w:r>
              <w:rPr>
                <w:rFonts w:ascii="Arial" w:cs="Arial" w:eastAsia="Arial" w:hAnsi="Arial"/>
                <w:sz w:val="18"/>
                <w:szCs w:val="18"/>
                <w:b w:val="1"/>
                <w:bCs w:val="1"/>
                <w:color w:val="auto"/>
                <w:w w:val="87"/>
              </w:rPr>
              <w:t>Total Assets</w:t>
            </w:r>
          </w:p>
        </w:tc>
        <w:tc>
          <w:tcPr>
            <w:tcW w:w="77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7"/>
              </w:rPr>
              <w:t>254,828,560</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3"/>
              </w:rPr>
              <w:t>253,076,692</w:t>
            </w:r>
          </w:p>
        </w:tc>
        <w:tc>
          <w:tcPr>
            <w:tcW w:w="0" w:type="dxa"/>
            <w:vAlign w:val="bottom"/>
          </w:tcPr>
          <w:p>
            <w:pPr>
              <w:spacing w:after="0"/>
              <w:rPr>
                <w:sz w:val="1"/>
                <w:szCs w:val="1"/>
                <w:color w:val="auto"/>
              </w:rPr>
            </w:pPr>
          </w:p>
        </w:tc>
      </w:tr>
      <w:tr>
        <w:trPr>
          <w:trHeight w:val="20"/>
        </w:trPr>
        <w:tc>
          <w:tcPr>
            <w:tcW w:w="868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 – Accounts payable and accrued expenses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497,425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96,895</w:t>
            </w: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Deferred underwriting fee payable</w:t>
            </w: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8,750,000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8,750,000</w:t>
            </w:r>
          </w:p>
        </w:tc>
        <w:tc>
          <w:tcPr>
            <w:tcW w:w="0" w:type="dxa"/>
            <w:vAlign w:val="bottom"/>
          </w:tcPr>
          <w:p>
            <w:pPr>
              <w:spacing w:after="0"/>
              <w:rPr>
                <w:sz w:val="1"/>
                <w:szCs w:val="1"/>
                <w:color w:val="auto"/>
              </w:rPr>
            </w:pPr>
          </w:p>
        </w:tc>
      </w:tr>
      <w:tr>
        <w:trPr>
          <w:trHeight w:val="223"/>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9,247,425</w:t>
            </w:r>
          </w:p>
        </w:tc>
        <w:tc>
          <w:tcPr>
            <w:tcW w:w="200" w:type="dxa"/>
            <w:vAlign w:val="bottom"/>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8,846,895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gridSpan w:val="2"/>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Commitments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Class A ordinary shares subject to possible redemption, 23,668,455 and 23,740,181 shares at redemption value at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8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September 30, 2020 and December 31, 2019, respectively</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240,581,127</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239,229,796</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gridSpan w:val="2"/>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Preference shares, $0.0001 par value; 1,000,000 shares authorized; none issued and outstanding</w:t>
            </w:r>
          </w:p>
        </w:tc>
        <w:tc>
          <w:tcPr>
            <w:tcW w:w="120" w:type="dxa"/>
            <w:vAlign w:val="bottom"/>
          </w:tcPr>
          <w:p>
            <w:pPr>
              <w:spacing w:after="0"/>
              <w:rPr>
                <w:sz w:val="18"/>
                <w:szCs w:val="18"/>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68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1"/>
              </w:rPr>
              <w:t>Class A ordinary shares, $0.0001 par value; 200,000,000 shares authorized; 1,331,545 and 1,259,819 shares issued</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3"/>
              </w:rPr>
              <w:t>and outstanding (excluding 23,668,455 and 23,740,181 shares subject to possible redemption) at September 30,</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2020 and December 31, 2019, respectively</w:t>
            </w:r>
          </w:p>
        </w:tc>
        <w:tc>
          <w:tcPr>
            <w:tcW w:w="12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133</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2"/>
        </w:trPr>
        <w:tc>
          <w:tcPr>
            <w:tcW w:w="868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0"/>
              </w:rPr>
              <w:t>Class B ordinary shares, $0.0001 par value; 20,000,000 shares authorized; 6,250,000 shares issued and outstanding</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gridSpan w:val="2"/>
          </w:tcPr>
          <w:p>
            <w:pPr>
              <w:ind w:left="300"/>
              <w:spacing w:after="0"/>
              <w:rPr>
                <w:sz w:val="20"/>
                <w:szCs w:val="20"/>
                <w:color w:val="auto"/>
              </w:rPr>
            </w:pPr>
            <w:r>
              <w:rPr>
                <w:rFonts w:ascii="Arial" w:cs="Arial" w:eastAsia="Arial" w:hAnsi="Arial"/>
                <w:sz w:val="18"/>
                <w:szCs w:val="18"/>
                <w:color w:val="auto"/>
              </w:rPr>
              <w:t>at September 30, 2020 and December 31, 2019</w:t>
            </w:r>
          </w:p>
        </w:tc>
        <w:tc>
          <w:tcPr>
            <w:tcW w:w="120" w:type="dxa"/>
            <w:vAlign w:val="bottom"/>
          </w:tcPr>
          <w:p>
            <w:pPr>
              <w:spacing w:after="0"/>
              <w:rPr>
                <w:sz w:val="20"/>
                <w:szCs w:val="20"/>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625</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2,029,753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3,381,091</w:t>
            </w:r>
          </w:p>
        </w:tc>
        <w:tc>
          <w:tcPr>
            <w:tcW w:w="0" w:type="dxa"/>
            <w:vAlign w:val="bottom"/>
          </w:tcPr>
          <w:p>
            <w:pPr>
              <w:spacing w:after="0"/>
              <w:rPr>
                <w:sz w:val="1"/>
                <w:szCs w:val="1"/>
                <w:color w:val="auto"/>
              </w:rPr>
            </w:pPr>
          </w:p>
        </w:tc>
      </w:tr>
      <w:tr>
        <w:trPr>
          <w:trHeight w:val="223"/>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2,969,497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1,618,159</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5,000,008</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7"/>
              </w:rPr>
              <w:t>254,828,560</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3"/>
              </w:rPr>
              <w:t>253,076,692</w:t>
            </w: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accompanying notes are an integral part of the unaudited condensed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SILVER SPIKE ACQUISITION CORP.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STATEMENTS OF OPERATIONS</w:t>
      </w: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w w:val="98"/>
              </w:rPr>
              <w:t>For the Period</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from</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vMerge w:val="restart"/>
          </w:tcPr>
          <w:p>
            <w:pPr>
              <w:jc w:val="center"/>
              <w:ind w:right="460"/>
              <w:spacing w:after="0"/>
              <w:rPr>
                <w:sz w:val="20"/>
                <w:szCs w:val="20"/>
                <w:color w:val="auto"/>
              </w:rPr>
            </w:pPr>
            <w:r>
              <w:rPr>
                <w:rFonts w:ascii="Arial" w:cs="Arial" w:eastAsia="Arial" w:hAnsi="Arial"/>
                <w:sz w:val="18"/>
                <w:szCs w:val="18"/>
                <w:b w:val="1"/>
                <w:bCs w:val="1"/>
                <w:color w:val="auto"/>
                <w:w w:val="93"/>
              </w:rPr>
              <w:t>Three Months</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June 7, 2019</w:t>
            </w:r>
          </w:p>
        </w:tc>
        <w:tc>
          <w:tcPr>
            <w:tcW w:w="0" w:type="dxa"/>
            <w:vAlign w:val="bottom"/>
          </w:tcPr>
          <w:p>
            <w:pPr>
              <w:spacing w:after="0"/>
              <w:rPr>
                <w:sz w:val="1"/>
                <w:szCs w:val="1"/>
                <w:color w:val="auto"/>
              </w:rPr>
            </w:pPr>
          </w:p>
        </w:tc>
      </w:tr>
      <w:tr>
        <w:trPr>
          <w:trHeight w:val="189"/>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80" w:type="dxa"/>
            <w:vAlign w:val="bottom"/>
            <w:gridSpan w:val="5"/>
            <w:vMerge w:val="continue"/>
          </w:tcPr>
          <w:p>
            <w:pPr>
              <w:spacing w:after="0"/>
              <w:rPr>
                <w:sz w:val="16"/>
                <w:szCs w:val="16"/>
                <w:color w:val="auto"/>
              </w:rPr>
            </w:pPr>
          </w:p>
        </w:tc>
        <w:tc>
          <w:tcPr>
            <w:tcW w:w="1320" w:type="dxa"/>
            <w:vAlign w:val="bottom"/>
            <w:gridSpan w:val="3"/>
          </w:tcPr>
          <w:p>
            <w:pPr>
              <w:jc w:val="center"/>
              <w:ind w:right="200"/>
              <w:spacing w:after="0" w:line="189" w:lineRule="exact"/>
              <w:rPr>
                <w:sz w:val="20"/>
                <w:szCs w:val="20"/>
                <w:color w:val="auto"/>
              </w:rPr>
            </w:pPr>
            <w:r>
              <w:rPr>
                <w:rFonts w:ascii="Arial" w:cs="Arial" w:eastAsia="Arial" w:hAnsi="Arial"/>
                <w:sz w:val="18"/>
                <w:szCs w:val="18"/>
                <w:b w:val="1"/>
                <w:bCs w:val="1"/>
                <w:color w:val="auto"/>
                <w:w w:val="92"/>
              </w:rPr>
              <w:t>Nine Months</w:t>
            </w:r>
          </w:p>
        </w:tc>
        <w:tc>
          <w:tcPr>
            <w:tcW w:w="120" w:type="dxa"/>
            <w:vAlign w:val="bottom"/>
          </w:tcPr>
          <w:p>
            <w:pPr>
              <w:spacing w:after="0"/>
              <w:rPr>
                <w:sz w:val="16"/>
                <w:szCs w:val="16"/>
                <w:color w:val="auto"/>
              </w:rPr>
            </w:pPr>
          </w:p>
        </w:tc>
        <w:tc>
          <w:tcPr>
            <w:tcW w:w="1100" w:type="dxa"/>
            <w:vAlign w:val="bottom"/>
            <w:gridSpan w:val="2"/>
          </w:tcPr>
          <w:p>
            <w:pPr>
              <w:jc w:val="center"/>
              <w:ind w:right="220"/>
              <w:spacing w:after="0" w:line="189" w:lineRule="exact"/>
              <w:rPr>
                <w:sz w:val="20"/>
                <w:szCs w:val="20"/>
                <w:color w:val="auto"/>
              </w:rPr>
            </w:pPr>
            <w:r>
              <w:rPr>
                <w:rFonts w:ascii="Arial" w:cs="Arial" w:eastAsia="Arial" w:hAnsi="Arial"/>
                <w:sz w:val="18"/>
                <w:szCs w:val="18"/>
                <w:b w:val="1"/>
                <w:bCs w:val="1"/>
                <w:color w:val="auto"/>
                <w:w w:val="91"/>
              </w:rPr>
              <w:t>(Inception)</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3"/>
          </w:tcPr>
          <w:p>
            <w:pPr>
              <w:jc w:val="center"/>
              <w:ind w:left="550"/>
              <w:spacing w:after="0"/>
              <w:rPr>
                <w:sz w:val="20"/>
                <w:szCs w:val="20"/>
                <w:color w:val="auto"/>
              </w:rPr>
            </w:pPr>
            <w:r>
              <w:rPr>
                <w:rFonts w:ascii="Arial" w:cs="Arial" w:eastAsia="Arial" w:hAnsi="Arial"/>
                <w:sz w:val="18"/>
                <w:szCs w:val="18"/>
                <w:b w:val="1"/>
                <w:bCs w:val="1"/>
                <w:color w:val="auto"/>
                <w:w w:val="90"/>
              </w:rPr>
              <w:t>Ended</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Ended</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Through</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9"/>
              </w:rPr>
              <w:t>September 30,</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23"/>
        </w:trPr>
        <w:tc>
          <w:tcPr>
            <w:tcW w:w="59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Formation and operating costs</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159,017</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133,620</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839,460</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138,620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Pr>
          <w:p>
            <w:pPr>
              <w:ind w:left="180"/>
              <w:spacing w:after="0"/>
              <w:rPr>
                <w:sz w:val="20"/>
                <w:szCs w:val="20"/>
                <w:color w:val="auto"/>
              </w:rPr>
            </w:pPr>
            <w:r>
              <w:rPr>
                <w:rFonts w:ascii="Arial" w:cs="Arial" w:eastAsia="Arial" w:hAnsi="Arial"/>
                <w:sz w:val="18"/>
                <w:szCs w:val="18"/>
                <w:b w:val="1"/>
                <w:bCs w:val="1"/>
                <w:color w:val="auto"/>
              </w:rPr>
              <w:t>Loss from operations</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(159,017)</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(133,620)</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(839,460)</w:t>
            </w: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(138,620)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 on marketable securities held in Trust Account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342,126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620,669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2,207,141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620,669</w:t>
            </w:r>
          </w:p>
        </w:tc>
        <w:tc>
          <w:tcPr>
            <w:tcW w:w="0" w:type="dxa"/>
            <w:vAlign w:val="bottom"/>
          </w:tcPr>
          <w:p>
            <w:pPr>
              <w:spacing w:after="0"/>
              <w:rPr>
                <w:sz w:val="1"/>
                <w:szCs w:val="1"/>
                <w:color w:val="auto"/>
              </w:rPr>
            </w:pPr>
          </w:p>
        </w:tc>
      </w:tr>
      <w:tr>
        <w:trPr>
          <w:trHeight w:val="223"/>
        </w:trPr>
        <w:tc>
          <w:tcPr>
            <w:tcW w:w="5980" w:type="dxa"/>
            <w:vAlign w:val="bottom"/>
          </w:tcPr>
          <w:p>
            <w:pPr>
              <w:ind w:left="180"/>
              <w:spacing w:after="0"/>
              <w:rPr>
                <w:sz w:val="20"/>
                <w:szCs w:val="20"/>
                <w:color w:val="auto"/>
              </w:rPr>
            </w:pPr>
            <w:r>
              <w:rPr>
                <w:rFonts w:ascii="Arial" w:cs="Arial" w:eastAsia="Arial" w:hAnsi="Arial"/>
                <w:sz w:val="18"/>
                <w:szCs w:val="18"/>
                <w:color w:val="auto"/>
              </w:rPr>
              <w:t>Unrealized (loss) gain on marketable securities held in Trust Account</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(297,069)</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66,074</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(16,343)</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66,074</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net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45,057</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686,743</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2,190,798</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686,743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Net (loss) income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(113,960</w:t>
            </w:r>
            <w:r>
              <w:rPr>
                <w:rFonts w:ascii="Arial" w:cs="Arial" w:eastAsia="Arial" w:hAnsi="Arial"/>
                <w:sz w:val="18"/>
                <w:szCs w:val="18"/>
                <w:color w:val="auto"/>
              </w:rPr>
              <w: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553,123</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1,351,338</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548,123</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598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Weighted average shares outstanding, basic and diluted </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7,566,134</w:t>
            </w:r>
          </w:p>
        </w:tc>
        <w:tc>
          <w:tcPr>
            <w:tcW w:w="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6,910,082</w:t>
            </w:r>
          </w:p>
        </w:tc>
        <w:tc>
          <w:tcPr>
            <w:tcW w:w="2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7,538,169</w:t>
            </w:r>
          </w:p>
        </w:tc>
        <w:tc>
          <w:tcPr>
            <w:tcW w:w="1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6,792,210</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80" w:type="dxa"/>
            <w:vAlign w:val="bottom"/>
            <w:shd w:val="clear" w:color="auto" w:fill="CCEEFF"/>
          </w:tcPr>
          <w:p>
            <w:pPr>
              <w:spacing w:after="0" w:line="216" w:lineRule="exact"/>
              <w:rPr>
                <w:sz w:val="20"/>
                <w:szCs w:val="20"/>
                <w:color w:val="auto"/>
              </w:rPr>
            </w:pPr>
            <w:r>
              <w:rPr>
                <w:rFonts w:ascii="Arial" w:cs="Arial" w:eastAsia="Arial" w:hAnsi="Arial"/>
                <w:sz w:val="16"/>
                <w:szCs w:val="16"/>
                <w:b w:val="1"/>
                <w:bCs w:val="1"/>
                <w:color w:val="auto"/>
              </w:rPr>
              <w:t xml:space="preserve">Basic and diluted net loss per ordinary share </w:t>
            </w:r>
            <w:r>
              <w:rPr>
                <w:rFonts w:ascii="Arial" w:cs="Arial" w:eastAsia="Arial" w:hAnsi="Arial"/>
                <w:sz w:val="25"/>
                <w:szCs w:val="25"/>
                <w:b w:val="1"/>
                <w:bCs w:val="1"/>
                <w:color w:val="auto"/>
                <w:vertAlign w:val="superscript"/>
              </w:rPr>
              <w:t>(2)</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(0.02)</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(0.01)</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(0.10)</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(0.02)</w:t>
            </w:r>
          </w:p>
        </w:tc>
        <w:tc>
          <w:tcPr>
            <w:tcW w:w="0" w:type="dxa"/>
            <w:vAlign w:val="bottom"/>
          </w:tcPr>
          <w:p>
            <w:pPr>
              <w:spacing w:after="0"/>
              <w:rPr>
                <w:sz w:val="1"/>
                <w:szCs w:val="1"/>
                <w:color w:val="auto"/>
              </w:rPr>
            </w:pPr>
          </w:p>
        </w:tc>
      </w:tr>
      <w:tr>
        <w:trPr>
          <w:trHeight w:val="21"/>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Excludes an aggregate of 23,668,455 and 23,750,733 shares subject to possible redemption at September 30, 2020 and 2019, respectively.</w:t>
      </w:r>
    </w:p>
    <w:p>
      <w:pPr>
        <w:spacing w:after="0" w:line="263" w:lineRule="exact"/>
        <w:rPr>
          <w:rFonts w:ascii="Arial" w:cs="Arial" w:eastAsia="Arial" w:hAnsi="Arial"/>
          <w:sz w:val="17"/>
          <w:szCs w:val="17"/>
          <w:color w:val="auto"/>
        </w:rPr>
      </w:pPr>
    </w:p>
    <w:p>
      <w:pPr>
        <w:ind w:left="340" w:right="200" w:hanging="332"/>
        <w:spacing w:after="0" w:line="263"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loss per ordinary share – basic and diluted excludes income attributable to ordinary shares subject to possible redemption of $42,655 and $2,074,028 for the three and nine months ended September 30, 2020, respectively, and $652,406 for the three months ended September 30, 2019 and for the period from June 7, 2019 (inception) through September 30, 2019, respectively (see Note 2).</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accompanying notes are an integral part of the unaudited condensed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SILVER SPIKE ACQUISITION CORP.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STATEMENTS OF CHANGES IN SHAREHOLDERS’ EQUITY</w:t>
      </w: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THREE AND NINE MONTHS ENDED SEPTEMBER 30, 2020</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b w:val="1"/>
                <w:bCs w:val="1"/>
                <w:color w:val="auto"/>
              </w:rPr>
              <w:t>Class A</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4"/>
          </w:tcPr>
          <w:p>
            <w:pPr>
              <w:jc w:val="center"/>
              <w:ind w:left="730"/>
              <w:spacing w:after="0"/>
              <w:rPr>
                <w:sz w:val="20"/>
                <w:szCs w:val="20"/>
                <w:color w:val="auto"/>
              </w:rPr>
            </w:pPr>
            <w:r>
              <w:rPr>
                <w:rFonts w:ascii="Arial" w:cs="Arial" w:eastAsia="Arial" w:hAnsi="Arial"/>
                <w:sz w:val="18"/>
                <w:szCs w:val="18"/>
                <w:b w:val="1"/>
                <w:bCs w:val="1"/>
                <w:color w:val="auto"/>
                <w:w w:val="87"/>
              </w:rPr>
              <w:t>Class B</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0"/>
              </w:rPr>
              <w:t>Additional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Total</w:t>
            </w:r>
          </w:p>
        </w:tc>
      </w:tr>
      <w:tr>
        <w:trPr>
          <w:trHeight w:val="241"/>
        </w:trPr>
        <w:tc>
          <w:tcPr>
            <w:tcW w:w="2720" w:type="dxa"/>
            <w:vAlign w:val="bottom"/>
          </w:tcPr>
          <w:p>
            <w:pPr>
              <w:spacing w:after="0"/>
              <w:rPr>
                <w:sz w:val="20"/>
                <w:szCs w:val="20"/>
                <w:color w:val="auto"/>
              </w:rPr>
            </w:pPr>
          </w:p>
        </w:tc>
        <w:tc>
          <w:tcPr>
            <w:tcW w:w="248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Ordinary Shares</w:t>
            </w:r>
          </w:p>
        </w:tc>
        <w:tc>
          <w:tcPr>
            <w:tcW w:w="232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92"/>
              </w:rPr>
              <w:t>Ordinary Shares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Paid-in</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2"/>
              </w:rPr>
              <w:t>Retained</w:t>
            </w:r>
          </w:p>
        </w:tc>
        <w:tc>
          <w:tcPr>
            <w:tcW w:w="1260" w:type="dxa"/>
            <w:vAlign w:val="bottom"/>
            <w:gridSpan w:val="4"/>
          </w:tcPr>
          <w:p>
            <w:pPr>
              <w:ind w:left="80"/>
              <w:spacing w:after="0"/>
              <w:rPr>
                <w:sz w:val="20"/>
                <w:szCs w:val="20"/>
                <w:color w:val="auto"/>
              </w:rPr>
            </w:pPr>
            <w:r>
              <w:rPr>
                <w:rFonts w:ascii="Arial" w:cs="Arial" w:eastAsia="Arial" w:hAnsi="Arial"/>
                <w:sz w:val="18"/>
                <w:szCs w:val="18"/>
                <w:b w:val="1"/>
                <w:bCs w:val="1"/>
                <w:color w:val="auto"/>
                <w:w w:val="96"/>
              </w:rPr>
              <w:t>Shareholders’</w:t>
            </w:r>
          </w:p>
        </w:tc>
      </w:tr>
      <w:tr>
        <w:trPr>
          <w:trHeight w:val="223"/>
        </w:trPr>
        <w:tc>
          <w:tcPr>
            <w:tcW w:w="2720" w:type="dxa"/>
            <w:vAlign w:val="bottom"/>
          </w:tcPr>
          <w:p>
            <w:pPr>
              <w:spacing w:after="0"/>
              <w:rPr>
                <w:sz w:val="19"/>
                <w:szCs w:val="19"/>
                <w:color w:val="auto"/>
              </w:rPr>
            </w:pPr>
          </w:p>
        </w:tc>
        <w:tc>
          <w:tcPr>
            <w:tcW w:w="10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Shares</w:t>
            </w:r>
          </w:p>
        </w:tc>
        <w:tc>
          <w:tcPr>
            <w:tcW w:w="2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tcPr>
          <w:p>
            <w:pPr>
              <w:spacing w:after="0"/>
              <w:rPr>
                <w:sz w:val="19"/>
                <w:szCs w:val="19"/>
                <w:color w:val="auto"/>
              </w:rPr>
            </w:pPr>
          </w:p>
        </w:tc>
        <w:tc>
          <w:tcPr>
            <w:tcW w:w="112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rPr>
              <w:t>Shares</w:t>
            </w: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Capital</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0"/>
              </w:rPr>
              <w:t>Earnings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Equity</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January 1, 2020</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1,259,819</w:t>
            </w: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2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3,381,091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1,618,159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5,000,001</w:t>
            </w:r>
          </w:p>
        </w:tc>
        <w:tc>
          <w:tcPr>
            <w:tcW w:w="100" w:type="dxa"/>
            <w:vAlign w:val="bottom"/>
            <w:shd w:val="clear" w:color="auto" w:fill="CCEEFF"/>
          </w:tcPr>
          <w:p>
            <w:pPr>
              <w:spacing w:after="0"/>
              <w:rPr>
                <w:sz w:val="18"/>
                <w:szCs w:val="18"/>
                <w:color w:val="auto"/>
              </w:rPr>
            </w:pPr>
          </w:p>
        </w:tc>
      </w:tr>
      <w:tr>
        <w:trPr>
          <w:trHeight w:val="216"/>
        </w:trPr>
        <w:tc>
          <w:tcPr>
            <w:tcW w:w="2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Change in value of ordinary shares</w:t>
            </w: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subject to possible redemption</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34,700</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(1,627,107)</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(1,627,104)</w:t>
            </w:r>
          </w:p>
        </w:tc>
      </w:tr>
      <w:tr>
        <w:trPr>
          <w:trHeight w:val="216"/>
        </w:trPr>
        <w:tc>
          <w:tcPr>
            <w:tcW w:w="2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1,627,107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1,627,107</w:t>
            </w:r>
          </w:p>
        </w:tc>
      </w:tr>
      <w:tr>
        <w:trPr>
          <w:trHeight w:val="27"/>
        </w:trPr>
        <w:tc>
          <w:tcPr>
            <w:tcW w:w="272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b w:val="1"/>
                <w:bCs w:val="1"/>
                <w:color w:val="auto"/>
              </w:rPr>
              <w:t>Balance – March 31, 2020</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1,294,519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129</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6,250,000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1,753,984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3,245,266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5,000,004</w:t>
            </w:r>
          </w:p>
        </w:tc>
      </w:tr>
      <w:tr>
        <w:trPr>
          <w:trHeight w:val="216"/>
        </w:trPr>
        <w:tc>
          <w:tcPr>
            <w:tcW w:w="27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720" w:type="dxa"/>
            <w:vAlign w:val="bottom"/>
          </w:tcPr>
          <w:p>
            <w:pPr>
              <w:spacing w:after="0" w:line="201" w:lineRule="exact"/>
              <w:rPr>
                <w:sz w:val="20"/>
                <w:szCs w:val="20"/>
                <w:color w:val="auto"/>
              </w:rPr>
            </w:pPr>
            <w:r>
              <w:rPr>
                <w:rFonts w:ascii="Arial" w:cs="Arial" w:eastAsia="Arial" w:hAnsi="Arial"/>
                <w:sz w:val="18"/>
                <w:szCs w:val="18"/>
                <w:color w:val="auto"/>
                <w:w w:val="96"/>
              </w:rPr>
              <w:t>Change in value of ordinary shares</w:t>
            </w: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720" w:type="dxa"/>
            <w:vAlign w:val="bottom"/>
          </w:tcPr>
          <w:p>
            <w:pPr>
              <w:ind w:left="140"/>
              <w:spacing w:after="0"/>
              <w:rPr>
                <w:sz w:val="20"/>
                <w:szCs w:val="20"/>
                <w:color w:val="auto"/>
              </w:rPr>
            </w:pPr>
            <w:r>
              <w:rPr>
                <w:rFonts w:ascii="Arial" w:cs="Arial" w:eastAsia="Arial" w:hAnsi="Arial"/>
                <w:sz w:val="18"/>
                <w:szCs w:val="18"/>
                <w:color w:val="auto"/>
              </w:rPr>
              <w:t>subject to possible redemption</w:t>
            </w:r>
          </w:p>
        </w:tc>
        <w:tc>
          <w:tcPr>
            <w:tcW w:w="1020" w:type="dxa"/>
            <w:vAlign w:val="bottom"/>
          </w:tcPr>
          <w:p>
            <w:pPr>
              <w:jc w:val="right"/>
              <w:spacing w:after="0"/>
              <w:rPr>
                <w:sz w:val="20"/>
                <w:szCs w:val="20"/>
                <w:color w:val="auto"/>
              </w:rPr>
            </w:pPr>
            <w:r>
              <w:rPr>
                <w:rFonts w:ascii="Arial" w:cs="Arial" w:eastAsia="Arial" w:hAnsi="Arial"/>
                <w:sz w:val="18"/>
                <w:szCs w:val="18"/>
                <w:color w:val="auto"/>
              </w:rPr>
              <w:t>21,615</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161,809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161,812</w:t>
            </w:r>
          </w:p>
        </w:tc>
      </w:tr>
      <w:tr>
        <w:trPr>
          <w:trHeight w:val="216"/>
        </w:trPr>
        <w:tc>
          <w:tcPr>
            <w:tcW w:w="27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Net loss</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(161,809)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(161,809)</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June 30, 2020</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1,316,134</w:t>
            </w: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132</w:t>
            </w:r>
          </w:p>
        </w:tc>
        <w:tc>
          <w:tcPr>
            <w:tcW w:w="22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6,250,000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1,915,793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3,083,457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5,000,007</w:t>
            </w:r>
          </w:p>
        </w:tc>
        <w:tc>
          <w:tcPr>
            <w:tcW w:w="100" w:type="dxa"/>
            <w:vAlign w:val="bottom"/>
            <w:shd w:val="clear" w:color="auto" w:fill="CCEEFF"/>
          </w:tcPr>
          <w:p>
            <w:pPr>
              <w:spacing w:after="0"/>
              <w:rPr>
                <w:sz w:val="18"/>
                <w:szCs w:val="18"/>
                <w:color w:val="auto"/>
              </w:rPr>
            </w:pPr>
          </w:p>
        </w:tc>
      </w:tr>
      <w:tr>
        <w:trPr>
          <w:trHeight w:val="216"/>
        </w:trPr>
        <w:tc>
          <w:tcPr>
            <w:tcW w:w="2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Change in value of ordinary shares</w:t>
            </w: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subject to possible redemption</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15,411</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113,960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113,961</w:t>
            </w:r>
          </w:p>
        </w:tc>
      </w:tr>
      <w:tr>
        <w:trPr>
          <w:trHeight w:val="216"/>
        </w:trPr>
        <w:tc>
          <w:tcPr>
            <w:tcW w:w="2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(113,960)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(113,960)</w:t>
            </w:r>
          </w:p>
        </w:tc>
      </w:tr>
      <w:tr>
        <w:trPr>
          <w:trHeight w:val="27"/>
        </w:trPr>
        <w:tc>
          <w:tcPr>
            <w:tcW w:w="272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b w:val="1"/>
                <w:bCs w:val="1"/>
                <w:color w:val="auto"/>
              </w:rPr>
              <w:t>Balance – September 30, 2020</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1,331,545</w:t>
            </w:r>
          </w:p>
        </w:tc>
        <w:tc>
          <w:tcPr>
            <w:tcW w:w="420" w:type="dxa"/>
            <w:vAlign w:val="bottom"/>
            <w:gridSpan w:val="2"/>
          </w:tcPr>
          <w:p>
            <w:pPr>
              <w:jc w:val="right"/>
              <w:ind w:right="7"/>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133</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6,250,000</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625</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2,029,753</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2,969,497</w:t>
            </w:r>
          </w:p>
        </w:tc>
        <w:tc>
          <w:tcPr>
            <w:tcW w:w="26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5,000,008</w:t>
            </w:r>
          </w:p>
        </w:tc>
      </w:tr>
      <w:tr>
        <w:trPr>
          <w:trHeight w:val="20"/>
        </w:trPr>
        <w:tc>
          <w:tcPr>
            <w:tcW w:w="27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THREE MONTHS ENDED SEPTEMBER 30, 2019 AND</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FOR THE PERIOD FROM JUNE 7, 2019 (INCEPTION) THROUGH SEPTEMBER 30, 2019</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8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b w:val="1"/>
                <w:bCs w:val="1"/>
                <w:color w:val="auto"/>
              </w:rPr>
              <w:t>Class A</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b w:val="1"/>
                <w:bCs w:val="1"/>
                <w:color w:val="auto"/>
              </w:rPr>
              <w:t>Class B</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5"/>
              </w:rPr>
              <w:t>Additional</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241"/>
        </w:trPr>
        <w:tc>
          <w:tcPr>
            <w:tcW w:w="2680" w:type="dxa"/>
            <w:vAlign w:val="bottom"/>
          </w:tcPr>
          <w:p>
            <w:pPr>
              <w:spacing w:after="0"/>
              <w:rPr>
                <w:sz w:val="20"/>
                <w:szCs w:val="20"/>
                <w:color w:val="auto"/>
              </w:rPr>
            </w:pPr>
          </w:p>
        </w:tc>
        <w:tc>
          <w:tcPr>
            <w:tcW w:w="244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Ordinary Shares</w:t>
            </w:r>
          </w:p>
        </w:tc>
        <w:tc>
          <w:tcPr>
            <w:tcW w:w="242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Ordinary Shares</w:t>
            </w:r>
          </w:p>
        </w:tc>
        <w:tc>
          <w:tcPr>
            <w:tcW w:w="10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Paid-in</w:t>
            </w:r>
          </w:p>
        </w:tc>
        <w:tc>
          <w:tcPr>
            <w:tcW w:w="120" w:type="dxa"/>
            <w:vAlign w:val="bottom"/>
          </w:tcPr>
          <w:p>
            <w:pPr>
              <w:spacing w:after="0"/>
              <w:rPr>
                <w:sz w:val="20"/>
                <w:szCs w:val="20"/>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2"/>
              </w:rPr>
              <w:t>Retained</w:t>
            </w:r>
          </w:p>
        </w:tc>
        <w:tc>
          <w:tcPr>
            <w:tcW w:w="1180" w:type="dxa"/>
            <w:vAlign w:val="bottom"/>
            <w:gridSpan w:val="3"/>
          </w:tcPr>
          <w:p>
            <w:pPr>
              <w:spacing w:after="0"/>
              <w:rPr>
                <w:sz w:val="20"/>
                <w:szCs w:val="20"/>
                <w:color w:val="auto"/>
              </w:rPr>
            </w:pPr>
            <w:r>
              <w:rPr>
                <w:rFonts w:ascii="Arial" w:cs="Arial" w:eastAsia="Arial" w:hAnsi="Arial"/>
                <w:sz w:val="18"/>
                <w:szCs w:val="18"/>
                <w:b w:val="1"/>
                <w:bCs w:val="1"/>
                <w:color w:val="auto"/>
                <w:w w:val="96"/>
              </w:rPr>
              <w:t>Shareholders’</w:t>
            </w:r>
          </w:p>
        </w:tc>
      </w:tr>
      <w:tr>
        <w:trPr>
          <w:trHeight w:val="223"/>
        </w:trPr>
        <w:tc>
          <w:tcPr>
            <w:tcW w:w="2680" w:type="dxa"/>
            <w:vAlign w:val="bottom"/>
          </w:tcPr>
          <w:p>
            <w:pPr>
              <w:spacing w:after="0"/>
              <w:rPr>
                <w:sz w:val="19"/>
                <w:szCs w:val="19"/>
                <w:color w:val="auto"/>
              </w:rPr>
            </w:pPr>
          </w:p>
        </w:tc>
        <w:tc>
          <w:tcPr>
            <w:tcW w:w="122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tcPr>
          <w:p>
            <w:pPr>
              <w:spacing w:after="0"/>
              <w:rPr>
                <w:sz w:val="19"/>
                <w:szCs w:val="19"/>
                <w:color w:val="auto"/>
              </w:rPr>
            </w:pPr>
          </w:p>
        </w:tc>
        <w:tc>
          <w:tcPr>
            <w:tcW w:w="120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Capital</w:t>
            </w:r>
          </w:p>
        </w:tc>
        <w:tc>
          <w:tcPr>
            <w:tcW w:w="12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0"/>
              </w:rPr>
              <w:t>Earnings</w:t>
            </w:r>
          </w:p>
        </w:tc>
        <w:tc>
          <w:tcPr>
            <w:tcW w:w="10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Equity</w:t>
            </w:r>
          </w:p>
        </w:tc>
      </w:tr>
      <w:tr>
        <w:trPr>
          <w:trHeight w:val="198"/>
        </w:trPr>
        <w:tc>
          <w:tcPr>
            <w:tcW w:w="26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 June 7, 2019</w:t>
            </w: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6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(inception)</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Issuance of Class B ordinary shares</w:t>
            </w: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 Sponsor</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7,187,500</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719</w:t>
            </w: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24,281</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r>
      <w:tr>
        <w:trPr>
          <w:trHeight w:val="216"/>
        </w:trPr>
        <w:tc>
          <w:tcPr>
            <w:tcW w:w="2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2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(5,000)</w:t>
            </w:r>
          </w:p>
        </w:tc>
      </w:tr>
      <w:tr>
        <w:trPr>
          <w:trHeight w:val="27"/>
        </w:trPr>
        <w:tc>
          <w:tcPr>
            <w:tcW w:w="268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b w:val="1"/>
                <w:bCs w:val="1"/>
                <w:color w:val="auto"/>
              </w:rPr>
              <w:t>Balance – June 30, 2019</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7,187,500</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719</w:t>
            </w: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24,281</w:t>
            </w: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(5,000</w:t>
            </w: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20,000</w:t>
            </w:r>
          </w:p>
        </w:tc>
      </w:tr>
      <w:tr>
        <w:trPr>
          <w:trHeight w:val="216"/>
        </w:trPr>
        <w:tc>
          <w:tcPr>
            <w:tcW w:w="26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680" w:type="dxa"/>
            <w:vAlign w:val="bottom"/>
          </w:tcPr>
          <w:p>
            <w:pPr>
              <w:spacing w:after="0" w:line="201" w:lineRule="exact"/>
              <w:rPr>
                <w:sz w:val="20"/>
                <w:szCs w:val="20"/>
                <w:color w:val="auto"/>
              </w:rPr>
            </w:pPr>
            <w:r>
              <w:rPr>
                <w:rFonts w:ascii="Arial" w:cs="Arial" w:eastAsia="Arial" w:hAnsi="Arial"/>
                <w:sz w:val="18"/>
                <w:szCs w:val="18"/>
                <w:color w:val="auto"/>
              </w:rPr>
              <w:t>Sale of 25,000,000 Units, net of</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680" w:type="dxa"/>
            <w:vAlign w:val="bottom"/>
          </w:tcPr>
          <w:p>
            <w:pPr>
              <w:ind w:left="140"/>
              <w:spacing w:after="0"/>
              <w:rPr>
                <w:sz w:val="20"/>
                <w:szCs w:val="20"/>
                <w:color w:val="auto"/>
              </w:rPr>
            </w:pPr>
            <w:r>
              <w:rPr>
                <w:rFonts w:ascii="Arial" w:cs="Arial" w:eastAsia="Arial" w:hAnsi="Arial"/>
                <w:sz w:val="18"/>
                <w:szCs w:val="18"/>
                <w:color w:val="auto"/>
              </w:rPr>
              <w:t>underwriting discounts and</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680" w:type="dxa"/>
            <w:vAlign w:val="bottom"/>
          </w:tcPr>
          <w:p>
            <w:pPr>
              <w:ind w:left="140"/>
              <w:spacing w:after="0"/>
              <w:rPr>
                <w:sz w:val="20"/>
                <w:szCs w:val="20"/>
                <w:color w:val="auto"/>
              </w:rPr>
            </w:pPr>
            <w:r>
              <w:rPr>
                <w:rFonts w:ascii="Arial" w:cs="Arial" w:eastAsia="Arial" w:hAnsi="Arial"/>
                <w:sz w:val="18"/>
                <w:szCs w:val="18"/>
                <w:color w:val="auto"/>
              </w:rPr>
              <w:t>offering expenses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25,000,000</w:t>
            </w: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2,500</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235,584,138</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235,586,638</w:t>
            </w:r>
          </w:p>
        </w:tc>
      </w:tr>
      <w:tr>
        <w:trPr>
          <w:trHeight w:val="216"/>
        </w:trPr>
        <w:tc>
          <w:tcPr>
            <w:tcW w:w="26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680" w:type="dxa"/>
            <w:vAlign w:val="bottom"/>
          </w:tcPr>
          <w:p>
            <w:pPr>
              <w:spacing w:after="0" w:line="201" w:lineRule="exact"/>
              <w:rPr>
                <w:sz w:val="20"/>
                <w:szCs w:val="20"/>
                <w:color w:val="auto"/>
              </w:rPr>
            </w:pPr>
            <w:r>
              <w:rPr>
                <w:rFonts w:ascii="Arial" w:cs="Arial" w:eastAsia="Arial" w:hAnsi="Arial"/>
                <w:sz w:val="18"/>
                <w:szCs w:val="18"/>
                <w:color w:val="auto"/>
              </w:rPr>
              <w:t>Sale of 7,000,000 Private</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680" w:type="dxa"/>
            <w:vAlign w:val="bottom"/>
          </w:tcPr>
          <w:p>
            <w:pPr>
              <w:ind w:left="140"/>
              <w:spacing w:after="0"/>
              <w:rPr>
                <w:sz w:val="20"/>
                <w:szCs w:val="20"/>
                <w:color w:val="auto"/>
              </w:rPr>
            </w:pPr>
            <w:r>
              <w:rPr>
                <w:rFonts w:ascii="Arial" w:cs="Arial" w:eastAsia="Arial" w:hAnsi="Arial"/>
                <w:sz w:val="18"/>
                <w:szCs w:val="18"/>
                <w:color w:val="auto"/>
              </w:rPr>
              <w:t>Placement Warrants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7,00,000</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7,000,000</w:t>
            </w:r>
          </w:p>
        </w:tc>
      </w:tr>
      <w:tr>
        <w:trPr>
          <w:trHeight w:val="216"/>
        </w:trPr>
        <w:tc>
          <w:tcPr>
            <w:tcW w:w="26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680" w:type="dxa"/>
            <w:vAlign w:val="bottom"/>
          </w:tcPr>
          <w:p>
            <w:pPr>
              <w:spacing w:after="0" w:line="201" w:lineRule="exact"/>
              <w:rPr>
                <w:sz w:val="20"/>
                <w:szCs w:val="20"/>
                <w:color w:val="auto"/>
              </w:rPr>
            </w:pPr>
            <w:r>
              <w:rPr>
                <w:rFonts w:ascii="Arial" w:cs="Arial" w:eastAsia="Arial" w:hAnsi="Arial"/>
                <w:sz w:val="18"/>
                <w:szCs w:val="18"/>
                <w:color w:val="auto"/>
              </w:rPr>
              <w:t>Forfeiture of 937,500 Class B</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680" w:type="dxa"/>
            <w:vAlign w:val="bottom"/>
          </w:tcPr>
          <w:p>
            <w:pPr>
              <w:ind w:left="140"/>
              <w:spacing w:after="0"/>
              <w:rPr>
                <w:sz w:val="20"/>
                <w:szCs w:val="20"/>
                <w:color w:val="auto"/>
              </w:rPr>
            </w:pPr>
            <w:r>
              <w:rPr>
                <w:rFonts w:ascii="Arial" w:cs="Arial" w:eastAsia="Arial" w:hAnsi="Arial"/>
                <w:sz w:val="18"/>
                <w:szCs w:val="18"/>
                <w:color w:val="auto"/>
              </w:rPr>
              <w:t>ordinary shares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(937,500)</w:t>
            </w:r>
          </w:p>
        </w:tc>
        <w:tc>
          <w:tcPr>
            <w:tcW w:w="1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6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680" w:type="dxa"/>
            <w:vAlign w:val="bottom"/>
          </w:tcPr>
          <w:p>
            <w:pPr>
              <w:spacing w:after="0" w:line="201" w:lineRule="exact"/>
              <w:rPr>
                <w:sz w:val="20"/>
                <w:szCs w:val="20"/>
                <w:color w:val="auto"/>
              </w:rPr>
            </w:pPr>
            <w:r>
              <w:rPr>
                <w:rFonts w:ascii="Arial" w:cs="Arial" w:eastAsia="Arial" w:hAnsi="Arial"/>
                <w:sz w:val="18"/>
                <w:szCs w:val="18"/>
                <w:color w:val="auto"/>
                <w:w w:val="94"/>
              </w:rPr>
              <w:t>Ordinary shares subject to possible</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680" w:type="dxa"/>
            <w:vAlign w:val="bottom"/>
          </w:tcPr>
          <w:p>
            <w:pPr>
              <w:ind w:left="140"/>
              <w:spacing w:after="0"/>
              <w:rPr>
                <w:sz w:val="20"/>
                <w:szCs w:val="20"/>
                <w:color w:val="auto"/>
              </w:rPr>
            </w:pPr>
            <w:r>
              <w:rPr>
                <w:rFonts w:ascii="Arial" w:cs="Arial" w:eastAsia="Arial" w:hAnsi="Arial"/>
                <w:sz w:val="18"/>
                <w:szCs w:val="18"/>
                <w:color w:val="auto"/>
              </w:rPr>
              <w:t>redemption</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(23,750,733)</w:t>
            </w:r>
          </w:p>
        </w:tc>
        <w:tc>
          <w:tcPr>
            <w:tcW w:w="1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(2,375)</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(238,157,385)</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(238,159,760)</w:t>
            </w:r>
          </w:p>
        </w:tc>
      </w:tr>
      <w:tr>
        <w:trPr>
          <w:trHeight w:val="216"/>
        </w:trPr>
        <w:tc>
          <w:tcPr>
            <w:tcW w:w="26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r>
      <w:tr>
        <w:trPr>
          <w:trHeight w:val="223"/>
        </w:trPr>
        <w:tc>
          <w:tcPr>
            <w:tcW w:w="2680" w:type="dxa"/>
            <w:vAlign w:val="bottom"/>
          </w:tcPr>
          <w:p>
            <w:pPr>
              <w:spacing w:after="0"/>
              <w:rPr>
                <w:sz w:val="20"/>
                <w:szCs w:val="20"/>
                <w:color w:val="auto"/>
              </w:rPr>
            </w:pPr>
            <w:r>
              <w:rPr>
                <w:rFonts w:ascii="Arial" w:cs="Arial" w:eastAsia="Arial" w:hAnsi="Arial"/>
                <w:sz w:val="18"/>
                <w:szCs w:val="18"/>
                <w:color w:val="auto"/>
              </w:rPr>
              <w:t>Net income</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553,123</w:t>
            </w: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553,123</w:t>
            </w:r>
          </w:p>
        </w:tc>
      </w:tr>
      <w:tr>
        <w:trPr>
          <w:trHeight w:val="264"/>
        </w:trPr>
        <w:tc>
          <w:tcPr>
            <w:tcW w:w="2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September 30, 2019</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1,249,267</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6,250,000</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625</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4,451,128</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548,123</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5,000,001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The accompanying notes are an integral part of the unaudited condensed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SILVER SPIKE ACQUISITION CORP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STATEMENTS OF CASH FLOWS</w:t>
      </w: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June 7, 2019</w:t>
            </w:r>
          </w:p>
        </w:tc>
      </w:t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Nine Months</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(Inception)</w:t>
            </w: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Ended</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Through</w:t>
            </w:r>
          </w:p>
        </w:tc>
      </w:t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w w:val="97"/>
              </w:rPr>
              <w:t>September 30,</w:t>
            </w:r>
          </w:p>
        </w:tc>
      </w:tr>
      <w:tr>
        <w:trPr>
          <w:trHeight w:val="241"/>
        </w:trPr>
        <w:tc>
          <w:tcPr>
            <w:tcW w:w="8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2020</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1,351,338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548,123</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Adjustments to reconcile net income to net cash used in operating activities: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earned on marketable securities held in Trust Account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(2,207,141)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(620,669)</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Unrealized loss (gain) on marketable securities held in Trust Account</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16,343</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(66,074)</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Prepaid expenses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167,985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(312,137)</w:t>
            </w:r>
          </w:p>
        </w:tc>
      </w:tr>
      <w:tr>
        <w:trPr>
          <w:trHeight w:val="223"/>
        </w:trPr>
        <w:tc>
          <w:tcPr>
            <w:tcW w:w="8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400,530</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76,397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tcPr>
          <w:p>
            <w:pPr>
              <w:ind w:left="340"/>
              <w:spacing w:after="0"/>
              <w:rPr>
                <w:sz w:val="20"/>
                <w:szCs w:val="20"/>
                <w:color w:val="auto"/>
              </w:rPr>
            </w:pPr>
            <w:r>
              <w:rPr>
                <w:rFonts w:ascii="Arial" w:cs="Arial" w:eastAsia="Arial" w:hAnsi="Arial"/>
                <w:sz w:val="18"/>
                <w:szCs w:val="18"/>
                <w:b w:val="1"/>
                <w:bCs w:val="1"/>
                <w:color w:val="auto"/>
              </w:rPr>
              <w:t>Net cash used in operating activities</w:t>
            </w: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(270,945)</w:t>
            </w: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(374,360)</w:t>
            </w:r>
          </w:p>
        </w:tc>
      </w:tr>
      <w:tr>
        <w:trPr>
          <w:trHeight w:val="216"/>
        </w:trPr>
        <w:tc>
          <w:tcPr>
            <w:tcW w:w="86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Investment of cash in Trust Account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(250,000,000)</w:t>
            </w:r>
          </w:p>
        </w:tc>
      </w:tr>
      <w:tr>
        <w:trPr>
          <w:trHeight w:val="27"/>
        </w:trPr>
        <w:tc>
          <w:tcPr>
            <w:tcW w:w="86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2"/>
              </w:rPr>
              <w:t>(250,000,000)</w:t>
            </w:r>
          </w:p>
        </w:tc>
      </w:tr>
      <w:tr>
        <w:trPr>
          <w:trHeight w:val="216"/>
        </w:trPr>
        <w:tc>
          <w:tcPr>
            <w:tcW w:w="86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Units, net of underwriting discounts paid</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245,000,000</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Proceeds from sale of Private Placement Warrants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7,000,000</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promissory note – related party</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237,470</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Repayment of promissory note – related party</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(237,470)</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Payment of offering costs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(638,362)</w:t>
            </w:r>
          </w:p>
        </w:tc>
      </w:tr>
      <w:tr>
        <w:trPr>
          <w:trHeight w:val="27"/>
        </w:trPr>
        <w:tc>
          <w:tcPr>
            <w:tcW w:w="86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tcPr>
          <w:p>
            <w:pPr>
              <w:ind w:left="340"/>
              <w:spacing w:after="0"/>
              <w:rPr>
                <w:sz w:val="20"/>
                <w:szCs w:val="20"/>
                <w:color w:val="auto"/>
              </w:rPr>
            </w:pPr>
            <w:r>
              <w:rPr>
                <w:rFonts w:ascii="Arial" w:cs="Arial" w:eastAsia="Arial" w:hAnsi="Arial"/>
                <w:sz w:val="18"/>
                <w:szCs w:val="18"/>
                <w:b w:val="1"/>
                <w:bCs w:val="1"/>
                <w:color w:val="auto"/>
              </w:rPr>
              <w:t>Net cash provided by financing activities</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251,361,638</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Net Change in Cash</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(270,945)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987,278</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 Beginning</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894,589</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 Ending</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623,644</w:t>
            </w:r>
          </w:p>
        </w:tc>
        <w:tc>
          <w:tcPr>
            <w:tcW w:w="2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987,278</w:t>
            </w:r>
          </w:p>
        </w:tc>
      </w:tr>
      <w:tr>
        <w:trPr>
          <w:trHeight w:val="20"/>
        </w:trPr>
        <w:tc>
          <w:tcPr>
            <w:tcW w:w="8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Initial classification of ordinary shares subject to possible redemption</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237,606,630</w:t>
            </w:r>
          </w:p>
        </w:tc>
      </w:tr>
      <w:tr>
        <w:trPr>
          <w:trHeight w:val="223"/>
        </w:trPr>
        <w:tc>
          <w:tcPr>
            <w:tcW w:w="86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Change in value of ordinary shares subject to possible redemption</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1,351,331</w:t>
            </w:r>
          </w:p>
        </w:tc>
        <w:tc>
          <w:tcPr>
            <w:tcW w:w="20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553,130</w:t>
            </w:r>
          </w:p>
        </w:tc>
        <w:tc>
          <w:tcPr>
            <w:tcW w:w="100" w:type="dxa"/>
            <w:vAlign w:val="bottom"/>
            <w:tcBorders>
              <w:top w:val="single" w:sz="8" w:color="CCEEFF"/>
            </w:tcBorders>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r>
      <w:tr>
        <w:trPr>
          <w:trHeight w:val="264"/>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underwriting fee</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8,750,000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Deferred offering costs paid directly by Sponsor in exchange for the issuance of ordinary shares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25,000</w:t>
            </w:r>
          </w:p>
        </w:tc>
      </w:tr>
      <w:tr>
        <w:trPr>
          <w:trHeight w:val="20"/>
        </w:trPr>
        <w:tc>
          <w:tcPr>
            <w:tcW w:w="8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accompanying notes are an integral part of the unaudited condensed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SILVER SPIKE ACQUISITION CORP.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FINANCIAL STATEMENTS</w:t>
      </w:r>
    </w:p>
    <w:p>
      <w:pPr>
        <w:jc w:val="center"/>
        <w:spacing w:after="0" w:line="230" w:lineRule="auto"/>
        <w:rPr>
          <w:sz w:val="20"/>
          <w:szCs w:val="20"/>
          <w:color w:val="auto"/>
        </w:rPr>
      </w:pPr>
      <w:r>
        <w:rPr>
          <w:rFonts w:ascii="Arial" w:cs="Arial" w:eastAsia="Arial" w:hAnsi="Arial"/>
          <w:sz w:val="22"/>
          <w:szCs w:val="22"/>
          <w:b w:val="1"/>
          <w:bCs w:val="1"/>
          <w:color w:val="auto"/>
        </w:rPr>
        <w:t>SEPTEMBER 30, 2020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DESCRIPTION OF ORGANIZATION AND BUSINESS OPERATIONS</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Silver Spike Acquisition Corp. (the “Company”) is a blank check company incorporated as a Cayman Islands exempted company on June 7, 2019. The Company was formed for the purpose of effecting a merger, amalgamation, share exchange, asset acquisition, share purchase, reorganization or similar business combination with one or more businesses (“Business Combination”).</w:t>
      </w:r>
    </w:p>
    <w:p>
      <w:pPr>
        <w:spacing w:after="0" w:line="21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Although the Company is not limited to a particular industry or geographic region for purposes of consummating a Business Combination, the Company intends to focus on businesses in the cannabis industry that are compliant with all applicable laws and regulations within the jurisdictions in which they are located or operate and, in particular, the Company will not invest in, or consummate a Business Combination with, a target business that the Company determines has been operating, or whose business plan is to operate, in violation of U.S. federal laws, including the U.S. Controlled Substances Act. The Company is an early stage and emerging growth company and, as such, the Company is subject to all of the risks associated with early stage and emerging growth companies.</w:t>
      </w:r>
    </w:p>
    <w:p>
      <w:pPr>
        <w:spacing w:after="0" w:line="218"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As of September 30, 2020, the Company had not commenced any operations. All activity through September 30, 2020 relates to the Company’s formation, the initial public offering (“Initial Public Offering”), which is described below, and, after the Initial Public Offering, identifying a target company for a Business Combination. The Company will not generate any operating revenues until after the completion of a Business Combination, at the earliest. The Company generates non-operating income in the form of interest income from the proceeds derived from the Initial Public Offering.</w:t>
      </w:r>
    </w:p>
    <w:p>
      <w:pPr>
        <w:spacing w:after="0" w:line="20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registration statement for the Company’s Initial Public Offering was declared effective on August 7, 2019. On August 12, 2019, the Company consummated the Initial Public Offering of 25,000,000 units (the “Units” and, with respect to the Class A ordinary shares included in the Units sold, the “Public Shares”) at $10.00 per unit, generating gross proceeds of $250,000,000, which is described in Note 3.</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Simultaneously with the closing of the Initial Public Offering, the Company consummated the sale of 7,000,000 warrants (the “Private Placement Warrants”) at a price of $1.00 per Private Placement Warrant in a private placement to Silver Spike Sponsor, LLC (the “Sponsor”), generating gross proceeds of $7,000,000, which is described in Note 4.</w:t>
      </w:r>
    </w:p>
    <w:p>
      <w:pPr>
        <w:spacing w:after="0" w:line="196" w:lineRule="exact"/>
        <w:rPr>
          <w:sz w:val="20"/>
          <w:szCs w:val="20"/>
          <w:color w:val="auto"/>
        </w:rPr>
      </w:pPr>
    </w:p>
    <w:p>
      <w:pPr>
        <w:jc w:val="both"/>
        <w:spacing w:after="0"/>
        <w:rPr>
          <w:sz w:val="20"/>
          <w:szCs w:val="20"/>
          <w:color w:val="auto"/>
        </w:rPr>
      </w:pPr>
      <w:r>
        <w:rPr>
          <w:rFonts w:ascii="Arial" w:cs="Arial" w:eastAsia="Arial" w:hAnsi="Arial"/>
          <w:sz w:val="22"/>
          <w:szCs w:val="22"/>
          <w:color w:val="auto"/>
        </w:rPr>
        <w:t>Transaction costs amounted to $14,413,362, consisting of $5,000,000 of underwriting fees, $8,750,000 of deferred underwriting fees and $663,362 of other offering costs. In addition, as of September 30, 2020, cash of $623,644 was held outside of the Trust and is available for working capital purposes.</w:t>
      </w:r>
    </w:p>
    <w:p>
      <w:pPr>
        <w:spacing w:after="0" w:line="213"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Following the closing of the Initial Public Offering on August 12, 2019, an amount of $250,000,000 ($10.00 per Unit) from the net proceeds of the sale of the Units in the Initial Public Offering and the sale of the Private Placement Warrants was placed in a trust account (the “Trust Account”) and invested in U.S. government securities, within the meaning set forth in Section 2(a)(16) of the Investment Company Act of 1940, as amended (the “Investment Company Act”), with a maturity of 180 days or less or in any open-ended investment company that holds itself out as a money market fund meeting the conditions of Rule 2a-7 of the Investment Company Act, as determined by the Company, until the earlier of: (i) the consummation of the Business Combination and (ii) the distribution of the funds in the Trust Account to the Company’s shareholders, as described below.</w:t>
      </w:r>
    </w:p>
    <w:p>
      <w:pPr>
        <w:spacing w:after="0" w:line="179"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The Company’s management has broad discretion with respect to the specific application of the net proceeds of the Initial Public Offering and sale of the Private Placement Warrants, although substantially all of the net proceeds are intended to be applied generally toward consummating a Business Combination. Nasdaq rules provide that the Business Combination must be with one or more target businesses that together have an aggregate fair market value of at least 80% of the assets held in the Trust Account (excluding any deferred underwriting commissions and taxes payable on the income earned on the Trust Account) at the time of the agreement to enter into a Business Combination. The Company will only complete a Business Combination if the post-Business Combination company owns or acquires 50% or more of the issued and outstanding voting securities of the target or otherwise acquires a controlling interest in the target business sufficient for it not to be required to register as an investment company under the Investment Company Act. There is no assurance that the Company will be able to successfully effect a Business Combination.</w:t>
      </w:r>
    </w:p>
    <w:p>
      <w:pPr>
        <w:spacing w:after="0" w:line="208"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Company will provide its shareholders with the opportunity to redeem all or a portion of their Public Shares upon the completion of a Business Combination either (i) in connection with a shareholder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shares for a pro rata portion of the amount held in the Trust Account (initially $10.00 per share) as of two business days prior to the completion of a Business Combination, including any pro rata interest earned on the funds held in the Trust Account and not previously released to the Company to pay its tax obligations. The per-share amount to be distributed to shareholders who redeem their shares will not be reduced by the deferred underwriting commissions the Company</w:t>
      </w:r>
    </w:p>
    <w:p>
      <w:pPr>
        <w:sectPr>
          <w:pgSz w:w="11900" w:h="16838" w:orient="portrait"/>
          <w:cols w:equalWidth="0" w:num="1">
            <w:col w:w="11240"/>
          </w:cols>
          <w:pgMar w:left="320" w:top="121" w:right="339" w:bottom="0" w:gutter="0" w:footer="0" w:header="0"/>
        </w:sectPr>
      </w:pPr>
    </w:p>
    <w:bookmarkStart w:id="8" w:name="page9"/>
    <w:bookmarkEnd w:id="8"/>
    <w:p>
      <w:pPr>
        <w:spacing w:after="0" w:line="251" w:lineRule="auto"/>
        <w:rPr>
          <w:sz w:val="20"/>
          <w:szCs w:val="20"/>
          <w:color w:val="auto"/>
        </w:rPr>
      </w:pPr>
      <w:r>
        <w:rPr>
          <w:rFonts w:ascii="Arial" w:cs="Arial" w:eastAsia="Arial" w:hAnsi="Arial"/>
          <w:sz w:val="22"/>
          <w:szCs w:val="22"/>
          <w:color w:val="auto"/>
        </w:rPr>
        <w:t>will pay to the underwriters (as discussed in Note 7). There will be no redemption rights upon the completion of a Business Combination with respect to the Company’s warrants.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SILVER SPIKE ACQUISITION CORP.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FINANCIAL STATEMENTS</w:t>
      </w:r>
    </w:p>
    <w:p>
      <w:pPr>
        <w:jc w:val="center"/>
        <w:spacing w:after="0" w:line="230" w:lineRule="auto"/>
        <w:rPr>
          <w:sz w:val="20"/>
          <w:szCs w:val="20"/>
          <w:color w:val="auto"/>
        </w:rPr>
      </w:pPr>
      <w:r>
        <w:rPr>
          <w:rFonts w:ascii="Arial" w:cs="Arial" w:eastAsia="Arial" w:hAnsi="Arial"/>
          <w:sz w:val="22"/>
          <w:szCs w:val="22"/>
          <w:b w:val="1"/>
          <w:bCs w:val="1"/>
          <w:color w:val="auto"/>
        </w:rPr>
        <w:t>SEPTEMBER 30, 2020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15"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The Company will proceed with a Business Combination only if the Company has net tangible assets, after payment of the deferred underwriting commission, of at least $5,000,001 upon such completion of a Business Combination and, if the Company seeks shareholder approval, it receives an ordinary resolution under Cayman Islands law approving a Business Combination, which requires the affirmative vote of a majority of the shareholders who attend and vote at a general meeting of the Company. If a shareholder vote is not required and the Company does not decide to hold a shareholder vote for business or other legal reasons, the Company will, pursuant to its Amended and Restated Memorandum and Articles of Association, conduct the redemptions pursuant to the tender offer rules of the Securities and Exchange Commission (“SEC”), and file tender offer documents containing substantially the same information as would be included in a proxy statement with the SEC prior to completing a Business Combination. If the Company seeks shareholder approval in connection with a Business Combination, the Company’s Sponsor has agreed to vote its Founder Shares (as defined in Note 5) and any Public Shares purchased during or after the Initial Public Offering in favor of approving a Business Combination and to waive its redemption rights with respect to any such shares in connection with a shareholder vote to approve a Business Combination or seek to sell any shares to the Company in a tender offer in connection with a Business Combination. Additionally, subject to the immediately succeeding paragraph, each public shareholder may elect to redeem their Public Shares, without voting, and if they do vote, irrespective of whether they vote for or against a proposed Business Combination.</w:t>
      </w:r>
    </w:p>
    <w:p>
      <w:pPr>
        <w:spacing w:after="0" w:line="200" w:lineRule="exact"/>
        <w:rPr>
          <w:sz w:val="20"/>
          <w:szCs w:val="20"/>
          <w:color w:val="auto"/>
        </w:rPr>
      </w:pPr>
    </w:p>
    <w:p>
      <w:pPr>
        <w:spacing w:after="0" w:line="234"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If the Company seeks shareholder approval of a Business Combination and it does not conduct redemptions pursuant to the tender offer rules, the Company’s Amended and Restated Memorandum and Articles of Association provides that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15% or more of the Public Shares without the Company’s prior written consent.</w:t>
      </w:r>
    </w:p>
    <w:p>
      <w:pPr>
        <w:spacing w:after="0" w:line="215"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The Sponsor has agreed (a) to waive its redemption rights with respect to any Founder Shares and Public Shares held by it in connection with the completion of a Business Combination (and not seek to sell its shares to the Company in any tender offer the Company undertakes in connection with its initial Business Combination) and (b) not to propose an amendment to the Amended and Restated Certificate of Incorporation (i) to modify the substance or timing of the Company’s obligation to redeem 100% of the Public Shares if the Company does not complete a Business Combination within 18 months from the closing of the Public Offering or (ii) with respect to any other provision relating to shareholders’ rights or pre-initial business combination activity, unless the Company provides the public shareholders with the opportunity to redeem their Public Shares in conjunction with any such amendment and (c) that the Founder Shares shall not participate in any liquidating distributions upon winding up if a Business Combination is not consummated. However, the Sponsor will be entitled to liquidating distributions from the Trust Account with respect to any Public Shares purchased during or after the Initial Public Offering if the Company fails to complete its Business Combination.</w:t>
      </w:r>
    </w:p>
    <w:p>
      <w:pPr>
        <w:spacing w:after="0" w:line="215"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The Company will have until February 12, 2021 (the “Combination Period”) to consummate a Business Combination. If the Company is unable to complete a Business Combination within the Combination Period, the Company will (i) cease all operations except for the purpose of winding up, (ii) as promptly as reasonably possible but no more than 10 business days thereafter, redeem 100% of the outstanding Public Shares, at a per-share price, payable in cash, equal to the aggregate amount then on deposit in the Trust Account, including interest earned (less up to $100,000 of interest to pay dissolution expenses and which interest shall be net of taxes payable), divided by the number of then 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the remaining shareholders and the Company’s board of directors, dissolve and liquidate, subject in each case to its obligations under Cayman Islands law to provide for claims of creditors and the requirements of other applicable law. The underwriters have agreed to waive their rights to the deferred underwriting commission held in the Trust Account in the event the Company does not complete a Business Combination within the Combination Period and, in such event, such amounts will be included with the funds held in the Trust Account that will be available to fund the redemption of the Public Shares. In the event of such distribution, it is possible that the per share value of the assets remaining available for distribution will be less than the Initial Public Offering price per Unit ($10.00).</w:t>
      </w:r>
    </w:p>
    <w:p>
      <w:pPr>
        <w:spacing w:after="0" w:line="220"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The Sponsor has agreed that it will be liable to the Company, if and to the extent any claims by a third party (other than the Company’s independent auditors) for services rendered or products sold to the Company, or a prospective target business with which the Company has discussed entering into a transaction agreement, reduce the amount of funds in the Trust Account to below (1) $10.00 per Public Share or (2) such lesser amount per Public Share held in the Trust Account as of the date of the liquidation of the Trust Account due to reductions in the value of trust assets, in each case net of the interest which may be withdrawn to pay taxes, except as to any claims by a third party who executed a waiver of any and all rights to seek access to the Trust Account and except as to any claims under the Company’s indemnity of the underwriters of the Initial Public Offering against certain liabilities, including liabilities under the Securities Act of 1933, as amended (the “Securities Act”). In the event that an executed waiver is deemed to be unenforceable against a third party, the Sponsor will not be responsible to the extent of any liability for such third-party claims. The Company will seek to reduce the possibility that the Sponsor will have to indemnify</w:t>
      </w:r>
    </w:p>
    <w:p>
      <w:pPr>
        <w:sectPr>
          <w:pgSz w:w="11900" w:h="16838" w:orient="portrait"/>
          <w:cols w:equalWidth="0" w:num="1">
            <w:col w:w="11240"/>
          </w:cols>
          <w:pgMar w:left="320" w:top="121" w:right="339" w:bottom="0" w:gutter="0" w:footer="0" w:header="0"/>
        </w:sectPr>
      </w:pPr>
    </w:p>
    <w:bookmarkStart w:id="10" w:name="page11"/>
    <w:bookmarkEnd w:id="10"/>
    <w:p>
      <w:pPr>
        <w:jc w:val="both"/>
        <w:spacing w:after="0" w:line="297" w:lineRule="auto"/>
        <w:rPr>
          <w:sz w:val="20"/>
          <w:szCs w:val="20"/>
          <w:color w:val="auto"/>
        </w:rPr>
      </w:pPr>
      <w:r>
        <w:rPr>
          <w:rFonts w:ascii="Arial" w:cs="Arial" w:eastAsia="Arial" w:hAnsi="Arial"/>
          <w:sz w:val="19"/>
          <w:szCs w:val="19"/>
          <w:color w:val="auto"/>
        </w:rPr>
        <w:t>the Trust Account due to claims of creditors by endeavoring to have all vendors, service providers (other than the Company’s independent auditors), prospective target businesses or other entities with which the Company does business, execute agreements with the Company waiving any right, title, interest or claim of any kind in or to monies held in the Trust Account.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SILVER SPIKE ACQUISITION CORP.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FINANCIAL STATEMENTS</w:t>
      </w:r>
    </w:p>
    <w:p>
      <w:pPr>
        <w:jc w:val="center"/>
        <w:spacing w:after="0" w:line="230" w:lineRule="auto"/>
        <w:rPr>
          <w:sz w:val="20"/>
          <w:szCs w:val="20"/>
          <w:color w:val="auto"/>
        </w:rPr>
      </w:pPr>
      <w:r>
        <w:rPr>
          <w:rFonts w:ascii="Arial" w:cs="Arial" w:eastAsia="Arial" w:hAnsi="Arial"/>
          <w:sz w:val="22"/>
          <w:szCs w:val="22"/>
          <w:b w:val="1"/>
          <w:bCs w:val="1"/>
          <w:color w:val="auto"/>
        </w:rPr>
        <w:t>SEPTEMBER 30, 2020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SUMMARY OF SIGNIFICANT ACCOUNTING POLICIES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Basis of Presentation</w:t>
      </w:r>
    </w:p>
    <w:p>
      <w:pPr>
        <w:spacing w:after="0" w:line="239"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The accompanying unaudited condensed financial statements have been prepared in accordance with accounting principles generally accepted in the United States of America (“GAAP”) for interim financial information and in accordance with the instructions to Form 10-Q and Article 8 of Regulation S-X of the Securities and Exchange Commission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 operations, or cash flows. In the opinion of management, the accompanying unaudited condensed financial statements include all adjustments, consisting of a normal recurring nature, which are necessary for a fair presentation of the financial position, operating results and cash flows for the periods presented.</w:t>
      </w:r>
    </w:p>
    <w:p>
      <w:pPr>
        <w:spacing w:after="0" w:line="211"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The accompanying unaudited condensed financial statements should be read in conjunction with the Company’s Annual Report on Form 10-K for the year ended December 31, 2019 as filed with the SEC on March 30, 2020, which contains the audited financial statements and notes thereto. The financial information as of December 31, 2019 is derived from the audited financial statements presented in the Company’s Annual Report on Form 10-K for the year ended December 31, 2019. The interim results for the three and nine months ended September 30, 2020 are not necessarily indicative of the results to be expected for the year ending December 31, 2020 or for any future interim periods.</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Emerging Growth Company</w:t>
      </w:r>
    </w:p>
    <w:p>
      <w:pPr>
        <w:spacing w:after="0" w:line="239"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Use of Estimates</w:t>
      </w:r>
    </w:p>
    <w:p>
      <w:pPr>
        <w:spacing w:after="0" w:line="239" w:lineRule="exact"/>
        <w:rPr>
          <w:sz w:val="20"/>
          <w:szCs w:val="20"/>
          <w:color w:val="auto"/>
        </w:rPr>
      </w:pPr>
    </w:p>
    <w:p>
      <w:pPr>
        <w:jc w:val="both"/>
        <w:ind w:right="20"/>
        <w:spacing w:after="0" w:line="297" w:lineRule="auto"/>
        <w:rPr>
          <w:sz w:val="20"/>
          <w:szCs w:val="20"/>
          <w:color w:val="auto"/>
        </w:rPr>
      </w:pPr>
      <w:r>
        <w:rPr>
          <w:rFonts w:ascii="Arial" w:cs="Arial" w:eastAsia="Arial" w:hAnsi="Arial"/>
          <w:sz w:val="19"/>
          <w:szCs w:val="19"/>
          <w:color w:val="auto"/>
        </w:rPr>
        <w:t>The preparation of the condensed financial statements in conformity with GAAP requires management to make estimates and assumptions that affect the reported amounts of assets and liabilities and disclosure of contingent assets and liabilities at the date of the condensed financial statements and the reported amounts of expenses during the reporting period.</w:t>
      </w:r>
    </w:p>
    <w:p>
      <w:pPr>
        <w:spacing w:after="0" w:line="16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events. Accordingly, the actual results could differ significantly from those estimates.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Cash and Cash Equivalents</w:t>
      </w:r>
    </w:p>
    <w:p>
      <w:pPr>
        <w:spacing w:after="0" w:line="239"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The Company considers all short-term investments with an original maturity of three months or less when purchased to be cash equivalents. The Company did not have any cash equivalents as of September 30, 2020 and December 31, 2019.</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Marketable Securities Held in Trust Account</w:t>
      </w:r>
    </w:p>
    <w:p>
      <w:pPr>
        <w:sectPr>
          <w:pgSz w:w="11900" w:h="16838" w:orient="portrait"/>
          <w:cols w:equalWidth="0" w:num="1">
            <w:col w:w="11240"/>
          </w:cols>
          <w:pgMar w:left="320" w:top="122" w:right="339" w:bottom="32" w:gutter="0" w:footer="0" w:header="0"/>
        </w:sectPr>
      </w:pPr>
    </w:p>
    <w:bookmarkStart w:id="12" w:name="page13"/>
    <w:bookmarkEnd w:id="12"/>
    <w:p>
      <w:pPr>
        <w:spacing w:after="0" w:line="251" w:lineRule="auto"/>
        <w:rPr>
          <w:sz w:val="20"/>
          <w:szCs w:val="20"/>
          <w:color w:val="auto"/>
        </w:rPr>
      </w:pPr>
      <w:r>
        <w:rPr>
          <w:rFonts w:ascii="Arial" w:cs="Arial" w:eastAsia="Arial" w:hAnsi="Arial"/>
          <w:sz w:val="22"/>
          <w:szCs w:val="22"/>
          <w:color w:val="auto"/>
        </w:rPr>
        <w:t>At September 30, 2020 and December 31, 2019, the assets held in the Trust Account were held in money market funds, which primarily invest in U.S. Treasury Bills.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SILVER SPIKE ACQUISITION CORP.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FINANCIAL STATEMENTS</w:t>
      </w:r>
    </w:p>
    <w:p>
      <w:pPr>
        <w:jc w:val="center"/>
        <w:spacing w:after="0" w:line="230" w:lineRule="auto"/>
        <w:rPr>
          <w:sz w:val="20"/>
          <w:szCs w:val="20"/>
          <w:color w:val="auto"/>
        </w:rPr>
      </w:pPr>
      <w:r>
        <w:rPr>
          <w:rFonts w:ascii="Arial" w:cs="Arial" w:eastAsia="Arial" w:hAnsi="Arial"/>
          <w:sz w:val="22"/>
          <w:szCs w:val="22"/>
          <w:b w:val="1"/>
          <w:bCs w:val="1"/>
          <w:color w:val="auto"/>
        </w:rPr>
        <w:t>SEPTEMBER 30, 2020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Class A Ordinary Shares Subject to Possible Redemption</w:t>
      </w:r>
    </w:p>
    <w:p>
      <w:pPr>
        <w:spacing w:after="0" w:line="239"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The Company accounts for its Class A ordinary shares subject to possible redemption in accordance with the guidance in Accounting Standards Codification (“ASC”) Topic 480 “Distinguishing Liabilities from Equity.” Class A ordinary shares subject to mandatory redemption are classified as a liability instrument and are measured at fair value. Conditionally redeemable ordinary shares (including ordinary shares that feature redemption rights that are either within the control of the holder or subject to redemption upon the occurrence of uncertain events not solely within the Company’s control) are classified as temporary equity. At all other times, ordinary shares are classified as shareholders’ equity. The Company’s Class A ordinary shares feature certain redemption rights that are considered to be outside of the Company’s control and subject to occurrence of uncertain future events. Accordingly, Class A ordinary shares subject to possible redemption are presented at redemption value as temporary equity, outside of the shareholders’ equity section of the Company’s condensed balance sheets.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Income Taxes</w:t>
      </w:r>
    </w:p>
    <w:p>
      <w:pPr>
        <w:spacing w:after="0" w:line="23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Company accounts for income taxes under ASC 740, “Income Taxes” (“ASC 740”). ASC 740 requires the recognition of deferred tax assets and liabilities for both the expected impact of differences between the financial statement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214"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The Company recognizes accrued interest and penalties related to unrecognized tax benefits as income tax expense. There were no unrecognized tax benefits and no amounts accrued for interest and penalties as of September 30, 2020 and December 31, 2019.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207"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Company is considered an exempted Cayman Islands Company and is presently not subject to income taxes or income tax filing requirements in the Cayman Islands or the United States. As such, the Company’s tax provision was zero for the periods presented.</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Loss Per Ordinary Share</w:t>
      </w:r>
    </w:p>
    <w:p>
      <w:pPr>
        <w:spacing w:after="0" w:line="239"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Net loss per ordinary share is computed by dividing net loss by the weighted average number of ordinary shares outstanding for the period. The Company applies the two-class method in calculating earnings per share. Ordinary shares subject to possible redemption at September 30, 2020, which are not currently redeemable and are not redeemable at fair value, have been excluded from the calculation of basic net loss per ordinary share since such shares, if redeemed, only participate in their pro rata share of the Trust Account earnings. The Company has not considered the effect of warrants sold in the Initial Public Offering and the private placement to purchase 19,500,000 ordinary shares in the calculation of diluted loss per share, since the exercise of the warrants into ordinary shares is contingent upon the occurrence of future events. As a result, diluted net loss per ordinary share is the same as basic net loss per ordinary share for the periods presented.</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Reconciliation of Net Loss Per Ordinary Share</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Company’s net (loss) income is adjusted for the portion of income that is attributable to ordinary shares subject to possible redemption, as these shares only participate in the earnings of the Trust Account and not the income or losses of the Company. Accordingly, basic and diluted loss per ordinary share is calculated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21"/>
              <w:spacing w:after="0"/>
              <w:rPr>
                <w:sz w:val="20"/>
                <w:szCs w:val="20"/>
                <w:color w:val="auto"/>
              </w:rPr>
            </w:pPr>
            <w:r>
              <w:rPr>
                <w:rFonts w:ascii="Arial" w:cs="Arial" w:eastAsia="Arial" w:hAnsi="Arial"/>
                <w:sz w:val="18"/>
                <w:szCs w:val="18"/>
                <w:b w:val="1"/>
                <w:bCs w:val="1"/>
                <w:color w:val="auto"/>
                <w:w w:val="91"/>
              </w:rPr>
              <w:t>For the Period</w:t>
            </w: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141"/>
              <w:spacing w:after="0"/>
              <w:rPr>
                <w:sz w:val="20"/>
                <w:szCs w:val="20"/>
                <w:color w:val="auto"/>
              </w:rPr>
            </w:pPr>
            <w:r>
              <w:rPr>
                <w:rFonts w:ascii="Arial" w:cs="Arial" w:eastAsia="Arial" w:hAnsi="Arial"/>
                <w:sz w:val="18"/>
                <w:szCs w:val="18"/>
                <w:b w:val="1"/>
                <w:bCs w:val="1"/>
                <w:color w:val="auto"/>
                <w:w w:val="89"/>
              </w:rPr>
              <w:t>from</w:t>
            </w: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21"/>
              <w:spacing w:after="0"/>
              <w:rPr>
                <w:sz w:val="20"/>
                <w:szCs w:val="20"/>
                <w:color w:val="auto"/>
              </w:rPr>
            </w:pPr>
            <w:r>
              <w:rPr>
                <w:rFonts w:ascii="Arial" w:cs="Arial" w:eastAsia="Arial" w:hAnsi="Arial"/>
                <w:sz w:val="18"/>
                <w:szCs w:val="18"/>
                <w:b w:val="1"/>
                <w:bCs w:val="1"/>
                <w:color w:val="auto"/>
                <w:w w:val="89"/>
              </w:rPr>
              <w:t>June 7, 2019</w:t>
            </w: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center"/>
              <w:ind w:right="381"/>
              <w:spacing w:after="0"/>
              <w:rPr>
                <w:sz w:val="20"/>
                <w:szCs w:val="20"/>
                <w:color w:val="auto"/>
              </w:rPr>
            </w:pPr>
            <w:r>
              <w:rPr>
                <w:rFonts w:ascii="Arial" w:cs="Arial" w:eastAsia="Arial" w:hAnsi="Arial"/>
                <w:sz w:val="18"/>
                <w:szCs w:val="18"/>
                <w:b w:val="1"/>
                <w:bCs w:val="1"/>
                <w:color w:val="auto"/>
                <w:w w:val="93"/>
              </w:rPr>
              <w:t>Three Months</w:t>
            </w:r>
          </w:p>
        </w:tc>
        <w:tc>
          <w:tcPr>
            <w:tcW w:w="1320" w:type="dxa"/>
            <w:vAlign w:val="bottom"/>
            <w:gridSpan w:val="3"/>
          </w:tcPr>
          <w:p>
            <w:pPr>
              <w:jc w:val="center"/>
              <w:ind w:right="121"/>
              <w:spacing w:after="0"/>
              <w:rPr>
                <w:sz w:val="20"/>
                <w:szCs w:val="20"/>
                <w:color w:val="auto"/>
              </w:rPr>
            </w:pPr>
            <w:r>
              <w:rPr>
                <w:rFonts w:ascii="Arial" w:cs="Arial" w:eastAsia="Arial" w:hAnsi="Arial"/>
                <w:sz w:val="18"/>
                <w:szCs w:val="18"/>
                <w:b w:val="1"/>
                <w:bCs w:val="1"/>
                <w:color w:val="auto"/>
                <w:w w:val="92"/>
              </w:rPr>
              <w:t>Nine Months</w:t>
            </w:r>
          </w:p>
        </w:tc>
        <w:tc>
          <w:tcPr>
            <w:tcW w:w="120" w:type="dxa"/>
            <w:vAlign w:val="bottom"/>
          </w:tcPr>
          <w:p>
            <w:pPr>
              <w:spacing w:after="0"/>
              <w:rPr>
                <w:sz w:val="18"/>
                <w:szCs w:val="18"/>
                <w:color w:val="auto"/>
              </w:rPr>
            </w:pPr>
          </w:p>
        </w:tc>
        <w:tc>
          <w:tcPr>
            <w:tcW w:w="1100" w:type="dxa"/>
            <w:vAlign w:val="bottom"/>
            <w:gridSpan w:val="2"/>
          </w:tcPr>
          <w:p>
            <w:pPr>
              <w:jc w:val="center"/>
              <w:ind w:right="141"/>
              <w:spacing w:after="0"/>
              <w:rPr>
                <w:sz w:val="20"/>
                <w:szCs w:val="20"/>
                <w:color w:val="auto"/>
              </w:rPr>
            </w:pPr>
            <w:r>
              <w:rPr>
                <w:rFonts w:ascii="Arial" w:cs="Arial" w:eastAsia="Arial" w:hAnsi="Arial"/>
                <w:sz w:val="18"/>
                <w:szCs w:val="18"/>
                <w:b w:val="1"/>
                <w:bCs w:val="1"/>
                <w:color w:val="auto"/>
                <w:w w:val="91"/>
              </w:rPr>
              <w:t>(Inception)</w:t>
            </w: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3"/>
          </w:tcPr>
          <w:p>
            <w:pPr>
              <w:jc w:val="center"/>
              <w:ind w:left="550"/>
              <w:spacing w:after="0"/>
              <w:rPr>
                <w:sz w:val="20"/>
                <w:szCs w:val="20"/>
                <w:color w:val="auto"/>
              </w:rPr>
            </w:pPr>
            <w:r>
              <w:rPr>
                <w:rFonts w:ascii="Arial" w:cs="Arial" w:eastAsia="Arial" w:hAnsi="Arial"/>
                <w:sz w:val="18"/>
                <w:szCs w:val="18"/>
                <w:b w:val="1"/>
                <w:bCs w:val="1"/>
                <w:color w:val="auto"/>
                <w:w w:val="90"/>
              </w:rPr>
              <w:t>Ended</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341"/>
              <w:spacing w:after="0"/>
              <w:rPr>
                <w:sz w:val="20"/>
                <w:szCs w:val="20"/>
                <w:color w:val="auto"/>
              </w:rPr>
            </w:pPr>
            <w:r>
              <w:rPr>
                <w:rFonts w:ascii="Arial" w:cs="Arial" w:eastAsia="Arial" w:hAnsi="Arial"/>
                <w:sz w:val="18"/>
                <w:szCs w:val="18"/>
                <w:b w:val="1"/>
                <w:bCs w:val="1"/>
                <w:color w:val="auto"/>
                <w:w w:val="90"/>
              </w:rPr>
              <w:t>Ended</w:t>
            </w:r>
          </w:p>
        </w:tc>
        <w:tc>
          <w:tcPr>
            <w:tcW w:w="120" w:type="dxa"/>
            <w:vAlign w:val="bottom"/>
          </w:tcPr>
          <w:p>
            <w:pPr>
              <w:spacing w:after="0"/>
              <w:rPr>
                <w:sz w:val="18"/>
                <w:szCs w:val="18"/>
                <w:color w:val="auto"/>
              </w:rPr>
            </w:pPr>
          </w:p>
        </w:tc>
        <w:tc>
          <w:tcPr>
            <w:tcW w:w="1100" w:type="dxa"/>
            <w:vAlign w:val="bottom"/>
            <w:gridSpan w:val="2"/>
          </w:tcPr>
          <w:p>
            <w:pPr>
              <w:jc w:val="center"/>
              <w:ind w:right="141"/>
              <w:spacing w:after="0"/>
              <w:rPr>
                <w:sz w:val="20"/>
                <w:szCs w:val="20"/>
                <w:color w:val="auto"/>
              </w:rPr>
            </w:pPr>
            <w:r>
              <w:rPr>
                <w:rFonts w:ascii="Arial" w:cs="Arial" w:eastAsia="Arial" w:hAnsi="Arial"/>
                <w:sz w:val="18"/>
                <w:szCs w:val="18"/>
                <w:b w:val="1"/>
                <w:bCs w:val="1"/>
                <w:color w:val="auto"/>
                <w:w w:val="93"/>
              </w:rPr>
              <w:t>Through</w:t>
            </w:r>
          </w:p>
        </w:tc>
      </w:tr>
      <w:tr>
        <w:trPr>
          <w:trHeight w:val="241"/>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center"/>
              <w:ind w:right="381"/>
              <w:spacing w:after="0"/>
              <w:rPr>
                <w:sz w:val="20"/>
                <w:szCs w:val="20"/>
                <w:color w:val="auto"/>
              </w:rPr>
            </w:pPr>
            <w:r>
              <w:rPr>
                <w:rFonts w:ascii="Arial" w:cs="Arial" w:eastAsia="Arial" w:hAnsi="Arial"/>
                <w:sz w:val="18"/>
                <w:szCs w:val="18"/>
                <w:b w:val="1"/>
                <w:bCs w:val="1"/>
                <w:color w:val="auto"/>
                <w:w w:val="89"/>
              </w:rPr>
              <w:t>September 30,</w:t>
            </w:r>
          </w:p>
        </w:tc>
        <w:tc>
          <w:tcPr>
            <w:tcW w:w="1320" w:type="dxa"/>
            <w:vAlign w:val="bottom"/>
            <w:gridSpan w:val="3"/>
          </w:tcPr>
          <w:p>
            <w:pPr>
              <w:jc w:val="center"/>
              <w:ind w:right="141"/>
              <w:spacing w:after="0"/>
              <w:rPr>
                <w:sz w:val="20"/>
                <w:szCs w:val="20"/>
                <w:color w:val="auto"/>
              </w:rPr>
            </w:pPr>
            <w:r>
              <w:rPr>
                <w:rFonts w:ascii="Arial" w:cs="Arial" w:eastAsia="Arial" w:hAnsi="Arial"/>
                <w:sz w:val="18"/>
                <w:szCs w:val="18"/>
                <w:b w:val="1"/>
                <w:bCs w:val="1"/>
                <w:color w:val="auto"/>
                <w:w w:val="89"/>
              </w:rPr>
              <w:t>September 30,</w:t>
            </w:r>
          </w:p>
        </w:tc>
        <w:tc>
          <w:tcPr>
            <w:tcW w:w="1220" w:type="dxa"/>
            <w:vAlign w:val="bottom"/>
            <w:gridSpan w:val="3"/>
          </w:tcPr>
          <w:p>
            <w:pPr>
              <w:jc w:val="center"/>
              <w:ind w:right="41"/>
              <w:spacing w:after="0"/>
              <w:rPr>
                <w:sz w:val="20"/>
                <w:szCs w:val="20"/>
                <w:color w:val="auto"/>
              </w:rPr>
            </w:pPr>
            <w:r>
              <w:rPr>
                <w:rFonts w:ascii="Arial" w:cs="Arial" w:eastAsia="Arial" w:hAnsi="Arial"/>
                <w:sz w:val="18"/>
                <w:szCs w:val="18"/>
                <w:b w:val="1"/>
                <w:bCs w:val="1"/>
                <w:color w:val="auto"/>
                <w:w w:val="89"/>
              </w:rPr>
              <w:t>September 30,</w:t>
            </w:r>
          </w:p>
        </w:tc>
      </w:tr>
      <w:tr>
        <w:trPr>
          <w:trHeight w:val="223"/>
        </w:trPr>
        <w:tc>
          <w:tcPr>
            <w:tcW w:w="59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(113,960)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553,123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1,351,338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548,123</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w w:val="99"/>
              </w:rPr>
              <w:t>Less: Income attributable to ordinary shares subject to possible redemption</w:t>
            </w:r>
          </w:p>
        </w:tc>
        <w:tc>
          <w:tcPr>
            <w:tcW w:w="240" w:type="dxa"/>
            <w:vAlign w:val="bottom"/>
          </w:tcPr>
          <w:p>
            <w:pPr>
              <w:spacing w:after="0"/>
              <w:rPr>
                <w:sz w:val="19"/>
                <w:szCs w:val="19"/>
                <w:color w:val="auto"/>
              </w:rPr>
            </w:pPr>
          </w:p>
        </w:tc>
        <w:tc>
          <w:tcPr>
            <w:tcW w:w="1140" w:type="dxa"/>
            <w:vAlign w:val="bottom"/>
            <w:gridSpan w:val="2"/>
          </w:tcPr>
          <w:p>
            <w:pPr>
              <w:jc w:val="right"/>
              <w:ind w:right="121"/>
              <w:spacing w:after="0"/>
              <w:rPr>
                <w:sz w:val="20"/>
                <w:szCs w:val="20"/>
                <w:color w:val="auto"/>
              </w:rPr>
            </w:pPr>
            <w:r>
              <w:rPr>
                <w:rFonts w:ascii="Arial" w:cs="Arial" w:eastAsia="Arial" w:hAnsi="Arial"/>
                <w:sz w:val="18"/>
                <w:szCs w:val="18"/>
                <w:color w:val="auto"/>
              </w:rPr>
              <w:t>(42,655)</w:t>
            </w:r>
          </w:p>
        </w:tc>
        <w:tc>
          <w:tcPr>
            <w:tcW w:w="240" w:type="dxa"/>
            <w:vAlign w:val="bottom"/>
          </w:tcPr>
          <w:p>
            <w:pPr>
              <w:spacing w:after="0"/>
              <w:rPr>
                <w:sz w:val="19"/>
                <w:szCs w:val="19"/>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(652,406)</w:t>
            </w:r>
          </w:p>
        </w:tc>
        <w:tc>
          <w:tcPr>
            <w:tcW w:w="200" w:type="dxa"/>
            <w:vAlign w:val="bottom"/>
          </w:tcPr>
          <w:p>
            <w:pPr>
              <w:spacing w:after="0"/>
              <w:rPr>
                <w:sz w:val="19"/>
                <w:szCs w:val="19"/>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(2,074,028)</w:t>
            </w:r>
          </w:p>
        </w:tc>
        <w:tc>
          <w:tcPr>
            <w:tcW w:w="1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(652,406)</w:t>
            </w:r>
          </w:p>
        </w:tc>
      </w:tr>
      <w:tr>
        <w:trPr>
          <w:trHeight w:val="264"/>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net loss</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(156,615</w:t>
            </w:r>
          </w:p>
        </w:tc>
        <w:tc>
          <w:tcPr>
            <w:tcW w:w="26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(99,283</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(722,690</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(104,283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43"/>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basic and diluted</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7,566,134</w:t>
            </w:r>
          </w:p>
        </w:tc>
        <w:tc>
          <w:tcPr>
            <w:tcW w:w="2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6,910,082</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7,538,169</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6,792,210</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ectPr>
          <w:pgSz w:w="11900" w:h="16838" w:orient="portrait"/>
          <w:cols w:equalWidth="0" w:num="1">
            <w:col w:w="11240"/>
          </w:cols>
          <w:pgMar w:left="320" w:top="122" w:right="339" w:bottom="0" w:gutter="0" w:footer="0" w:header="0"/>
        </w:sectPr>
      </w:pPr>
    </w:p>
    <w:bookmarkStart w:id="14" w:name="page15"/>
    <w:bookmarkEnd w:id="14"/>
    <w:p>
      <w:pPr>
        <w:spacing w:after="0"/>
        <w:tabs>
          <w:tab w:leader="none" w:pos="5960" w:val="left"/>
          <w:tab w:leader="none" w:pos="6720" w:val="left"/>
          <w:tab w:leader="none" w:pos="7340" w:val="left"/>
          <w:tab w:leader="none" w:pos="8100" w:val="left"/>
          <w:tab w:leader="none" w:pos="8680" w:val="left"/>
          <w:tab w:leader="none" w:pos="9420" w:val="left"/>
          <w:tab w:leader="none" w:pos="10000" w:val="left"/>
          <w:tab w:leader="none" w:pos="10740" w:val="left"/>
        </w:tabs>
        <w:rPr>
          <w:sz w:val="20"/>
          <w:szCs w:val="20"/>
          <w:color w:val="auto"/>
        </w:rPr>
      </w:pPr>
      <w:r>
        <w:rPr>
          <w:rFonts w:ascii="Arial" w:cs="Arial" w:eastAsia="Arial" w:hAnsi="Arial"/>
          <w:sz w:val="18"/>
          <w:szCs w:val="18"/>
          <w:color w:val="auto"/>
        </w:rPr>
        <w:t>Basic and diluted net loss per ordinary share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(0.02)</w:t>
        <w:tab/>
        <w:t>$</w:t>
      </w:r>
      <w:r>
        <w:rPr>
          <w:sz w:val="20"/>
          <w:szCs w:val="20"/>
          <w:color w:val="auto"/>
        </w:rPr>
        <w:tab/>
      </w:r>
      <w:r>
        <w:rPr>
          <w:rFonts w:ascii="Arial" w:cs="Arial" w:eastAsia="Arial" w:hAnsi="Arial"/>
          <w:sz w:val="18"/>
          <w:szCs w:val="18"/>
          <w:color w:val="auto"/>
        </w:rPr>
        <w:t>(0.01)</w:t>
        <w:tab/>
        <w:t>$</w:t>
      </w:r>
      <w:r>
        <w:rPr>
          <w:sz w:val="20"/>
          <w:szCs w:val="20"/>
          <w:color w:val="auto"/>
        </w:rPr>
        <w:tab/>
      </w:r>
      <w:r>
        <w:rPr>
          <w:rFonts w:ascii="Arial" w:cs="Arial" w:eastAsia="Arial" w:hAnsi="Arial"/>
          <w:sz w:val="18"/>
          <w:szCs w:val="18"/>
          <w:color w:val="auto"/>
        </w:rPr>
        <w:t>(0.10)</w:t>
        <w:tab/>
        <w:t>$</w:t>
      </w:r>
      <w:r>
        <w:rPr>
          <w:sz w:val="20"/>
          <w:szCs w:val="20"/>
          <w:color w:val="auto"/>
        </w:rPr>
        <w:tab/>
      </w:r>
      <w:r>
        <w:rPr>
          <w:rFonts w:ascii="Arial" w:cs="Arial" w:eastAsia="Arial" w:hAnsi="Arial"/>
          <w:sz w:val="16"/>
          <w:szCs w:val="16"/>
          <w:color w:val="auto"/>
        </w:rPr>
        <w:t>(0.02)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797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type w:val="continuous"/>
        </w:sectPr>
      </w:pPr>
    </w:p>
    <w:bookmarkStart w:id="15" w:name="page16"/>
    <w:bookmarkEnd w:id="1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SILVER SPIKE ACQUISITION CORP.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FINANCIAL STATEMENTS</w:t>
      </w:r>
    </w:p>
    <w:p>
      <w:pPr>
        <w:jc w:val="center"/>
        <w:spacing w:after="0" w:line="230" w:lineRule="auto"/>
        <w:rPr>
          <w:sz w:val="20"/>
          <w:szCs w:val="20"/>
          <w:color w:val="auto"/>
        </w:rPr>
      </w:pPr>
      <w:r>
        <w:rPr>
          <w:rFonts w:ascii="Arial" w:cs="Arial" w:eastAsia="Arial" w:hAnsi="Arial"/>
          <w:sz w:val="22"/>
          <w:szCs w:val="22"/>
          <w:b w:val="1"/>
          <w:bCs w:val="1"/>
          <w:color w:val="auto"/>
        </w:rPr>
        <w:t>SEPTEMBER 30, 2020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Concentration of Credit Risk</w:t>
      </w:r>
    </w:p>
    <w:p>
      <w:pPr>
        <w:spacing w:after="0" w:line="239"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Financial instruments that potentially subject the Company to concentrations of credit risk consist of a cash account in a financial institution which, at times may exceed the Federal Depository Insurance Coverage of $250,000. The Company has not experienced losses on this account and management believes the Company is not exposed to significant risks on such account.</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Fair Value of Financial Instruments</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fair value of the Company’s assets and liabilities, which qualify as financial instruments under ASC Topic 820, “Fair Value Measurement,” approximates the carrying amounts represented in the accompanying condensed financial statements, primarily due to their short-term nature.</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Recently Issued Accounting Standards</w:t>
      </w:r>
    </w:p>
    <w:p>
      <w:pPr>
        <w:spacing w:after="0" w:line="23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Management does not believe that any recently issued, but not yet effective, accounting standards, if currently adopted, would have a material effect on the condensed financial statements.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and Uncertainties</w:t>
      </w:r>
    </w:p>
    <w:p>
      <w:pPr>
        <w:spacing w:after="0" w:line="239"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Management continues to evaluate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INITIAL PUBLIC OFFERING</w:t>
      </w:r>
    </w:p>
    <w:p>
      <w:pPr>
        <w:spacing w:after="0" w:line="239"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Pursuant to the Initial Public Offering, the Company sold 25,000,000 Units at a purchase price of $10.00 per Unit. Each Unit consists of one Class A ordinary share and one-half of one redeemable warrant (“Public Warrant”). Each whole Public Warrant entitles the holder to purchase one Class A ordinary share at an exercise price of $11.50 per whole share (see Note 7).</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PRIVATE PLACEMENT</w:t>
      </w:r>
    </w:p>
    <w:p>
      <w:pPr>
        <w:spacing w:after="0" w:line="239"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Simultaneously with the closing of the Initial Public Offering, the Sponsor purchased an aggregate of 7,000,000 Private Placement Warrants at a purchase price of $1.00 per Private Placement Warrant, for an aggregate purchase price of $7,000,000. The proceeds from the sale of the Private Placement Warrants were added to the net proceeds from the Initial Public Offering held in the Trust Account. Each Private Placement Warrant is exercisable for one Class A Share at a price of $11.50 per share, subject to adjustment (see Note 7). If the Company does not complete a Business Combination within the Combination Period, the proceeds from the sale of the Private Placement Warrants held in the Trust Account will be used to fund the redemption of the Public Shares (subject to the requirements of applicable law) and the Private Placement Warrants will expire worthless.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RELATED PARTY TRANSACTIONS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Founder Shares</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 June 2019, the Company issued an aggregate of 7,187,500 Class B ordinary shares (the “Founder Shares”) to the Sponsor for an aggregate purchase price of $25,000. The Founder Shares will automatically convert into Class A ordinary shares on the first business day following the completion of a Business Combination on a one-for-one basis, subject to certain adjustments, as described in Note 7.</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 Founder Shares included an aggregate of up to 937,500 shares subject to forfeiture by the Sponsor to the extent that the underwriters’ over-allotment was not exercised in full or in part, so that the number of Founder Shares would collectively represent 20% of the Company’s issued and outstanding shares upon the completion of the Initial Public Offering. The underwriters’ over-allotment option expired unexercised on September 26, 2019 and, as a result, 937,500 Founder Shares were forfeited, resulting in the Sponsor holding an aggregate of 6,250,000 Founder Shares.</w:t>
      </w:r>
    </w:p>
    <w:p>
      <w:pPr>
        <w:sectPr>
          <w:pgSz w:w="11900" w:h="16838" w:orient="portrait"/>
          <w:cols w:equalWidth="0" w:num="1">
            <w:col w:w="11240"/>
          </w:cols>
          <w:pgMar w:left="320" w:top="122" w:right="339" w:bottom="899"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899" w:gutter="0" w:footer="0" w:header="0"/>
          <w:type w:val="continuous"/>
        </w:sectPr>
      </w:pPr>
    </w:p>
    <w:bookmarkStart w:id="16" w:name="page17"/>
    <w:bookmarkEnd w:id="1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SILVER SPIKE ACQUISITION CORP.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FINANCIAL STATEMENTS</w:t>
      </w:r>
    </w:p>
    <w:p>
      <w:pPr>
        <w:jc w:val="center"/>
        <w:spacing w:after="0" w:line="230" w:lineRule="auto"/>
        <w:rPr>
          <w:sz w:val="20"/>
          <w:szCs w:val="20"/>
          <w:color w:val="auto"/>
        </w:rPr>
      </w:pPr>
      <w:r>
        <w:rPr>
          <w:rFonts w:ascii="Arial" w:cs="Arial" w:eastAsia="Arial" w:hAnsi="Arial"/>
          <w:sz w:val="22"/>
          <w:szCs w:val="22"/>
          <w:b w:val="1"/>
          <w:bCs w:val="1"/>
          <w:color w:val="auto"/>
        </w:rPr>
        <w:t>SEPTEMBER 30, 2020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The Sponsor has agreed, subject to limited exceptions, not to transfer, assign or sell any of its Founder Shares until the earlier of:</w:t>
      </w:r>
    </w:p>
    <w:p>
      <w:pPr>
        <w:spacing w:after="0" w:line="43" w:lineRule="exact"/>
        <w:rPr>
          <w:sz w:val="20"/>
          <w:szCs w:val="20"/>
          <w:color w:val="auto"/>
        </w:rPr>
      </w:pPr>
    </w:p>
    <w:p>
      <w:pPr>
        <w:jc w:val="both"/>
        <w:ind w:firstLine="8"/>
        <w:spacing w:after="0" w:line="275" w:lineRule="auto"/>
        <w:tabs>
          <w:tab w:leader="none" w:pos="385" w:val="left"/>
        </w:tabs>
        <w:numPr>
          <w:ilvl w:val="0"/>
          <w:numId w:val="4"/>
        </w:numPr>
        <w:rPr>
          <w:rFonts w:ascii="Arial" w:cs="Arial" w:eastAsia="Arial" w:hAnsi="Arial"/>
          <w:sz w:val="19"/>
          <w:szCs w:val="19"/>
          <w:color w:val="auto"/>
        </w:rPr>
      </w:pPr>
      <w:r>
        <w:rPr>
          <w:rFonts w:ascii="Arial" w:cs="Arial" w:eastAsia="Arial" w:hAnsi="Arial"/>
          <w:sz w:val="19"/>
          <w:szCs w:val="19"/>
          <w:color w:val="auto"/>
        </w:rPr>
        <w:t>one year after the completion of a Business Combination and (B) subsequent to a Business Combination, (x) if the last reported sale price of the Class A ordinary shares equals or exceeds $12.00 per share (as adjusted for share splits, share dividends, rights issuances, subdivisions, reorganizations, recapitalizations and the like) for any 20 trading days within any 30-trading day period commencing at least 150 days after a Business Combination, or (y) the date on which the Company completes a liquidation, merger, amalgamation, share exchange, reorganization or other similar transaction that results in all of the Company’s shareholders having the right to exchange their Class A ordinary shares for cash, securities or other property.</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Promissory Note – Related Party</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On June 10, 2019, the Company issued an unsecured promissory note to the Sponsor, pursuant to which the Company borrowed an aggregate principal amount of $237,470. The note was non-interest bearing and payable on the earlier of (i) January 31, 2020 and (ii) the completion of the Initial Public Offering. The note was repaid in full upon the consummation of the Initial Public Offering on August 12, 2019.</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Administrative Services Agreement</w:t>
      </w:r>
    </w:p>
    <w:p>
      <w:pPr>
        <w:spacing w:after="0" w:line="239"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Company entered into an agreement whereby, commencing on August 7, 2019, the Company will pay the Sponsor up to $20,000 per month for office space, administrative and support services. Upon completion of a Business Combination or its liquidation, the Company will cease paying these monthly fees. For the three and nine months ended September 30, 2020, the Company incurred $60,000 and $180,000, respectively, in fees for these services. At September 30, 2020 and December 31, 2019, fees of $219,879 and $82,228, respectively, are included in accrued expenses in the accompanying condensed balance sheets.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Related Party Loans</w:t>
      </w:r>
    </w:p>
    <w:p>
      <w:pPr>
        <w:spacing w:after="0" w:line="239"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In order to finance transaction costs in connection with a Business Combination, the Sponsor or an affiliate of the Sponsor, or certain of the Company’s officers and directors may, but are not obligated to, loan the Company funds as may be required (“Working Capital Loans”). Such Working Capital Loans would be evidenced by promissory notes. The notes may be repaid upon completion of a Business Combination, without interest, or, at the lender’s discretion, up to $1,500,000 of notes may be converted upon completion of a Business Combination into warrants at a price of $1.00 per warrant. Such warrants would be identical to the Private Placement Warrants. In the event that a Business Combination does not close, the Company may use a portion of proceeds held outside the Trust Account to repay the Working Capital Loans but no proceeds held in the Trust Account would be used to repay the Working Capital Loans.</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COMMITMENTS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Registration Rights</w:t>
      </w:r>
    </w:p>
    <w:p>
      <w:pPr>
        <w:spacing w:after="0" w:line="239"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Pursuant to a registration rights agreement entered into on August 7, 2019, the holders of the Founder Shares, Private Placement Warrants and any warrants that may be issued on conversion of the Working Capital Loans (and any Class A ordinary shares issuable upon the exercise of the Private Placement Warrants or warrants that may be issued upon conversion of Working Capital Loans and upon conversion of the Founder Shares) are entitled to registration rights requiring the Company to register such securities for resale. The holders of these securities will be entitled to make up to three demands, excluding short form registration demands, that the Company register such securities. In addition, the holders have certain “piggy-back” registration rights with respect to registration statements filed subsequent to the completion of a Business Combination and rights to require the Company to register for resale such securities pursuant to Rule 415 under the Securities Act. However, the registration rights agreement provides that the Company will not permit any registration statement filed under the Securities Act to become effective until termination of the applicable lock-up period. The Company will bear the expenses incurred in connection with the filing of any such registration statements.</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Underwriting Agreement</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underwriters were paid a cash underwriting discount of $0.20 per Unit, or $5,000,000 in the aggregate. In addition, the underwriters are entitled to a deferred fee of $0.35 per Unit, or $8,750,000 in the aggregate, which will become payable to the underwriters from the amounts held in the Trust Account solely in the event that the Company completes a Business Combination, subject to the terms of the underwriting agreement.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SHAREHOLDERS’ EQUITY</w:t>
      </w:r>
    </w:p>
    <w:p>
      <w:pPr>
        <w:sectPr>
          <w:pgSz w:w="11900" w:h="16838" w:orient="portrait"/>
          <w:cols w:equalWidth="0" w:num="1">
            <w:col w:w="11240"/>
          </w:cols>
          <w:pgMar w:left="320" w:top="122" w:right="339" w:bottom="275" w:gutter="0" w:footer="0" w:header="0"/>
        </w:sectPr>
      </w:pPr>
    </w:p>
    <w:bookmarkStart w:id="17" w:name="page18"/>
    <w:bookmarkEnd w:id="17"/>
    <w:p>
      <w:pPr>
        <w:jc w:val="both"/>
        <w:spacing w:after="0" w:line="279" w:lineRule="auto"/>
        <w:rPr>
          <w:sz w:val="20"/>
          <w:szCs w:val="20"/>
          <w:color w:val="auto"/>
        </w:rPr>
      </w:pPr>
      <w:r>
        <w:rPr>
          <w:rFonts w:ascii="Arial" w:cs="Arial" w:eastAsia="Arial" w:hAnsi="Arial"/>
          <w:sz w:val="19"/>
          <w:szCs w:val="19"/>
          <w:b w:val="1"/>
          <w:bCs w:val="1"/>
          <w:i w:val="1"/>
          <w:iCs w:val="1"/>
          <w:color w:val="auto"/>
        </w:rPr>
        <w:t xml:space="preserve">Preferred Shares </w:t>
      </w:r>
      <w:r>
        <w:rPr>
          <w:rFonts w:ascii="Arial" w:cs="Arial" w:eastAsia="Arial" w:hAnsi="Arial"/>
          <w:sz w:val="19"/>
          <w:szCs w:val="19"/>
          <w:color w:val="auto"/>
        </w:rPr>
        <w:t>— The Company is authorized to issue 1,000,000 preference shares with a par value of $0.0001.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Company’s board of directors will be authorized to fix the voting rights, if any, designations, powers, preferences, the relative, participating, optional or other special rights and any qualifications, limitations and restrictions thereof, applicable to the shares of each series. The board of directors will be able to, without shareholder approval, issue preferred shares with voting and other rights that could adversely affect the voting power and other rights of the holders of the ordinary shares and could have anti-takeover effects. At September 30, 2020 and December 31, 2019, there were no preference shares issued or outstanding.</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SILVER SPIKE ACQUISITION CORP.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FINANCIAL STATEMENTS</w:t>
      </w:r>
    </w:p>
    <w:p>
      <w:pPr>
        <w:jc w:val="center"/>
        <w:spacing w:after="0" w:line="230" w:lineRule="auto"/>
        <w:rPr>
          <w:sz w:val="20"/>
          <w:szCs w:val="20"/>
          <w:color w:val="auto"/>
        </w:rPr>
      </w:pPr>
      <w:r>
        <w:rPr>
          <w:rFonts w:ascii="Arial" w:cs="Arial" w:eastAsia="Arial" w:hAnsi="Arial"/>
          <w:sz w:val="22"/>
          <w:szCs w:val="22"/>
          <w:b w:val="1"/>
          <w:bCs w:val="1"/>
          <w:color w:val="auto"/>
        </w:rPr>
        <w:t>SEPTEMBER 30, 2020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15" w:lineRule="exact"/>
        <w:rPr>
          <w:sz w:val="20"/>
          <w:szCs w:val="20"/>
          <w:color w:val="auto"/>
        </w:rPr>
      </w:pPr>
    </w:p>
    <w:p>
      <w:pPr>
        <w:jc w:val="both"/>
        <w:spacing w:after="0" w:line="252" w:lineRule="auto"/>
        <w:rPr>
          <w:sz w:val="20"/>
          <w:szCs w:val="20"/>
          <w:color w:val="auto"/>
        </w:rPr>
      </w:pPr>
      <w:r>
        <w:rPr>
          <w:rFonts w:ascii="Arial" w:cs="Arial" w:eastAsia="Arial" w:hAnsi="Arial"/>
          <w:sz w:val="21"/>
          <w:szCs w:val="21"/>
          <w:b w:val="1"/>
          <w:bCs w:val="1"/>
          <w:i w:val="1"/>
          <w:iCs w:val="1"/>
          <w:color w:val="auto"/>
        </w:rPr>
        <w:t xml:space="preserve">Class A Ordinary Shares </w:t>
      </w:r>
      <w:r>
        <w:rPr>
          <w:rFonts w:ascii="Arial" w:cs="Arial" w:eastAsia="Arial" w:hAnsi="Arial"/>
          <w:sz w:val="21"/>
          <w:szCs w:val="21"/>
          <w:color w:val="auto"/>
        </w:rPr>
        <w:t>— The Company is authorized to issue 200,000,000 Class A ordinary shares, with a par value of</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$0.0001 per share. Holders of Class A ordinary shares are entitled to one vote for each share. At September 30, 2020 and December 31, 2019, there were 1,331,545 and 1,259,819 shares of Class A ordinary shares issued or outstanding, excluding 23,668,455 and 23,740,181 Class A ordinary shares subject to possible redemption, respectively.</w:t>
      </w:r>
    </w:p>
    <w:p>
      <w:pPr>
        <w:spacing w:after="0" w:line="201" w:lineRule="exact"/>
        <w:rPr>
          <w:sz w:val="20"/>
          <w:szCs w:val="20"/>
          <w:color w:val="auto"/>
        </w:rPr>
      </w:pPr>
    </w:p>
    <w:p>
      <w:pPr>
        <w:jc w:val="both"/>
        <w:spacing w:after="0" w:line="257" w:lineRule="auto"/>
        <w:rPr>
          <w:sz w:val="20"/>
          <w:szCs w:val="20"/>
          <w:color w:val="auto"/>
        </w:rPr>
      </w:pPr>
      <w:r>
        <w:rPr>
          <w:rFonts w:ascii="Arial" w:cs="Arial" w:eastAsia="Arial" w:hAnsi="Arial"/>
          <w:sz w:val="21"/>
          <w:szCs w:val="21"/>
          <w:b w:val="1"/>
          <w:bCs w:val="1"/>
          <w:i w:val="1"/>
          <w:iCs w:val="1"/>
          <w:color w:val="auto"/>
        </w:rPr>
        <w:t xml:space="preserve">Class B Ordinary Shares </w:t>
      </w:r>
      <w:r>
        <w:rPr>
          <w:rFonts w:ascii="Arial" w:cs="Arial" w:eastAsia="Arial" w:hAnsi="Arial"/>
          <w:sz w:val="21"/>
          <w:szCs w:val="21"/>
          <w:color w:val="auto"/>
        </w:rPr>
        <w:t>— The Company is authorized to issue 20,000,000 Class B ordinary shares, with a par value of</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$0.0001 per share. Holders of the Class B ordinary shares are entitled to one vote for each share. At September 30, 2020 and December 31, 2019, there were 6,250,000 Class B ordinary shares issued and outstanding.</w:t>
      </w:r>
    </w:p>
    <w:p>
      <w:pPr>
        <w:spacing w:after="0" w:line="196"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Only holders of the Class B ordinary shares will have the right to vote on the election of directors prior to the Business Combination. Holders of Class A ordinary shares and holders of Class B ordinary shares will vote together as a single class on all matters submitted to a vote of our shareholders except as otherwise required by law.</w:t>
      </w:r>
    </w:p>
    <w:p>
      <w:pPr>
        <w:spacing w:after="0" w:line="196"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The Class B Shares will automatically convert into Class A ordinary shares on the first business day following the completion of the Business Combination, on a one-for-one basis, subject to adjustment. In the case that additional Class A ordinary shares, or equity-linked securities, are issued or deemed issued in excess of the amounts issued in the Initial Public Offering and related to the closing of a Business Combination, the ratio at which Founder Shares will convert into Class A ordinary shares will be adjusted (subject to waiver by holders of a majority of the Class B ordinary shares) so that the number of Class A ordinary shares issuable upon conversion of all Founder Shares will equal, in the aggregate, on an as-converted basis, 20% of the sum of the ordinary shares issued and outstanding upon completion of the Initial Public Offering plus the number of Class A ordinary shares and equity-linked securities issued or deemed issued in connection with a Business Combination (net of redemptions), excluding any Class A ordinary shares or equity-linked securities issued, or to be issued, to any seller in a Business Combination and any Private Placement Warrants issued to the Sponsor.</w:t>
      </w:r>
    </w:p>
    <w:p>
      <w:pPr>
        <w:spacing w:after="0" w:line="188" w:lineRule="exact"/>
        <w:rPr>
          <w:sz w:val="20"/>
          <w:szCs w:val="20"/>
          <w:color w:val="auto"/>
        </w:rPr>
      </w:pPr>
    </w:p>
    <w:p>
      <w:pPr>
        <w:jc w:val="both"/>
        <w:spacing w:after="0" w:line="252" w:lineRule="auto"/>
        <w:rPr>
          <w:sz w:val="20"/>
          <w:szCs w:val="20"/>
          <w:color w:val="auto"/>
        </w:rPr>
      </w:pPr>
      <w:r>
        <w:rPr>
          <w:rFonts w:ascii="Arial" w:cs="Arial" w:eastAsia="Arial" w:hAnsi="Arial"/>
          <w:sz w:val="21"/>
          <w:szCs w:val="21"/>
          <w:b w:val="1"/>
          <w:bCs w:val="1"/>
          <w:i w:val="1"/>
          <w:iCs w:val="1"/>
          <w:color w:val="auto"/>
        </w:rPr>
        <w:t xml:space="preserve">Warrants </w:t>
      </w:r>
      <w:r>
        <w:rPr>
          <w:rFonts w:ascii="Arial" w:cs="Arial" w:eastAsia="Arial" w:hAnsi="Arial"/>
          <w:sz w:val="21"/>
          <w:szCs w:val="21"/>
          <w:color w:val="auto"/>
        </w:rPr>
        <w:t>— Public Warrants may only be exercised for a whole number of shares. No fractional shares will be issued upon</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exercise of the Public Warrants. The Public Warrants will become exercisable on the later of (a) 30 days after the completion of a Business Combination and (b) 12 months from the closing of the Initial Public Offering. The Public Warrants will expire five years from the completion of a Business Combination or earlier upon redemption or liquidation.</w:t>
      </w:r>
    </w:p>
    <w:p>
      <w:pPr>
        <w:spacing w:after="0" w:line="201"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 Company will not be obligated to deliver any Class A ordinary shares pursuant to the exercise of a Public Warrant and will have no obligation to settle such Public Warrant exercise unless a registration statement under the Securities Act covering the issuance of the Class A ordinary shares issuable upon exercise of the Public Warrants is then effective and a prospectus relating thereto is current, subject to the Company satisfying its obligations with respect to registration. No Public Warrant will be exercisable for cash or on a cashless basis, and the Company will not be obligated to issue any shares to holders seeking to exercise their Public Warrants, unless the issuance of the shares upon such exercise is registered or qualified under the securities laws of the state of the exercising holder, or an exemption from registration is available.</w:t>
      </w:r>
    </w:p>
    <w:p>
      <w:pPr>
        <w:spacing w:after="0" w:line="179"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The Company has agreed that as soon as practicable, but in no event later than 15 business days, after the closing of a Business Combination, it will use its reasonable best efforts to file with the SEC a registration statement registering the issuance, under the Securities Act, of the Class A ordinary shares issuable upon exercise of the Public Warrants. The Company will use it’s reasonable best efforts to cause the same to become effective within 60 business days after the closing of the Business Combination and to maintain the effectiveness of such registration statement, and a current prospectus relating thereto, until the expiration of the Public Warrants in accordance with the provisions of the warrant agreement. Notwithstanding the above, if the Class A ordinary shares are, at the time of any exercise of a Public Warrant, not listed on a national securities exchange such that it satisfies the definition of a “covered security” under Section 18(b)(1) of the Securities Act, the Company may, at its option, require holders of Public Warrants who exercise their Public Warrants to do so on a “cashless basis” in accordance with Section 3(a)(9) of the Securities Act and, in the event the Company so elects, the Company will not be required to file or maintain in effect a registration statement, but will use its reasonable best efforts to qualify the shares under applicable blue sky laws to the extent an exemption is not available.</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color w:val="auto"/>
        </w:rPr>
        <w:t>Once the Public Warrants become exercisable, the Company may redeem the Public Warrants for redemption:</w:t>
      </w:r>
    </w:p>
    <w:p>
      <w:pPr>
        <w:spacing w:after="0" w:line="240"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 a price of $0.01 per Public Warrant;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 and</w:t>
      </w:r>
    </w:p>
    <w:p>
      <w:pPr>
        <w:spacing w:after="0" w:line="9" w:lineRule="exact"/>
        <w:rPr>
          <w:rFonts w:ascii="Arial" w:cs="Arial" w:eastAsia="Arial" w:hAnsi="Arial"/>
          <w:sz w:val="18"/>
          <w:szCs w:val="18"/>
          <w:color w:val="auto"/>
        </w:rPr>
      </w:pPr>
    </w:p>
    <w:p>
      <w:pPr>
        <w:ind w:left="660" w:right="320" w:hanging="328"/>
        <w:spacing w:after="0" w:line="25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and only if, the reported last sale price of the Class A ordinary shares equals or exceeds $18.00 per share (as adjusted for share splits, share dividends, rights issuances, subdivisions, reorganizations, recapitalizations and the like) for any 20 trading days within a 30-trading day period ending on the third trading day prior to the notice of redemption to the warrant holders.</w:t>
      </w:r>
    </w:p>
    <w:p>
      <w:pPr>
        <w:sectPr>
          <w:pgSz w:w="11900" w:h="16838" w:orient="portrait"/>
          <w:cols w:equalWidth="0" w:num="1">
            <w:col w:w="11240"/>
          </w:cols>
          <w:pgMar w:left="320" w:top="122" w:right="339" w:bottom="112"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12" w:gutter="0" w:footer="0" w:header="0"/>
          <w:type w:val="continuous"/>
        </w:sectPr>
      </w:pPr>
    </w:p>
    <w:bookmarkStart w:id="19" w:name="page20"/>
    <w:bookmarkEnd w:id="19"/>
    <w:p>
      <w:pPr>
        <w:spacing w:after="0" w:line="10" w:lineRule="exact"/>
        <w:rPr>
          <w:sz w:val="20"/>
          <w:szCs w:val="20"/>
          <w:color w:val="auto"/>
        </w:rPr>
      </w:pPr>
    </w:p>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SILVER SPIKE ACQUISITION CORP.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FINANCIAL STATEMENTS</w:t>
      </w:r>
    </w:p>
    <w:p>
      <w:pPr>
        <w:jc w:val="center"/>
        <w:spacing w:after="0" w:line="230" w:lineRule="auto"/>
        <w:rPr>
          <w:sz w:val="20"/>
          <w:szCs w:val="20"/>
          <w:color w:val="auto"/>
        </w:rPr>
      </w:pPr>
      <w:r>
        <w:rPr>
          <w:rFonts w:ascii="Arial" w:cs="Arial" w:eastAsia="Arial" w:hAnsi="Arial"/>
          <w:sz w:val="22"/>
          <w:szCs w:val="22"/>
          <w:b w:val="1"/>
          <w:bCs w:val="1"/>
          <w:color w:val="auto"/>
        </w:rPr>
        <w:t>SEPTEMBER 30, 2020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15" w:lineRule="exact"/>
        <w:rPr>
          <w:sz w:val="20"/>
          <w:szCs w:val="20"/>
          <w:color w:val="auto"/>
        </w:rPr>
      </w:pPr>
    </w:p>
    <w:p>
      <w:pPr>
        <w:jc w:val="both"/>
        <w:ind w:right="20"/>
        <w:spacing w:after="0" w:line="274" w:lineRule="auto"/>
        <w:rPr>
          <w:sz w:val="20"/>
          <w:szCs w:val="20"/>
          <w:color w:val="auto"/>
        </w:rPr>
      </w:pPr>
      <w:r>
        <w:rPr>
          <w:rFonts w:ascii="Arial" w:cs="Arial" w:eastAsia="Arial" w:hAnsi="Arial"/>
          <w:sz w:val="21"/>
          <w:szCs w:val="21"/>
          <w:color w:val="auto"/>
        </w:rPr>
        <w:t>If and when the Public Warrants become redeemable by the Company, the Company may exercise its redemption right even if it is unable to register or qualify the underlying securities for sale under all applicable state securities laws.</w:t>
      </w:r>
    </w:p>
    <w:p>
      <w:pPr>
        <w:spacing w:after="0" w:line="178"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If the Company calls the Public Warrants for redemption, management will have the option to require all holders that wish to exercise the Public Warrants to do so on a “cashless basis,” as described in the warrant agreement. The exercise price and number of ordinary shares issuable upon exercise of the Public Warrants may be adjusted in certain circumstances including in the event of a share dividend, extraordinary dividend or recapitalization, reorganization, merger or consolidation. However, the Public Warrants will not be adjusted for issuances of ordinary shares at a price below its exercise price. Additionally, in no event will the Company be required to net cash settle the Public Warrants. If the Company is unable to complete a Business Combination within the Combination Period and the Company liquidates the funds held in the Trust Account, holders of Public Warrants will not receive any of such funds with respect to their Public Warrants, nor will they receive any distribution from the Company’s assets held outside of the Trust Account with respect to such Public Warrants. Accordingly, the Public Warrants may expire worthless.</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In addition, if (x) the Company issues additional Class A ordinary shares or equity-linked securities for capital raising purposes in connection with the closing of a Business Combination at an issue price or effective issue price of less than $9.20 per Class A ordinary share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a Business Combination on the date of the completion of a Business Combination (net of redemptions), and (z) the volume weighted average trading price of the Company’s ordinary shares during the 20 trading day period starting on the trading day prior to the day on which the Company consummates a Business Combination (such price, the “Market Value”) is below $9.20 per share, the exercise price of the Public Warrants will be adjusted (to the nearest cent) to be equal to 115% of the higher of the Market Value and the newly issued price, and the $18.00 per share redemption trigger price described above will be adjusted (to the nearest cent) to be equal to 180% of the higher of the Market Value and the newly issued price.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 Private Placement Warrants are identical to the Public Warrants underlying the Units sold in the Initial Public Offering, except that the Private Placement Warrants and the Class A ordinary shares issuable upon the exercise of the Private Placement Warrants will not be transferable, assignable or salable until 30 days after the completion of a Business Combination, subject to certain limited exceptions. Additionally, the Private Placement Warrants will be exercisable on a cashless basis and be non-redeemable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FAIR VALUE MEASUREMENTS</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Company follows the guidance in ASC Topic 820 for its financial assets and liabilities that are re-measured and reported at fair value at each reporting period, and non-financial assets and liabilities that are re-measured and reported at fair value at least annually.</w:t>
      </w:r>
    </w:p>
    <w:p>
      <w:pPr>
        <w:spacing w:after="0" w:line="213"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218" w:lineRule="exact"/>
        <w:rPr>
          <w:sz w:val="20"/>
          <w:szCs w:val="20"/>
          <w:color w:val="auto"/>
        </w:rPr>
      </w:pPr>
    </w:p>
    <w:p>
      <w:pPr>
        <w:ind w:left="660" w:right="880" w:hanging="328"/>
        <w:spacing w:after="0" w:line="34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50" w:lineRule="exact"/>
        <w:rPr>
          <w:rFonts w:ascii="Arial" w:cs="Arial" w:eastAsia="Arial" w:hAnsi="Arial"/>
          <w:sz w:val="16"/>
          <w:szCs w:val="16"/>
          <w:color w:val="auto"/>
        </w:rPr>
      </w:pPr>
    </w:p>
    <w:p>
      <w:pPr>
        <w:ind w:left="660" w:right="4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197"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3: Unobservable inputs based on the Company assessment of the assumptions that market participants would use in pricing the asset or liability.</w:t>
      </w:r>
    </w:p>
    <w:p>
      <w:pPr>
        <w:spacing w:after="0" w:line="190"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following table presents information about the Company’s assets that are measured at fair value on a recurring basis at September 30, 2020 and December 31, 2019, and indicates the fair value hierarchy of the valuation inputs the Company utilized to determine such fair value:</w:t>
      </w:r>
    </w:p>
    <w:p>
      <w:pPr>
        <w:sectPr>
          <w:pgSz w:w="11900" w:h="16848" w:orient="portrait"/>
          <w:cols w:equalWidth="0" w:num="1">
            <w:col w:w="11240"/>
          </w:cols>
          <w:pgMar w:left="320" w:top="121" w:right="339" w:bottom="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12</w:t>
      </w:r>
    </w:p>
    <w:p>
      <w:pPr>
        <w:sectPr>
          <w:pgSz w:w="11900" w:h="16848" w:orient="portrait"/>
          <w:cols w:equalWidth="0" w:num="1">
            <w:col w:w="11240"/>
          </w:cols>
          <w:pgMar w:left="320" w:top="121" w:right="339" w:bottom="0" w:gutter="0" w:footer="0" w:header="0"/>
          <w:type w:val="continuous"/>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SILVER SPIKE ACQUISITION CORP.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FINANCIAL STATEMENTS</w:t>
      </w:r>
    </w:p>
    <w:p>
      <w:pPr>
        <w:jc w:val="center"/>
        <w:spacing w:after="0" w:line="230" w:lineRule="auto"/>
        <w:rPr>
          <w:sz w:val="20"/>
          <w:szCs w:val="20"/>
          <w:color w:val="auto"/>
        </w:rPr>
      </w:pPr>
      <w:r>
        <w:rPr>
          <w:rFonts w:ascii="Arial" w:cs="Arial" w:eastAsia="Arial" w:hAnsi="Arial"/>
          <w:sz w:val="22"/>
          <w:szCs w:val="22"/>
          <w:b w:val="1"/>
          <w:bCs w:val="1"/>
          <w:color w:val="auto"/>
        </w:rPr>
        <w:t>SEPTEMBER 30, 2020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54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100" w:type="dxa"/>
            <w:vAlign w:val="bottom"/>
          </w:tcPr>
          <w:p>
            <w:pPr>
              <w:spacing w:after="0"/>
              <w:rPr>
                <w:sz w:val="20"/>
                <w:szCs w:val="20"/>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Level</w:t>
            </w:r>
          </w:p>
        </w:tc>
        <w:tc>
          <w:tcPr>
            <w:tcW w:w="1820" w:type="dxa"/>
            <w:vAlign w:val="bottom"/>
            <w:gridSpan w:val="4"/>
          </w:tcPr>
          <w:p>
            <w:pPr>
              <w:ind w:left="100"/>
              <w:spacing w:after="0"/>
              <w:rPr>
                <w:sz w:val="20"/>
                <w:szCs w:val="20"/>
                <w:color w:val="auto"/>
              </w:rPr>
            </w:pPr>
            <w:r>
              <w:rPr>
                <w:rFonts w:ascii="Arial" w:cs="Arial" w:eastAsia="Arial" w:hAnsi="Arial"/>
                <w:sz w:val="18"/>
                <w:szCs w:val="18"/>
                <w:b w:val="1"/>
                <w:bCs w:val="1"/>
                <w:color w:val="auto"/>
              </w:rPr>
              <w:t>September 30, 2020</w:t>
            </w:r>
          </w:p>
        </w:tc>
        <w:tc>
          <w:tcPr>
            <w:tcW w:w="1560" w:type="dxa"/>
            <w:vAlign w:val="bottom"/>
            <w:gridSpan w:val="3"/>
          </w:tcPr>
          <w:p>
            <w:pPr>
              <w:spacing w:after="0"/>
              <w:rPr>
                <w:sz w:val="20"/>
                <w:szCs w:val="20"/>
                <w:color w:val="auto"/>
              </w:rPr>
            </w:pPr>
            <w:r>
              <w:rPr>
                <w:rFonts w:ascii="Arial" w:cs="Arial" w:eastAsia="Arial" w:hAnsi="Arial"/>
                <w:sz w:val="18"/>
                <w:szCs w:val="18"/>
                <w:b w:val="1"/>
                <w:bCs w:val="1"/>
                <w:color w:val="auto"/>
                <w:w w:val="94"/>
              </w:rPr>
              <w:t>December 31, 2019</w:t>
            </w:r>
          </w:p>
        </w:tc>
      </w:tr>
      <w:tr>
        <w:trPr>
          <w:trHeight w:val="216"/>
        </w:trPr>
        <w:tc>
          <w:tcPr>
            <w:tcW w:w="65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Assets:</w:t>
            </w:r>
          </w:p>
        </w:tc>
        <w:tc>
          <w:tcPr>
            <w:tcW w:w="1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 held in Trust Account</w:t>
            </w: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254,115,791</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251,924,993</w:t>
            </w: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SUBSEQUENT EVENTS</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Company evaluated subsequent events and transactions that occurred after the balance sheet date up to the date that the condensed financial statements were issued. Based upon this review, the Company did not identify any subsequent events that would have required adjustment or disclosure in the condensed financial statements.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49"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References in this report (the “Quarterly Report”) to “we,” “us” or the “Company” refer to Silver Spike Acquisition Corp. References to our “management” or our “management team” refer to our officers and directors, and references to the “Sponsor” refer to Silver Spike Sponsor LLC. The following discussion and analysis of the Company’s financial condition and results of operations should be read in conjunction with the financial statements and the notes thereto contained elsewhere in this Quarterly Report. Certain information contained in the discussion and analysis set forth below includes forward-looking statements that involve risks and uncertainties.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Special Note Regarding Forward-Looking Statements</w:t>
      </w:r>
    </w:p>
    <w:p>
      <w:pPr>
        <w:spacing w:after="0" w:line="239"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This Quarterly Report includes “forward-looking statements” within the meaning of Section 27A of the Securities Act of 1933, as amended (the “Securities Act”) and Section 21E of the Exchange Act that are not historical facts, and involve risks and uncertainties that could cause actual results to differ materially from those expected and projected. All statements, other than statements of historical fact included in this Form 10-Q including, without limitation, statements in this “Management’s Discussion and Analysis of Financial Condition and Results of Operations” regarding the Company’s financial position, business strategy and the plans and objectives of management for future operations, are forward-looking statements. Words such as “expect,” “believe,” “anticipate,” “intend,” “estimate,” “seek” and variations and similar words and expressions are intended to identify such forward-looking statements. Such forward-looking statements relate to future events or future performance, but reflect management’s current beliefs, based on information currently available. A number of factors could cause actual events, performance or results to differ materially from the events, performance and results discussed in the forward-looking statements. For information identifying important factors that could cause actual results to differ materially from those anticipated in the forward-looking statements, please refer to the Risk Factors section of the Company’s Annual Report on Form 10-K for the year ended December 31, 2019 filed with the U.S. Securities and Exchange Commission (the “SEC”). The Company’s securities filings can be accessed on the EDGAR section of the SEC’s website at www.sec.gov. Except as expressly required by applicable securities law, the Company disclaims any intention or obligation to update or revise any forward-looking statements whether as a result of new information, future events or otherwise.</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are a blank check company incorporated in the Cayman Islands on June 7, 2019 formed for the purpose of effecting a merger, amalgamation, share exchange, asset acquisition, share purchase, reorganization or similar Business Combination with one or more businesses. We intend to effectuate our Business Combination using cash derived from the proceeds of the Initial Public Offering, our shares, debt or a combination of cash, shares and debt.</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The issuance of additional ordinary shares in a Business Combination:</w:t>
      </w:r>
    </w:p>
    <w:p>
      <w:pPr>
        <w:spacing w:after="0" w:line="240" w:lineRule="exact"/>
        <w:rPr>
          <w:sz w:val="20"/>
          <w:szCs w:val="20"/>
          <w:color w:val="auto"/>
        </w:rPr>
      </w:pPr>
    </w:p>
    <w:p>
      <w:pPr>
        <w:ind w:left="660" w:right="40" w:hanging="328"/>
        <w:spacing w:after="0" w:line="291"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may significantly dilute the equity interest of investors, which dilution would increase if the anti-dilution provisions of the Class B ordinary shares resulted in the issuance of Class A ordinary shares on a greater than one-to-one basis upon conversion of the Class B ordinary shares;</w:t>
      </w:r>
    </w:p>
    <w:p>
      <w:pPr>
        <w:ind w:left="660" w:right="38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may subordinate the rights of holders of Class A ordinary shares if preferred shares are issued with rights senior to those afforded our Class A ordinary shares;</w:t>
      </w:r>
    </w:p>
    <w:p>
      <w:pPr>
        <w:ind w:left="660" w:right="120" w:hanging="328"/>
        <w:spacing w:after="0" w:line="265"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could cause a change of control if a substantial number of our ordinary shares are issued, which may affect, among other things, our ability to use our net operating loss carry forwards, if any, and could result in the resignation or removal of our present officers and directors;</w:t>
      </w:r>
    </w:p>
    <w:p>
      <w:pPr>
        <w:ind w:left="660" w:right="38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may have the effect of delaying or preventing a change of control of us by diluting the share ownership or voting rights of a person seeking to obtain control of us; and</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Class A ordinary shares and/or warrants.</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Similarly, if we issue debt securities, it could result in:</w:t>
      </w:r>
    </w:p>
    <w:p>
      <w:pPr>
        <w:spacing w:after="0" w:line="240"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default and foreclosure on our assets if our operating revenues after an initial Business Combination are insufficient to repay our debt obligations;</w:t>
      </w:r>
    </w:p>
    <w:p>
      <w:pPr>
        <w:spacing w:after="0" w:line="46" w:lineRule="exact"/>
        <w:rPr>
          <w:rFonts w:ascii="Arial" w:cs="Arial" w:eastAsia="Arial" w:hAnsi="Arial"/>
          <w:sz w:val="16"/>
          <w:szCs w:val="16"/>
          <w:color w:val="auto"/>
        </w:rPr>
      </w:pPr>
    </w:p>
    <w:p>
      <w:pPr>
        <w:ind w:left="660" w:right="560" w:hanging="328"/>
        <w:spacing w:after="0" w:line="281"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is payable on demand;</w:t>
      </w:r>
    </w:p>
    <w:p>
      <w:pPr>
        <w:spacing w:after="0" w:line="9" w:lineRule="exact"/>
        <w:rPr>
          <w:rFonts w:ascii="Arial" w:cs="Arial" w:eastAsia="Arial" w:hAnsi="Arial"/>
          <w:sz w:val="18"/>
          <w:szCs w:val="18"/>
          <w:color w:val="auto"/>
        </w:rPr>
      </w:pPr>
    </w:p>
    <w:p>
      <w:pPr>
        <w:ind w:left="660" w:right="4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contains covenants restricting our ability to obtain such financing while the debt is outstanding;</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inability to pay dividends on our Class A ordinary shares;</w:t>
      </w:r>
    </w:p>
    <w:p>
      <w:pPr>
        <w:spacing w:after="0" w:line="9" w:lineRule="exact"/>
        <w:rPr>
          <w:rFonts w:ascii="Arial" w:cs="Arial" w:eastAsia="Arial" w:hAnsi="Arial"/>
          <w:sz w:val="18"/>
          <w:szCs w:val="18"/>
          <w:color w:val="auto"/>
        </w:rPr>
      </w:pPr>
    </w:p>
    <w:p>
      <w:pPr>
        <w:ind w:left="660" w:right="260" w:hanging="328"/>
        <w:spacing w:after="0" w:line="265"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using a substantial portion of our cash flow to pay principal and interest on our debt, which will reduce the funds available for dividends on our Class A ordinary shares if declared, expenses, capital expenditures, acquisitions and other general corporate purposes;</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9" w:lineRule="exact"/>
        <w:rPr>
          <w:rFonts w:ascii="Arial" w:cs="Arial" w:eastAsia="Arial" w:hAnsi="Arial"/>
          <w:sz w:val="18"/>
          <w:szCs w:val="18"/>
          <w:color w:val="auto"/>
        </w:rPr>
      </w:pPr>
    </w:p>
    <w:p>
      <w:pPr>
        <w:ind w:left="660" w:right="74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 and</w:t>
      </w:r>
    </w:p>
    <w:p>
      <w:pPr>
        <w:ind w:left="660" w:right="280" w:hanging="328"/>
        <w:spacing w:after="0" w:line="26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205"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We expect to continue to incur significant costs in the pursuit of our acquisition plans. We cannot assure you that our plans to complete a Business Combination will be successful.</w:t>
      </w:r>
    </w:p>
    <w:p>
      <w:pPr>
        <w:sectPr>
          <w:pgSz w:w="11900" w:h="16838" w:orient="portrait"/>
          <w:cols w:equalWidth="0" w:num="1">
            <w:col w:w="11240"/>
          </w:cols>
          <w:pgMar w:left="320" w:top="121" w:right="339" w:bottom="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23" w:name="page24"/>
    <w:bookmarkEnd w:id="2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39"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We have neither engaged in any operations nor generated any revenues to date. Our only activities from inception through September 30, 2020 were organizational activities, those necessary to prepare for the Initial Public Offering, described below, and, after the Initial Public Offering, identifying a target company for a Business Combination. We do not expect to generate any operating revenues until after the completion of our initial Business Combination. We generate non-operating income in the form of interest income on marketable securities. We are incurring expenses as a result of being a public company (for legal, financial reporting, accounting and auditing compliance), as well as for due diligence expenses in connection with completing a Business Combination.</w:t>
      </w:r>
    </w:p>
    <w:p>
      <w:pPr>
        <w:spacing w:after="0" w:line="218"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For the three months ended September 30, 2020, we had a net loss of $113,960, which consists of operating and formation costs of $159,017 and an unrealized loss on marketable securities held in the Trust Account of 297,069, offset by interest income on marketable securities held in the Trust Account of $342,126.</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22"/>
          <w:szCs w:val="22"/>
          <w:color w:val="auto"/>
        </w:rPr>
        <w:t>For the nine months ended September 30, 2020, we had net income of $1,351,338, which consists of interest income on marketable securities held in the Trust Account of $2,207,141, offset by operating costs of $839,460 and an unrealized loss on marketable securities held in the Trust Account of $16,343.</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22"/>
          <w:szCs w:val="22"/>
          <w:color w:val="auto"/>
        </w:rPr>
        <w:t>For the three months ended September 30, 2019, we had net income of $553,123, which consists of interest income on marketable securities held in the Trust Account of $620,669 and an unrealized gain on marketable securities held in the Trust Account of $66,074, offset by operating and formation costs of $133,620.</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22"/>
          <w:szCs w:val="22"/>
          <w:color w:val="auto"/>
        </w:rPr>
        <w:t>For the period from June 7, 2019 (inception) through September 30, 2019, we had net income of $548,123, which consists of interest income on marketable securities held in the Trust Account of $620,669 and an unrealized gain on marketable securities held in the Trust Account of $66,074, offset by operating and formation costs of $138,620.</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39"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On August 12, 2019, we consummated the Initial Public Offering of 25,000,000 Units, at a price of $10.00 per Unit, generating gross proceeds of $250,000,000. Simultaneously with the closing of the Initial Public Offering, we consummated the sale of 7,000,000 Private Placement Warrants to our Sponsor at a price of $1.00 per warrant, generating gross proceeds of $7,000,000.</w:t>
      </w:r>
    </w:p>
    <w:p>
      <w:pPr>
        <w:spacing w:after="0" w:line="161" w:lineRule="exact"/>
        <w:rPr>
          <w:sz w:val="20"/>
          <w:szCs w:val="20"/>
          <w:color w:val="auto"/>
        </w:rPr>
      </w:pPr>
    </w:p>
    <w:p>
      <w:pPr>
        <w:jc w:val="both"/>
        <w:spacing w:after="0"/>
        <w:rPr>
          <w:sz w:val="20"/>
          <w:szCs w:val="20"/>
          <w:color w:val="auto"/>
        </w:rPr>
      </w:pPr>
      <w:r>
        <w:rPr>
          <w:rFonts w:ascii="Arial" w:cs="Arial" w:eastAsia="Arial" w:hAnsi="Arial"/>
          <w:sz w:val="22"/>
          <w:szCs w:val="22"/>
          <w:color w:val="auto"/>
        </w:rPr>
        <w:t>Following the Initial Public Offering and the sale of the Private Placement Warrants, a total of $250,000,000 was placed in the Trust Account. We incurred $14,413,362 in transaction costs, including $5,000,000 of underwriting fees, $8,750,000 of deferred underwriting fees and $663,362 of other offering costs.</w:t>
      </w:r>
    </w:p>
    <w:p>
      <w:pPr>
        <w:spacing w:after="0" w:line="21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For the nine months ended September 30, 2020, cash used in operating activities was $270,945. Net income of $1,351,338 was impacted by interest earned on marketable securities held in the Trust Account of $2,207,141, an unrealized loss on marketable securities of $16,343 and changes in operating assets and liabilities, which provided of $568,515 of cash from operating activities.</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For the period from June 7, 2019 (inception) through September 30, 2019, cash used in operating activities was $374,360. Net income of $548,123 was offset by interest earned on marketable securities held in the Trust Account of $620,669, an unrealized gain on marketable securities of $66,074 and changes in operating assets and liabilities, which used of $235,740 of cash from operating activities.</w:t>
      </w:r>
    </w:p>
    <w:p>
      <w:pPr>
        <w:spacing w:after="0" w:line="212"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As of September 30, 2020, we had marketable securities held in the Trust Account of $254,115,791. We intend to use substantially all of the funds held in the Trust Account, including any amounts representing interest earned on the Trust Account (which interest shall be net of taxes payable and excluding deferred underwriting commissions) to complete our Business Combination. To the extent that our share capital is used, in whole or in part, as consideration to complete a Business Combination, the remaining proceeds held in the Trust Account will be used as working capital to finance the operations of the target business or businesses, make other acquisitions and pursue our growth strategies.</w:t>
      </w:r>
    </w:p>
    <w:p>
      <w:pPr>
        <w:spacing w:after="0" w:line="20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As of September 30, 2020, we had cash of $623,644 held outside the Trust Account. We intend to use the funds held outside the Trust Account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structure, negotiate and complete a Business Combination.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In order to fund working capital deficiencies or finance transaction costs in connection with a Business Combination, our Sponsor or an affiliate of our Sponsor or certain of our officers and directors may, but are not obligated to, loan us funds as may be required. If we complete a Business Combination, we would repay such loaned amounts. In the event that a Business Combination does not close, we may use a portion of the working capital held outside the Trust Account to repay such loaned amounts, but no proceeds from our Trust Account would be used for such repayment. Up to $1,500,000 of such loans may be convertible into warrants, at a price of $1.00 per warrant unit at the option of the lender. The warrants would be identical to the Private Placement Warrants.</w:t>
      </w:r>
    </w:p>
    <w:p>
      <w:pPr>
        <w:spacing w:after="0" w:line="211"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If our estimate of the costs of identifying a target business, undertaking in-depth due diligence and negotiating a Business Combination are less than the actual amount necessary to do so, we may have insufficient funds available to operate our business prior to our initial Business Combination. Moreover, we may need to obtain additional financing either to complete our Business Combination or because we become obligated to redeem a significant number of our Public Shares upon completion of our Business Combination, in which case we may issue additional securities or incur debt in connection with such Business Combination.</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Off-Balance Sheet Financing Arrangements</w:t>
      </w:r>
    </w:p>
    <w:p>
      <w:pPr>
        <w:spacing w:after="0" w:line="239"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We have no obligations, assets or liabilities, which would be considered off-balance sheet arrangements as of September 30, 2020.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Contractual Obligations</w:t>
      </w:r>
    </w:p>
    <w:p>
      <w:pPr>
        <w:spacing w:after="0" w:line="239"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We do not have any long-term debt, capital lease obligations, operating lease obligations or long-term liabilities, other than an agreement to pay our Sponsor a monthly fee of $20,000 for office space, and administrative and support services, provided to the Company. We began incurring these fees on August 7, 2019 and will continue to incur these fees monthly until the earlier of the completion of a Business Combination and the Company’s liquidation.</w:t>
      </w:r>
    </w:p>
    <w:p>
      <w:pPr>
        <w:spacing w:after="0" w:line="201"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underwriters are entitled to a deferred fee of $0.35 per Unit, or $8,750,000 in the aggregate, which will become payable to the underwriters from the amounts held in the Trust Account solely in the event that we complete a Business Combination, subject to the terms of the underwriting agreement.</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w:t>
      </w:r>
    </w:p>
    <w:p>
      <w:pPr>
        <w:spacing w:after="0" w:line="23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preparation of condensed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identified the following critical accounting policies: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Ordinary Shares Subject to Redemption</w:t>
      </w:r>
    </w:p>
    <w:p>
      <w:pPr>
        <w:spacing w:after="0" w:line="233"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We account for our ordinary shares subject to possible conversion in accordance with the guidance in Accounting Standards Codification (“ASC”) Topic 480 “Distinguishing Liabilities from Equity.” Ordinary shares subject to mandatory redemption are classified as a liability instrument and are measured at fair value. Conditionally redeemable ordinary shares (including ordinary shares that feature redemption rights that are either within the control of the holder or subject to redemption upon the occurrence of uncertain events not solely within our control) are classified as temporary equity. At all other times, ordinary shares are classified as shareholders’ equity. Our ordinary shares feature certain redemption rights that are considered to be outside of our control and subject to occurrence of uncertain future events. Accordingly, ordinary shares subject to possible redemption are presented at redemption value as temporary equity, outside of the shareholders’ equity section of our condensed balance sheets.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Net Loss per Ordinary Share</w:t>
      </w:r>
    </w:p>
    <w:p>
      <w:pPr>
        <w:spacing w:after="0" w:line="233"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We apply the two-class method in calculating earnings per share. Ordinary shares subject to possible redemption which are not currently redeemable and are not redeemable at fair value, have been excluded from the calculation of basic net loss per ordinary share since such shares, if redeemed, only participate in their pro rata share of the Trust Account earnings. Our net income is adjusted for the portion of income that is attributable to ordinary shares subject to redemption, as these shares only participate in the earnings of the Trust Account and not our income or losses.</w:t>
      </w:r>
    </w:p>
    <w:p>
      <w:pPr>
        <w:spacing w:after="0" w:line="20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Management does not believe that any recently issued, but not yet effective, accounting standards, if currently adopted, would have a material effect on our condensed financial statements.</w:t>
      </w:r>
    </w:p>
    <w:p>
      <w:pPr>
        <w:sectPr>
          <w:pgSz w:w="11900" w:h="16838" w:orient="portrait"/>
          <w:cols w:equalWidth="0" w:num="1">
            <w:col w:w="11240"/>
          </w:cols>
          <w:pgMar w:left="320" w:top="121" w:right="339" w:bottom="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25" w:name="page26"/>
    <w:bookmarkEnd w:id="2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4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Following the consummation of our Initial Public Offering, the net proceeds of our Initial Public Offering, including amounts in the Trust Account, have been invested in U.S. government treasury bills, notes or bonds with a maturity of 180 days or less or in certain money market funds that invest solely in US treasuries. Due to the short-term nature of these investments, we believe there will be no associated material exposure to interest rate risk.</w:t>
      </w:r>
    </w:p>
    <w:p>
      <w:pPr>
        <w:spacing w:after="0" w:line="2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49"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and Chief Financial Officer, to allow timely decisions regarding required disclosure.</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Evaluation of Disclosure Controls and Procedures</w:t>
      </w:r>
    </w:p>
    <w:p>
      <w:pPr>
        <w:spacing w:after="0" w:line="233"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As required by Rules 13a-15 and 15d-15 under the Exchange Act, our Chief Executive Officer and Chief Financial Officer carried out an evaluation of the effectiveness of the design and operation of our disclosure controls and procedures as of September 30, 2020. Based upon their evaluation, our Chief Executive Officer and Chief Financial Officer concluded that our disclosure controls and procedures (as defined in Rules 13a-15 (e) and 15d-15 (e) under the Exchange Act) were effective.</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Changes in Internal Control Over Financial Reporting</w:t>
      </w:r>
    </w:p>
    <w:p>
      <w:pPr>
        <w:spacing w:after="0" w:line="233"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During the most recently completed fiscal quarter, there has been no change in our internal control over financial reporting that has materially affected, or is reasonably likely to materially affect, our internal control over financial reporting.</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 - OTHER INFORMATION</w:t>
      </w:r>
    </w:p>
    <w:p>
      <w:pPr>
        <w:spacing w:after="0" w:line="24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49"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Factors that could cause our actual results to differ materially from those in this report include the risk factors described in our Annual Report on Form 10-K for the year ended December 31, 2019 filed with the SEC on March 30, 2020 and our Quarterly Report on Form 10-Q for the quarter ended June 30, 2020 filed with the SEC on August 7, 2020. As of the date of this Report, other than as described in our Quarterly Report on Form 10-Q for the quarter ended June 30, 2020, there have been no material changes to the risk factors disclosed in our Annual Report filed with the SEC.</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49"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 xml:space="preserve">On August 12, 2019, we consummated our Initial Public Offering of 25,000,000 Units, at a price of $10.00 per Unit, generating total gross proceeds of $250,000,000. Credit Suisse acted as the sole book-running manager and I-Bankers Securities, Inc as the Co-Manager. The securities sold in the offering were registered under the Securities Act on registration statements on Form S-1 (No. </w:t>
      </w:r>
      <w:r>
        <w:rPr>
          <w:rFonts w:ascii="Arial" w:cs="Arial" w:eastAsia="Arial" w:hAnsi="Arial"/>
          <w:sz w:val="19"/>
          <w:szCs w:val="19"/>
          <w:u w:val="single" w:color="auto"/>
          <w:color w:val="auto"/>
        </w:rPr>
        <w:t>333-232734)</w:t>
      </w:r>
      <w:r>
        <w:rPr>
          <w:rFonts w:ascii="Arial" w:cs="Arial" w:eastAsia="Arial" w:hAnsi="Arial"/>
          <w:sz w:val="19"/>
          <w:szCs w:val="19"/>
          <w:color w:val="auto"/>
        </w:rPr>
        <w:t>. The SEC declared the registration statements effective on August 7, 2019.</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Simultaneously with the consummation of the Initial Public Offering, we consummated a private placement of 7,000,000 Private Placement Warrants to our Sponsor at a price of $1.00 per Private Placement Warrant, generating total proceeds of $7,000,000. Such securities were issued pursuant to the exemption from registration contained in Section 4(a)(2) of the Securities Act.</w:t>
      </w:r>
    </w:p>
    <w:p>
      <w:pPr>
        <w:spacing w:after="0" w:line="161"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Private Placement Warrants are identical to the warrants underlying the Units sold in the Initial Public Offering except that the Private Placement Warrants are not transferable, assignable or salable until 30 days after the completion of a Business Combination, subject to certain limited exceptions. Additionally, the Private Placement Warrants are exercisable on a cashless basis and are non-redeemable so long as they are held by the initial purchasers or their permitted transferees.</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color w:val="auto"/>
        </w:rPr>
        <w:t>Of the gross proceeds received from the Initial Public Offering, $250,000,000 was placed in the Trust Account.</w:t>
      </w:r>
    </w:p>
    <w:p>
      <w:pPr>
        <w:spacing w:after="0" w:line="233" w:lineRule="exact"/>
        <w:rPr>
          <w:sz w:val="20"/>
          <w:szCs w:val="20"/>
          <w:color w:val="auto"/>
        </w:rPr>
      </w:pPr>
    </w:p>
    <w:p>
      <w:pPr>
        <w:jc w:val="both"/>
        <w:spacing w:after="0"/>
        <w:rPr>
          <w:sz w:val="20"/>
          <w:szCs w:val="20"/>
          <w:color w:val="auto"/>
        </w:rPr>
      </w:pPr>
      <w:r>
        <w:rPr>
          <w:rFonts w:ascii="Arial" w:cs="Arial" w:eastAsia="Arial" w:hAnsi="Arial"/>
          <w:sz w:val="22"/>
          <w:szCs w:val="22"/>
          <w:color w:val="auto"/>
        </w:rPr>
        <w:t>We paid a total of $ 5,000,000 in underwriting discounts and commissions and $663,362 for other offering costs and expenses related to the Initial Public Offering. In addition, the underwriters agreed to defer $8,750,000 in underwriting discounts and commissions.</w:t>
      </w:r>
    </w:p>
    <w:p>
      <w:pPr>
        <w:spacing w:after="0" w:line="213" w:lineRule="exact"/>
        <w:rPr>
          <w:sz w:val="20"/>
          <w:szCs w:val="20"/>
          <w:color w:val="auto"/>
        </w:rPr>
      </w:pPr>
    </w:p>
    <w:p>
      <w:pPr>
        <w:spacing w:after="0"/>
        <w:rPr>
          <w:sz w:val="20"/>
          <w:szCs w:val="20"/>
          <w:color w:val="auto"/>
        </w:rPr>
      </w:pPr>
      <w:r>
        <w:rPr>
          <w:rFonts w:ascii="Arial" w:cs="Arial" w:eastAsia="Arial" w:hAnsi="Arial"/>
          <w:sz w:val="21"/>
          <w:szCs w:val="21"/>
          <w:color w:val="auto"/>
        </w:rPr>
        <w:t>For a description of the use of the proceeds generated in our Initial Public Offering, see Part I, Item 2 of this Form 10-Q.</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The following exhibits are filed as part of, or incorporated by reference into, this Quarterly Report on Form 10-Q.</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No.</w:t>
            </w:r>
          </w:p>
        </w:tc>
        <w:tc>
          <w:tcPr>
            <w:tcW w:w="10000" w:type="dxa"/>
            <w:vAlign w:val="bottom"/>
          </w:tcPr>
          <w:p>
            <w:pPr>
              <w:ind w:left="20"/>
              <w:spacing w:after="0"/>
              <w:rPr>
                <w:sz w:val="20"/>
                <w:szCs w:val="20"/>
                <w:color w:val="auto"/>
              </w:rPr>
            </w:pPr>
            <w:r>
              <w:rPr>
                <w:rFonts w:ascii="Arial" w:cs="Arial" w:eastAsia="Arial" w:hAnsi="Arial"/>
                <w:sz w:val="18"/>
                <w:szCs w:val="18"/>
                <w:b w:val="1"/>
                <w:bCs w:val="1"/>
                <w:color w:val="auto"/>
              </w:rPr>
              <w:t>Description of Exhibit</w:t>
            </w:r>
          </w:p>
        </w:tc>
      </w:tr>
      <w:tr>
        <w:trPr>
          <w:trHeight w:val="202"/>
        </w:trPr>
        <w:tc>
          <w:tcPr>
            <w:tcW w:w="1060" w:type="dxa"/>
            <w:vAlign w:val="bottom"/>
            <w:tcBorders>
              <w:top w:val="single" w:sz="8" w:color="auto"/>
            </w:tcBorders>
            <w:shd w:val="clear" w:color="auto" w:fill="CCEEFF"/>
          </w:tcPr>
          <w:p>
            <w:pPr>
              <w:spacing w:after="0" w:line="201" w:lineRule="exact"/>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31.1*</w:t>
              </w:r>
            </w:hyperlink>
          </w:p>
        </w:tc>
        <w:tc>
          <w:tcPr>
            <w:tcW w:w="180" w:type="dxa"/>
            <w:vAlign w:val="bottom"/>
            <w:tcBorders>
              <w:top w:val="single" w:sz="8" w:color="CCEEFF"/>
            </w:tcBorders>
            <w:shd w:val="clear" w:color="auto" w:fill="CCEEFF"/>
          </w:tcPr>
          <w:p>
            <w:pPr>
              <w:spacing w:after="0"/>
              <w:rPr>
                <w:sz w:val="17"/>
                <w:szCs w:val="17"/>
                <w:color w:val="auto"/>
              </w:rPr>
            </w:pPr>
          </w:p>
        </w:tc>
        <w:tc>
          <w:tcPr>
            <w:tcW w:w="10000" w:type="dxa"/>
            <w:vAlign w:val="bottom"/>
            <w:tcBorders>
              <w:top w:val="single" w:sz="8" w:color="auto"/>
            </w:tcBorders>
            <w:shd w:val="clear" w:color="auto" w:fill="CCEEFF"/>
          </w:tcPr>
          <w:p>
            <w:pPr>
              <w:ind w:left="20"/>
              <w:spacing w:after="0" w:line="201" w:lineRule="exact"/>
              <w:rPr>
                <w:sz w:val="20"/>
                <w:szCs w:val="20"/>
                <w:color w:val="auto"/>
              </w:rPr>
            </w:pPr>
            <w:r>
              <w:rPr>
                <w:rFonts w:ascii="Arial" w:cs="Arial" w:eastAsia="Arial" w:hAnsi="Arial"/>
                <w:sz w:val="18"/>
                <w:szCs w:val="18"/>
                <w:color w:val="auto"/>
                <w:w w:val="91"/>
              </w:rPr>
              <w:t>Certification of Principal Executive Officer Pursuant to Securities Exchange Act Rules 13a-14(a) and 15(d)-14(a), as adopted Pursuant to</w:t>
            </w:r>
          </w:p>
        </w:tc>
      </w:tr>
      <w:tr>
        <w:trPr>
          <w:trHeight w:val="230"/>
        </w:trPr>
        <w:tc>
          <w:tcPr>
            <w:tcW w:w="10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302 of the Sarbanes-Oxley Act of 2002</w:t>
            </w:r>
          </w:p>
        </w:tc>
      </w:tr>
      <w:tr>
        <w:trPr>
          <w:trHeight w:val="202"/>
        </w:trPr>
        <w:tc>
          <w:tcPr>
            <w:tcW w:w="1060" w:type="dxa"/>
            <w:vAlign w:val="bottom"/>
          </w:tcPr>
          <w:p>
            <w:pPr>
              <w:spacing w:after="0" w:line="201" w:lineRule="exact"/>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31.2*</w:t>
              </w:r>
            </w:hyperlink>
          </w:p>
        </w:tc>
        <w:tc>
          <w:tcPr>
            <w:tcW w:w="180" w:type="dxa"/>
            <w:vAlign w:val="bottom"/>
          </w:tcPr>
          <w:p>
            <w:pPr>
              <w:spacing w:after="0"/>
              <w:rPr>
                <w:sz w:val="17"/>
                <w:szCs w:val="17"/>
                <w:color w:val="auto"/>
              </w:rPr>
            </w:pPr>
          </w:p>
        </w:tc>
        <w:tc>
          <w:tcPr>
            <w:tcW w:w="10000" w:type="dxa"/>
            <w:vAlign w:val="bottom"/>
          </w:tcPr>
          <w:p>
            <w:pPr>
              <w:ind w:left="20"/>
              <w:spacing w:after="0" w:line="201" w:lineRule="exact"/>
              <w:rPr>
                <w:sz w:val="20"/>
                <w:szCs w:val="20"/>
                <w:color w:val="auto"/>
              </w:rPr>
            </w:pPr>
            <w:r>
              <w:rPr>
                <w:rFonts w:ascii="Arial" w:cs="Arial" w:eastAsia="Arial" w:hAnsi="Arial"/>
                <w:sz w:val="18"/>
                <w:szCs w:val="18"/>
                <w:color w:val="auto"/>
                <w:w w:val="92"/>
              </w:rPr>
              <w:t>Certification of Principal Financial Officer Pursuant to Securities Exchange Act Rules 13a-14(a) and 15(d)-14(a), as adopted Pursuant to</w:t>
            </w:r>
          </w:p>
        </w:tc>
      </w:tr>
      <w:tr>
        <w:trPr>
          <w:trHeight w:val="230"/>
        </w:trPr>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rPr>
              <w:t>Section 302 of the Sarbanes-Oxley Act of 2002</w:t>
            </w:r>
          </w:p>
        </w:tc>
      </w:tr>
      <w:tr>
        <w:trPr>
          <w:trHeight w:val="202"/>
        </w:trPr>
        <w:tc>
          <w:tcPr>
            <w:tcW w:w="1060" w:type="dxa"/>
            <w:vAlign w:val="bottom"/>
            <w:shd w:val="clear" w:color="auto" w:fill="CCEEFF"/>
          </w:tcPr>
          <w:p>
            <w:pPr>
              <w:spacing w:after="0" w:line="201" w:lineRule="exact"/>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32.1**</w:t>
              </w:r>
            </w:hyperlink>
          </w:p>
        </w:tc>
        <w:tc>
          <w:tcPr>
            <w:tcW w:w="180" w:type="dxa"/>
            <w:vAlign w:val="bottom"/>
            <w:shd w:val="clear" w:color="auto" w:fill="CCEEFF"/>
          </w:tcPr>
          <w:p>
            <w:pPr>
              <w:spacing w:after="0"/>
              <w:rPr>
                <w:sz w:val="17"/>
                <w:szCs w:val="17"/>
                <w:color w:val="auto"/>
              </w:rPr>
            </w:pPr>
          </w:p>
        </w:tc>
        <w:tc>
          <w:tcPr>
            <w:tcW w:w="100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4"/>
              </w:rPr>
              <w:t>Certification of Principal Executive Officer Pursuant to 18 U.S.C. Section 1350, as adopted Pursuant to Section 906 of the Sarbanes-</w:t>
            </w:r>
          </w:p>
        </w:tc>
      </w:tr>
      <w:tr>
        <w:trPr>
          <w:trHeight w:val="230"/>
        </w:trPr>
        <w:tc>
          <w:tcPr>
            <w:tcW w:w="10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Oxley Act of 2002</w:t>
            </w:r>
          </w:p>
        </w:tc>
      </w:tr>
      <w:tr>
        <w:trPr>
          <w:trHeight w:val="202"/>
        </w:trPr>
        <w:tc>
          <w:tcPr>
            <w:tcW w:w="1060" w:type="dxa"/>
            <w:vAlign w:val="bottom"/>
          </w:tcPr>
          <w:p>
            <w:pPr>
              <w:spacing w:after="0" w:line="201" w:lineRule="exact"/>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32.2**</w:t>
              </w:r>
            </w:hyperlink>
          </w:p>
        </w:tc>
        <w:tc>
          <w:tcPr>
            <w:tcW w:w="180" w:type="dxa"/>
            <w:vAlign w:val="bottom"/>
          </w:tcPr>
          <w:p>
            <w:pPr>
              <w:spacing w:after="0"/>
              <w:rPr>
                <w:sz w:val="17"/>
                <w:szCs w:val="17"/>
                <w:color w:val="auto"/>
              </w:rPr>
            </w:pPr>
          </w:p>
        </w:tc>
        <w:tc>
          <w:tcPr>
            <w:tcW w:w="10000" w:type="dxa"/>
            <w:vAlign w:val="bottom"/>
          </w:tcPr>
          <w:p>
            <w:pPr>
              <w:ind w:left="20"/>
              <w:spacing w:after="0" w:line="201" w:lineRule="exact"/>
              <w:rPr>
                <w:sz w:val="20"/>
                <w:szCs w:val="20"/>
                <w:color w:val="auto"/>
              </w:rPr>
            </w:pPr>
            <w:r>
              <w:rPr>
                <w:rFonts w:ascii="Arial" w:cs="Arial" w:eastAsia="Arial" w:hAnsi="Arial"/>
                <w:sz w:val="18"/>
                <w:szCs w:val="18"/>
                <w:color w:val="auto"/>
                <w:w w:val="90"/>
              </w:rPr>
              <w:t>Certification of Principal Financial Officer Pursuant to 18 U.S.C. Section 1350, as adopted Pursuant to Section 906 of the Sarbanes-Oxley</w:t>
            </w:r>
          </w:p>
        </w:tc>
      </w:tr>
      <w:tr>
        <w:trPr>
          <w:trHeight w:val="230"/>
        </w:trPr>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rPr>
              <w:t>Act of 2002</w:t>
            </w:r>
          </w:p>
        </w:tc>
      </w:tr>
      <w:tr>
        <w:trPr>
          <w:trHeight w:val="216"/>
        </w:trPr>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101.INS*</w:t>
            </w:r>
          </w:p>
        </w:tc>
        <w:tc>
          <w:tcPr>
            <w:tcW w:w="10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XBRL Instance Document</w:t>
            </w: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000" w:type="dxa"/>
            <w:vAlign w:val="bottom"/>
          </w:tcPr>
          <w:p>
            <w:pPr>
              <w:ind w:left="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101.SCH*</w:t>
            </w:r>
          </w:p>
        </w:tc>
        <w:tc>
          <w:tcPr>
            <w:tcW w:w="10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000" w:type="dxa"/>
            <w:vAlign w:val="bottom"/>
          </w:tcPr>
          <w:p>
            <w:pPr>
              <w:ind w:left="20"/>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101.LAB*</w:t>
            </w:r>
          </w:p>
        </w:tc>
        <w:tc>
          <w:tcPr>
            <w:tcW w:w="10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XBRL Taxonomy Extension Labels Linkbase Document</w:t>
            </w:r>
          </w:p>
        </w:tc>
      </w:tr>
      <w:tr>
        <w:trPr>
          <w:trHeight w:val="230"/>
        </w:trPr>
        <w:tc>
          <w:tcPr>
            <w:tcW w:w="12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000" w:type="dxa"/>
            <w:vAlign w:val="bottom"/>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14"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Furnished.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Securities Exchange Act of 1934, the registrant has duly caused this report to be signed on its behalf by the undersigned, thereunto duly authorized.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Date: November 13,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Date: November 13, 2020</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SILVER SPIKE ACQUISITION CORP.</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 Scott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14605</wp:posOffset>
            </wp:positionV>
            <wp:extent cx="32061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Scott Gordon</w:t>
      </w:r>
    </w:p>
    <w:p>
      <w:pPr>
        <w:spacing w:after="0" w:line="23"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 Gregory Gentile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14605</wp:posOffset>
            </wp:positionV>
            <wp:extent cx="32061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Gregory Gentile</w:t>
      </w:r>
    </w:p>
    <w:p>
      <w:pPr>
        <w:spacing w:after="0" w:line="23"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9" w:lineRule="exact"/>
        <w:rPr>
          <w:sz w:val="20"/>
          <w:szCs w:val="20"/>
          <w:color w:val="auto"/>
        </w:rPr>
      </w:pPr>
    </w:p>
    <w:p>
      <w:pPr>
        <w:jc w:val="right"/>
        <w:ind w:right="194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ectPr>
          <w:pgSz w:w="11900" w:h="16838" w:orient="portrait"/>
          <w:cols w:equalWidth="0" w:num="2">
            <w:col w:w="4920" w:space="720"/>
            <w:col w:w="5600"/>
          </w:cols>
          <w:pgMar w:left="320" w:top="121" w:right="339" w:bottom="1440" w:gutter="0" w:footer="0" w:header="0"/>
          <w:type w:val="continuous"/>
        </w:sect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I, Scott Gordon, certify that:</w:t>
      </w:r>
    </w:p>
    <w:p>
      <w:pPr>
        <w:spacing w:after="0" w:line="240"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Silver Spike Acquisition Corp.;</w:t>
      </w:r>
    </w:p>
    <w:p>
      <w:pPr>
        <w:spacing w:after="0" w:line="252"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30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97" w:lineRule="exact"/>
        <w:rPr>
          <w:rFonts w:ascii="Arial" w:cs="Arial" w:eastAsia="Arial" w:hAnsi="Arial"/>
          <w:sz w:val="18"/>
          <w:szCs w:val="18"/>
          <w:color w:val="auto"/>
        </w:rPr>
      </w:pPr>
    </w:p>
    <w:p>
      <w:pPr>
        <w:ind w:left="980" w:right="60" w:hanging="324"/>
        <w:spacing w:after="0" w:line="263"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980" w:hanging="324"/>
        <w:spacing w:after="0"/>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252" w:lineRule="exact"/>
        <w:rPr>
          <w:rFonts w:ascii="Arial" w:cs="Arial" w:eastAsia="Arial" w:hAnsi="Arial"/>
          <w:sz w:val="18"/>
          <w:szCs w:val="18"/>
          <w:color w:val="auto"/>
        </w:rPr>
      </w:pPr>
    </w:p>
    <w:p>
      <w:pPr>
        <w:jc w:val="both"/>
        <w:ind w:left="980" w:right="540" w:hanging="324"/>
        <w:spacing w:after="0" w:line="342" w:lineRule="auto"/>
        <w:tabs>
          <w:tab w:leader="none" w:pos="98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980" w:right="40" w:hanging="324"/>
        <w:spacing w:after="0" w:line="263"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right="780" w:hanging="324"/>
        <w:spacing w:after="0" w:line="342" w:lineRule="auto"/>
        <w:rPr>
          <w:rFonts w:ascii="Arial" w:cs="Arial" w:eastAsia="Arial" w:hAnsi="Arial"/>
          <w:sz w:val="17"/>
          <w:szCs w:val="17"/>
          <w:color w:val="auto"/>
        </w:rPr>
      </w:pPr>
      <w:r>
        <w:rPr>
          <w:rFonts w:ascii="Arial" w:cs="Arial" w:eastAsia="Arial" w:hAnsi="Arial"/>
          <w:sz w:val="16"/>
          <w:szCs w:val="16"/>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7"/>
          <w:szCs w:val="17"/>
          <w:color w:val="auto"/>
        </w:rPr>
      </w:pPr>
    </w:p>
    <w:p>
      <w:pPr>
        <w:ind w:left="980" w:right="460" w:hanging="324"/>
        <w:spacing w:after="0" w:line="277" w:lineRule="auto"/>
        <w:rPr>
          <w:rFonts w:ascii="Arial" w:cs="Arial" w:eastAsia="Arial" w:hAnsi="Arial"/>
          <w:sz w:val="17"/>
          <w:szCs w:val="17"/>
          <w:color w:val="auto"/>
        </w:rPr>
      </w:pPr>
      <w:r>
        <w:rPr>
          <w:rFonts w:ascii="Arial" w:cs="Arial" w:eastAsia="Arial" w:hAnsi="Arial"/>
          <w:sz w:val="18"/>
          <w:szCs w:val="18"/>
          <w:color w:val="auto"/>
        </w:rPr>
        <w:t>(b) 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620" w:val="left"/>
          <w:tab w:leader="none" w:pos="6180" w:val="left"/>
        </w:tabs>
        <w:rPr>
          <w:sz w:val="20"/>
          <w:szCs w:val="20"/>
          <w:color w:val="auto"/>
        </w:rPr>
      </w:pPr>
      <w:r>
        <w:rPr>
          <w:rFonts w:ascii="Arial" w:cs="Arial" w:eastAsia="Arial" w:hAnsi="Arial"/>
          <w:sz w:val="18"/>
          <w:szCs w:val="18"/>
          <w:color w:val="auto"/>
        </w:rPr>
        <w:t>Date: November 13,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Scott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319722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197225" cy="17145"/>
                    </a:xfrm>
                    <a:prstGeom prst="rect">
                      <a:avLst/>
                    </a:prstGeom>
                    <a:noFill/>
                  </pic:spPr>
                </pic:pic>
              </a:graphicData>
            </a:graphic>
          </wp:anchor>
        </w:drawing>
      </w:r>
    </w:p>
    <w:p>
      <w:pPr>
        <w:spacing w:after="0" w:line="1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Scott Gordon</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I, Gregory Gentile, certify that:</w:t>
      </w:r>
    </w:p>
    <w:p>
      <w:pPr>
        <w:spacing w:after="0" w:line="240"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Silver Spike Acquisition Corp.;</w:t>
      </w:r>
    </w:p>
    <w:p>
      <w:pPr>
        <w:spacing w:after="0" w:line="252"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30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97" w:lineRule="exact"/>
        <w:rPr>
          <w:rFonts w:ascii="Arial" w:cs="Arial" w:eastAsia="Arial" w:hAnsi="Arial"/>
          <w:sz w:val="18"/>
          <w:szCs w:val="18"/>
          <w:color w:val="auto"/>
        </w:rPr>
      </w:pPr>
    </w:p>
    <w:p>
      <w:pPr>
        <w:ind w:left="980" w:right="60" w:hanging="324"/>
        <w:spacing w:after="0" w:line="263"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980" w:hanging="324"/>
        <w:spacing w:after="0"/>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252" w:lineRule="exact"/>
        <w:rPr>
          <w:rFonts w:ascii="Arial" w:cs="Arial" w:eastAsia="Arial" w:hAnsi="Arial"/>
          <w:sz w:val="18"/>
          <w:szCs w:val="18"/>
          <w:color w:val="auto"/>
        </w:rPr>
      </w:pPr>
    </w:p>
    <w:p>
      <w:pPr>
        <w:jc w:val="both"/>
        <w:ind w:left="980" w:right="540" w:hanging="324"/>
        <w:spacing w:after="0" w:line="342" w:lineRule="auto"/>
        <w:tabs>
          <w:tab w:leader="none" w:pos="98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980" w:right="40" w:hanging="324"/>
        <w:spacing w:after="0" w:line="263"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right="780" w:hanging="324"/>
        <w:spacing w:after="0" w:line="342" w:lineRule="auto"/>
        <w:rPr>
          <w:rFonts w:ascii="Arial" w:cs="Arial" w:eastAsia="Arial" w:hAnsi="Arial"/>
          <w:sz w:val="17"/>
          <w:szCs w:val="17"/>
          <w:color w:val="auto"/>
        </w:rPr>
      </w:pPr>
      <w:r>
        <w:rPr>
          <w:rFonts w:ascii="Arial" w:cs="Arial" w:eastAsia="Arial" w:hAnsi="Arial"/>
          <w:sz w:val="16"/>
          <w:szCs w:val="16"/>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7"/>
          <w:szCs w:val="17"/>
          <w:color w:val="auto"/>
        </w:rPr>
      </w:pPr>
    </w:p>
    <w:p>
      <w:pPr>
        <w:ind w:left="980" w:right="460" w:hanging="324"/>
        <w:spacing w:after="0" w:line="277" w:lineRule="auto"/>
        <w:rPr>
          <w:rFonts w:ascii="Arial" w:cs="Arial" w:eastAsia="Arial" w:hAnsi="Arial"/>
          <w:sz w:val="17"/>
          <w:szCs w:val="17"/>
          <w:color w:val="auto"/>
        </w:rPr>
      </w:pPr>
      <w:r>
        <w:rPr>
          <w:rFonts w:ascii="Arial" w:cs="Arial" w:eastAsia="Arial" w:hAnsi="Arial"/>
          <w:sz w:val="18"/>
          <w:szCs w:val="18"/>
          <w:color w:val="auto"/>
        </w:rPr>
        <w:t>(b) 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620" w:val="left"/>
          <w:tab w:leader="none" w:pos="6180" w:val="left"/>
        </w:tabs>
        <w:rPr>
          <w:sz w:val="20"/>
          <w:szCs w:val="20"/>
          <w:color w:val="auto"/>
        </w:rPr>
      </w:pPr>
      <w:r>
        <w:rPr>
          <w:rFonts w:ascii="Arial" w:cs="Arial" w:eastAsia="Arial" w:hAnsi="Arial"/>
          <w:sz w:val="18"/>
          <w:szCs w:val="18"/>
          <w:color w:val="auto"/>
        </w:rPr>
        <w:t>Date: November 13,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Gregory Gentile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319722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197225" cy="17145"/>
                    </a:xfrm>
                    <a:prstGeom prst="rect">
                      <a:avLst/>
                    </a:prstGeom>
                    <a:noFill/>
                  </pic:spPr>
                </pic:pic>
              </a:graphicData>
            </a:graphic>
          </wp:anchor>
        </w:drawing>
      </w:r>
    </w:p>
    <w:p>
      <w:pPr>
        <w:spacing w:after="0" w:line="1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Gregory Gentile</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18 U.S.C. SECTION 1350,</w:t>
      </w:r>
    </w:p>
    <w:p>
      <w:pPr>
        <w:jc w:val="center"/>
        <w:spacing w:after="0" w:line="230" w:lineRule="auto"/>
        <w:rPr>
          <w:sz w:val="20"/>
          <w:szCs w:val="20"/>
          <w:color w:val="auto"/>
        </w:rPr>
      </w:pPr>
      <w:r>
        <w:rPr>
          <w:rFonts w:ascii="Arial" w:cs="Arial" w:eastAsia="Arial" w:hAnsi="Arial"/>
          <w:sz w:val="22"/>
          <w:szCs w:val="22"/>
          <w:b w:val="1"/>
          <w:bCs w:val="1"/>
          <w:color w:val="auto"/>
        </w:rPr>
        <w:t>AS ADDED BY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1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 connection with the Quarterly Report of Silver Spike Acquisition Corp. (the “Company”) on Form 10-Q for the quarterly period ended September 30, 2020, as filed with the Securities and Exchange Commission (the “Report”), I, Scott Gordon, Chief Executive Officer of the Company, certify, pursuant to 18 U.S.C. §1350, as added by §906 of the Sarbanes-Oxley Act of 2002, that:</w:t>
      </w:r>
    </w:p>
    <w:p>
      <w:pPr>
        <w:spacing w:after="0" w:line="219"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97" w:lineRule="exact"/>
        <w:rPr>
          <w:sz w:val="20"/>
          <w:szCs w:val="20"/>
          <w:color w:val="auto"/>
        </w:rPr>
      </w:pPr>
    </w:p>
    <w:p>
      <w:pPr>
        <w:spacing w:after="0"/>
        <w:tabs>
          <w:tab w:leader="none" w:pos="5260" w:val="left"/>
        </w:tabs>
        <w:rPr>
          <w:sz w:val="20"/>
          <w:szCs w:val="20"/>
          <w:color w:val="auto"/>
        </w:rPr>
      </w:pPr>
      <w:r>
        <w:rPr>
          <w:rFonts w:ascii="Arial" w:cs="Arial" w:eastAsia="Arial" w:hAnsi="Arial"/>
          <w:sz w:val="18"/>
          <w:szCs w:val="18"/>
          <w:color w:val="auto"/>
        </w:rPr>
        <w:t>Date: November 13, 2020</w:t>
      </w:r>
      <w:r>
        <w:rPr>
          <w:sz w:val="20"/>
          <w:szCs w:val="20"/>
          <w:color w:val="auto"/>
        </w:rPr>
        <w:tab/>
      </w:r>
      <w:r>
        <w:rPr>
          <w:rFonts w:ascii="Arial" w:cs="Arial" w:eastAsia="Arial" w:hAnsi="Arial"/>
          <w:sz w:val="17"/>
          <w:szCs w:val="17"/>
          <w:color w:val="auto"/>
        </w:rPr>
        <w:t>By: /s/ Scott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14605</wp:posOffset>
            </wp:positionV>
            <wp:extent cx="35490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549015" cy="17145"/>
                    </a:xfrm>
                    <a:prstGeom prst="rect">
                      <a:avLst/>
                    </a:prstGeom>
                    <a:noFill/>
                  </pic:spPr>
                </pic:pic>
              </a:graphicData>
            </a:graphic>
          </wp:anchor>
        </w:drawing>
      </w:r>
    </w:p>
    <w:p>
      <w:pPr>
        <w:spacing w:after="0" w:line="1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Scott Gordon</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31" w:name="page32"/>
    <w:bookmarkEnd w:id="31"/>
    <w:p>
      <w:pPr>
        <w:ind w:left="1012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18 U.S.C. SECTION 1350,</w:t>
      </w:r>
    </w:p>
    <w:p>
      <w:pPr>
        <w:jc w:val="center"/>
        <w:spacing w:after="0" w:line="230" w:lineRule="auto"/>
        <w:rPr>
          <w:sz w:val="20"/>
          <w:szCs w:val="20"/>
          <w:color w:val="auto"/>
        </w:rPr>
      </w:pPr>
      <w:r>
        <w:rPr>
          <w:rFonts w:ascii="Arial" w:cs="Arial" w:eastAsia="Arial" w:hAnsi="Arial"/>
          <w:sz w:val="22"/>
          <w:szCs w:val="22"/>
          <w:b w:val="1"/>
          <w:bCs w:val="1"/>
          <w:color w:val="auto"/>
        </w:rPr>
        <w:t>AS ADDED BY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1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 connection with the Quarterly Report of Silver Spike Acquisition Corp. (the “Company”) on Form 10-Q for the quarterly period ended September 30, 2020, as filed with the Securities and Exchange Commission (the “Report”), I, Gregory Gentile, Chief Financial Officer of the Company, certify, pursuant to 18 U.S.C. §1350, as added by §906 of the Sarbanes-Oxley Act of 2002, that:</w:t>
      </w:r>
    </w:p>
    <w:p>
      <w:pPr>
        <w:spacing w:after="0" w:line="219"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97" w:lineRule="exact"/>
        <w:rPr>
          <w:sz w:val="20"/>
          <w:szCs w:val="20"/>
          <w:color w:val="auto"/>
        </w:rPr>
      </w:pPr>
    </w:p>
    <w:p>
      <w:pPr>
        <w:spacing w:after="0"/>
        <w:tabs>
          <w:tab w:leader="none" w:pos="5260" w:val="left"/>
        </w:tabs>
        <w:rPr>
          <w:sz w:val="20"/>
          <w:szCs w:val="20"/>
          <w:color w:val="auto"/>
        </w:rPr>
      </w:pPr>
      <w:r>
        <w:rPr>
          <w:rFonts w:ascii="Arial" w:cs="Arial" w:eastAsia="Arial" w:hAnsi="Arial"/>
          <w:sz w:val="18"/>
          <w:szCs w:val="18"/>
          <w:color w:val="auto"/>
        </w:rPr>
        <w:t>Date: November 13, 2020</w:t>
      </w:r>
      <w:r>
        <w:rPr>
          <w:sz w:val="20"/>
          <w:szCs w:val="20"/>
          <w:color w:val="auto"/>
        </w:rPr>
        <w:tab/>
      </w:r>
      <w:r>
        <w:rPr>
          <w:rFonts w:ascii="Arial" w:cs="Arial" w:eastAsia="Arial" w:hAnsi="Arial"/>
          <w:sz w:val="17"/>
          <w:szCs w:val="17"/>
          <w:color w:val="auto"/>
        </w:rPr>
        <w:t>By: /s/ Gregory Gentile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14605</wp:posOffset>
            </wp:positionV>
            <wp:extent cx="35490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549015" cy="17145"/>
                    </a:xfrm>
                    <a:prstGeom prst="rect">
                      <a:avLst/>
                    </a:prstGeom>
                    <a:noFill/>
                  </pic:spPr>
                </pic:pic>
              </a:graphicData>
            </a:graphic>
          </wp:anchor>
        </w:drawing>
      </w:r>
    </w:p>
    <w:p>
      <w:pPr>
        <w:spacing w:after="0" w:line="1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Gregory Gentile</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upperLetter"/>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2020-11-13T16:27:23Z</dcterms:created>
  <dcterms:modified xsi:type="dcterms:W3CDTF">2020-11-13T16:27:23Z</dcterms:modified>
</cp:coreProperties>
</file>