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in Principle</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the second quarter of 2022, the Board received an internal complaint regarding the calculation, definition and reporting of the Company’s monthly active users (“MAUs”) metric. In response, the Board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accounting principles generally accepted in the United States of America (“GAAP”) or the reporting or disclosure of any currently disclosed non-GAAP financial metric. As also previously reported, in the third quarter of 2022, the Company determined not to report MAUs going forward. In August 2022, the Board determined to voluntarily report the internal complaint and subsequent internal investigation to the SEC, following which the SEC’s Division of Enforcement commenced an investigation. The Company has been fully cooperating with that investigation.</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22, 2024, the Company reached an agreement in principle with the SEC staff to resolve the SEC staff’s investigation with respect to the Company. Under the terms of the settlement, the Company would consent,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would pay a civil money penalty of $1,500,000. This agreement is subject to mutual agreement on the language of the settlement documents and then approval by the SEC. Accordingly, there can be no assurance that the settlement will be consummated or approved on the terms set forth above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25,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2024-07-25T16:07:55Z</dcterms:created>
  <dcterms:modified xsi:type="dcterms:W3CDTF">2024-07-25T16:07:55Z</dcterms:modified>
</cp:coreProperties>
</file>