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(Mark One)</w:t>
      </w:r>
    </w:p>
    <w:p>
      <w:pPr>
        <w:spacing w:after="0" w:line="23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the quarterly period ended March 31, 2021</w:t>
      </w: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21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5" w:lineRule="exact"/>
        <w:rPr>
          <w:sz w:val="24"/>
          <w:szCs w:val="24"/>
          <w:color w:val="auto"/>
        </w:rPr>
      </w:pPr>
    </w:p>
    <w:p>
      <w:pPr>
        <w:spacing w:after="0"/>
        <w:tabs>
          <w:tab w:leader="none" w:pos="3800" w:val="left"/>
          <w:tab w:leader="none" w:pos="49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21"/>
          <w:szCs w:val="21"/>
          <w:b w:val="1"/>
          <w:bCs w:val="1"/>
          <w:color w:val="auto"/>
        </w:rPr>
        <w:t>.</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001-39021</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535" w:right="339" w:bottom="0" w:gutter="0" w:footer="0" w:header="0"/>
        </w:sectPr>
      </w:pPr>
    </w:p>
    <w:p>
      <w:pPr>
        <w:spacing w:after="0" w:line="21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220"/>
          </w:cols>
          <w:pgMar w:left="320" w:top="535" w:right="3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660 Madison Ave Ste 1600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New York 10065</w:t>
      </w:r>
    </w:p>
    <w:p>
      <w:pPr>
        <w:jc w:val="center"/>
        <w:spacing w:after="0"/>
        <w:rPr>
          <w:sz w:val="20"/>
          <w:szCs w:val="20"/>
          <w:color w:val="auto"/>
        </w:rPr>
      </w:pPr>
      <w:r>
        <w:rPr>
          <w:rFonts w:ascii="Arial" w:cs="Arial" w:eastAsia="Arial" w:hAnsi="Arial"/>
          <w:sz w:val="22"/>
          <w:szCs w:val="22"/>
          <w:color w:val="auto"/>
        </w:rPr>
        <w:t>(Address of principal executive offices, including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905-4923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former address and former fiscal year, if changed since last report)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SSPK</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Redeemable warrants, each whole warrant</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SSPKW</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 for one Class A ordinary share at an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Units, each consisting of one Class A ordinary</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SSPKU</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and one-half of one redeemable warrant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ind w:right="10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ind w:right="2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5" w:right="339" w:bottom="0" w:gutter="0" w:footer="0" w:header="0"/>
          <w:type w:val="continuous"/>
        </w:sectPr>
      </w:pPr>
    </w:p>
    <w:p>
      <w:pPr>
        <w:spacing w:after="0" w:line="1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right="700"/>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right="700"/>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484" w:lineRule="exact"/>
        <w:rPr>
          <w:sz w:val="24"/>
          <w:szCs w:val="24"/>
          <w:color w:val="auto"/>
        </w:rPr>
      </w:pPr>
    </w:p>
    <w:p>
      <w:pPr>
        <w:sectPr>
          <w:pgSz w:w="11900" w:h="16838" w:orient="portrait"/>
          <w:cols w:equalWidth="0" w:num="6">
            <w:col w:w="160" w:space="220"/>
            <w:col w:w="2660" w:space="720"/>
            <w:col w:w="160" w:space="200"/>
            <w:col w:w="2680" w:space="720"/>
            <w:col w:w="160" w:space="180"/>
            <w:col w:w="3380"/>
          </w:cols>
          <w:pgMar w:left="320" w:top="535" w:right="339" w:bottom="0" w:gutter="0" w:footer="0" w:header="0"/>
          <w:type w:val="continuous"/>
        </w:sect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As of May 11, 2021, there were 24,998,575 Class A ordinary shares, $0.0001 par value per share, and 6,250,000 Class B ordinary shares, $0.0001 par value per share, issued and outstanding.</w:t>
      </w:r>
    </w:p>
    <w:p>
      <w:pPr>
        <w:sectPr>
          <w:pgSz w:w="11900" w:h="16838" w:orient="portrait"/>
          <w:cols w:equalWidth="0" w:num="1">
            <w:col w:w="11240"/>
          </w:cols>
          <w:pgMar w:left="320" w:top="535" w:right="339" w:bottom="0" w:gutter="0" w:footer="0" w:header="0"/>
          <w:type w:val="continuous"/>
        </w:sectPr>
      </w:pPr>
    </w:p>
    <w:bookmarkStart w:id="1" w:name="page2"/>
    <w:bookmarkEnd w:id="1"/>
    <w:p>
      <w:pPr>
        <w:spacing w:after="0" w:line="25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10120" w:type="dxa"/>
            <w:vAlign w:val="bottom"/>
            <w:gridSpan w:val="21"/>
          </w:tcPr>
          <w:p>
            <w:pPr>
              <w:spacing w:after="0"/>
              <w:rPr>
                <w:sz w:val="20"/>
                <w:szCs w:val="20"/>
                <w:color w:val="auto"/>
              </w:rPr>
            </w:pPr>
            <w:r>
              <w:rPr>
                <w:rFonts w:ascii="Arial" w:cs="Arial" w:eastAsia="Arial" w:hAnsi="Arial"/>
                <w:sz w:val="18"/>
                <w:szCs w:val="18"/>
                <w:b w:val="1"/>
                <w:bCs w:val="1"/>
                <w:color w:val="auto"/>
              </w:rPr>
              <w:t>PART 1 – FINANCIAL INFORMATION</w:t>
            </w:r>
          </w:p>
        </w:tc>
        <w:tc>
          <w:tcPr>
            <w:tcW w:w="11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2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1</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2021 (unaudited) and December 31, 2019</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for the Three Months Ended March 31, 2020 (unaudited) and for the Three Months</w:t>
              </w:r>
            </w:hyperlink>
          </w:p>
        </w:tc>
        <w:tc>
          <w:tcPr>
            <w:tcW w:w="360" w:type="dxa"/>
            <w:vAlign w:val="bottom"/>
            <w:tcBorders>
              <w:bottom w:val="single" w:sz="8" w:color="CCEEFF"/>
            </w:tcBorders>
            <w:gridSpan w:val="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920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March 31, 2020 (unaudited)</w:t>
              </w:r>
            </w:hyperlink>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1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Changes in Shareholders’ Equity for the Three Months Ended March 31, 2021 (unaudited) and for</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9200" w:type="dxa"/>
            <w:vAlign w:val="bottom"/>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2020 (unaudited)</w:t>
              </w:r>
            </w:hyperlink>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Three Months Ended March 31, 2021 (unaudited) and for the Three Months</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9200" w:type="dxa"/>
            <w:vAlign w:val="bottom"/>
            <w:gridSpan w:val="20"/>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March 31, 2020 (unaudited)</w:t>
              </w:r>
            </w:hyperlink>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 and Procedures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1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FINANCIAL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43"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spacing w:after="0"/>
              <w:rPr>
                <w:sz w:val="20"/>
                <w:szCs w:val="20"/>
                <w:color w:val="auto"/>
              </w:rPr>
            </w:pPr>
          </w:p>
        </w:tc>
        <w:tc>
          <w:tcPr>
            <w:tcW w:w="1420" w:type="dxa"/>
            <w:vAlign w:val="bottom"/>
            <w:gridSpan w:val="5"/>
          </w:tcPr>
          <w:p>
            <w:pPr>
              <w:ind w:left="100"/>
              <w:spacing w:after="0"/>
              <w:rPr>
                <w:sz w:val="20"/>
                <w:szCs w:val="20"/>
                <w:color w:val="auto"/>
              </w:rPr>
            </w:pPr>
            <w:r>
              <w:rPr>
                <w:rFonts w:ascii="Arial" w:cs="Arial" w:eastAsia="Arial" w:hAnsi="Arial"/>
                <w:sz w:val="18"/>
                <w:szCs w:val="18"/>
                <w:b w:val="1"/>
                <w:bCs w:val="1"/>
                <w:color w:val="auto"/>
              </w:rPr>
              <w:t>March 31,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34"/>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312,707</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101,730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30,833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202,338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254,202,898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254,187,706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254,405,236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254,531,246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3,549,523</w:t>
            </w:r>
          </w:p>
        </w:tc>
        <w:tc>
          <w:tcPr>
            <w:tcW w:w="1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3,152,970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promissory note</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3,749,523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3,152,970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63,680,000</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154,399,523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75,582,970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ordinary shares subject to possible redemption, 9,342,960 and 17,108,250 shares at redemption value at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95,005,712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173,948,273</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8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200,000,000 shares authorized; 15,655,615 and 7,891,750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40"/>
              <w:spacing w:after="0"/>
              <w:rPr>
                <w:sz w:val="20"/>
                <w:szCs w:val="20"/>
                <w:color w:val="auto"/>
              </w:rPr>
            </w:pPr>
            <w:r>
              <w:rPr>
                <w:rFonts w:ascii="Arial" w:cs="Arial" w:eastAsia="Arial" w:hAnsi="Arial"/>
                <w:sz w:val="18"/>
                <w:szCs w:val="18"/>
                <w:color w:val="auto"/>
                <w:w w:val="91"/>
              </w:rPr>
              <w:t>issued and outstanding (excluding 9,342,960 and 17,108,250 shares subject to possible redemption) at March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31, 2021 and December 31, 2020,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Class B ordinary shares, $0.0001 par value; 20,000,000 shares authorized; 6,250,000 shares issued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March 31, 2021 and December 31, 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130,948,287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52,020,992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(125,950,477)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(47,022,403)</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5,000,001</w:t>
            </w:r>
          </w:p>
        </w:tc>
        <w:tc>
          <w:tcPr>
            <w:tcW w:w="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254,405,236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254,531,246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737,755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(737,755)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(457,616)</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(78,220,000)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 on marketable securities held in Trust Account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932,037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1,152,686</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(78,190,319)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2,279,723</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(78,928,074)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1,822,107</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 subject to redemption</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17,108,013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22,424,313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 redemption</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14,141,750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8,825,687</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SHAREHOLDERS’ EQUITY</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8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8"/>
                <w:szCs w:val="18"/>
                <w:b w:val="1"/>
                <w:bCs w:val="1"/>
                <w:color w:val="auto"/>
              </w:rPr>
              <w:t>Class A Ordinary</w:t>
            </w:r>
          </w:p>
        </w:tc>
        <w:tc>
          <w:tcPr>
            <w:tcW w:w="2500" w:type="dxa"/>
            <w:vAlign w:val="bottom"/>
            <w:gridSpan w:val="5"/>
          </w:tcPr>
          <w:p>
            <w:pPr>
              <w:ind w:left="520"/>
              <w:spacing w:after="0"/>
              <w:rPr>
                <w:sz w:val="20"/>
                <w:szCs w:val="20"/>
                <w:color w:val="auto"/>
              </w:rPr>
            </w:pPr>
            <w:r>
              <w:rPr>
                <w:rFonts w:ascii="Arial" w:cs="Arial" w:eastAsia="Arial" w:hAnsi="Arial"/>
                <w:sz w:val="18"/>
                <w:szCs w:val="18"/>
                <w:b w:val="1"/>
                <w:bCs w:val="1"/>
                <w:color w:val="auto"/>
              </w:rPr>
              <w:t>Class B Ordinary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0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Paid-in Capital</w:t>
            </w:r>
          </w:p>
        </w:tc>
        <w:tc>
          <w:tcPr>
            <w:tcW w:w="120" w:type="dxa"/>
            <w:vAlign w:val="bottom"/>
          </w:tcPr>
          <w:p>
            <w:pPr>
              <w:spacing w:after="0"/>
              <w:rPr>
                <w:sz w:val="20"/>
                <w:szCs w:val="20"/>
                <w:color w:val="auto"/>
              </w:rPr>
            </w:pPr>
          </w:p>
        </w:tc>
        <w:tc>
          <w:tcPr>
            <w:tcW w:w="12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23"/>
        </w:trPr>
        <w:tc>
          <w:tcPr>
            <w:tcW w:w="2080" w:type="dxa"/>
            <w:vAlign w:val="bottom"/>
          </w:tcPr>
          <w:p>
            <w:pPr>
              <w:spacing w:after="0"/>
              <w:rPr>
                <w:sz w:val="19"/>
                <w:szCs w:val="19"/>
                <w:color w:val="auto"/>
              </w:rPr>
            </w:pP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January 1,</w:t>
            </w: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2021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7,891,750</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52,020,992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9"/>
              </w:rPr>
              <w:t>(47,022,403)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r>
      <w:tr>
        <w:trPr>
          <w:trHeight w:val="216"/>
        </w:trPr>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ordinary shares subject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possible redemption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7,763,865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78,927,295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78,928,072</w:t>
            </w: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(78,928,074)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(78,928,074)</w:t>
            </w:r>
          </w:p>
        </w:tc>
      </w:tr>
      <w:tr>
        <w:trPr>
          <w:trHeight w:val="257"/>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Balance – March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15,655,615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6,250,000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130,948,287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(125,950,477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Class A Ordinary</w:t>
            </w: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Class B Ordinary</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8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23"/>
        </w:trPr>
        <w:tc>
          <w:tcPr>
            <w:tcW w:w="2080" w:type="dxa"/>
            <w:vAlign w:val="bottom"/>
          </w:tcPr>
          <w:p>
            <w:pPr>
              <w:spacing w:after="0"/>
              <w:rPr>
                <w:sz w:val="19"/>
                <w:szCs w:val="19"/>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198"/>
        </w:trPr>
        <w:tc>
          <w:tcPr>
            <w:tcW w:w="2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January 1,</w:t>
            </w: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 (restated)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2,575,687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6,250,000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4,999,118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5,000,001</w:t>
            </w:r>
          </w:p>
        </w:tc>
      </w:tr>
      <w:tr>
        <w:trPr>
          <w:trHeight w:val="216"/>
        </w:trPr>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ordinary shares subject to</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possible redemption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(1,822,104)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(1,822,104)</w:t>
            </w: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1,822,107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1,822,107</w:t>
            </w:r>
          </w:p>
        </w:tc>
      </w:tr>
      <w:tr>
        <w:trPr>
          <w:trHeight w:val="257"/>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Balance – March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2,580,395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6,250,000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4,999,121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Three Months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March</w:t>
            </w:r>
          </w:p>
        </w:tc>
      </w:tr>
      <w:tr>
        <w:trPr>
          <w:trHeight w:val="216"/>
        </w:trPr>
        <w:tc>
          <w:tcPr>
            <w:tcW w:w="84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Ended March 31,</w:t>
            </w: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18"/>
                <w:szCs w:val="18"/>
                <w:color w:val="auto"/>
              </w:rPr>
            </w:pPr>
          </w:p>
        </w:tc>
      </w:tr>
      <w:tr>
        <w:trPr>
          <w:trHeight w:val="241"/>
        </w:trPr>
        <w:tc>
          <w:tcPr>
            <w:tcW w:w="8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(restated)</w:t>
            </w: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(78,928,074)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1,822,107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78,220,000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(29,681)</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(932,037)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(1,152,686)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396,553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316,825</w:t>
            </w:r>
          </w:p>
        </w:tc>
      </w:tr>
      <w:tr>
        <w:trPr>
          <w:trHeight w:val="22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(412,099)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for redemptions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14,489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Redemption of common shares</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(14,489)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185,511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(212,099)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(99,596)</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Cash – Beginning</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312,707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894,589</w:t>
            </w:r>
          </w:p>
        </w:tc>
      </w:tr>
      <w:tr>
        <w:trPr>
          <w:trHeight w:val="256"/>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100,608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794,993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(78,928,072)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1,822,104</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ind w:right="300" w:firstLine="324"/>
        <w:spacing w:after="0"/>
        <w:rPr>
          <w:sz w:val="20"/>
          <w:szCs w:val="20"/>
          <w:color w:val="auto"/>
        </w:rPr>
      </w:pPr>
      <w:r>
        <w:rPr>
          <w:rFonts w:ascii="Arial" w:cs="Arial" w:eastAsia="Arial" w:hAnsi="Arial"/>
          <w:sz w:val="22"/>
          <w:szCs w:val="22"/>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21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The Company has one subsidiary, Silver Spike Merger Sub LLC, a wholly-owned subsidiary of the Company incorporated in Delaware on December 7, 2020 (“Merger Sub”).</w:t>
      </w:r>
    </w:p>
    <w:p>
      <w:pPr>
        <w:spacing w:after="0" w:line="202" w:lineRule="exact"/>
        <w:rPr>
          <w:sz w:val="20"/>
          <w:szCs w:val="20"/>
          <w:color w:val="auto"/>
        </w:rPr>
      </w:pPr>
    </w:p>
    <w:p>
      <w:pPr>
        <w:ind w:right="200" w:firstLine="324"/>
        <w:spacing w:after="0" w:line="248" w:lineRule="auto"/>
        <w:rPr>
          <w:sz w:val="20"/>
          <w:szCs w:val="20"/>
          <w:color w:val="auto"/>
        </w:rPr>
      </w:pPr>
      <w:r>
        <w:rPr>
          <w:rFonts w:ascii="Arial" w:cs="Arial" w:eastAsia="Arial" w:hAnsi="Arial"/>
          <w:sz w:val="21"/>
          <w:szCs w:val="21"/>
          <w:color w:val="auto"/>
        </w:rPr>
        <w:t>As of March 31, 2021, the Company had not commenced any operations. All activity through March 31, 2021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4"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196" w:lineRule="exact"/>
        <w:rPr>
          <w:sz w:val="20"/>
          <w:szCs w:val="20"/>
          <w:color w:val="auto"/>
        </w:rPr>
      </w:pPr>
    </w:p>
    <w:p>
      <w:pPr>
        <w:ind w:right="1020" w:firstLine="324"/>
        <w:spacing w:after="0" w:line="250" w:lineRule="auto"/>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179"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208"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87"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9"/>
          <w:szCs w:val="19"/>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200" w:lineRule="exact"/>
        <w:rPr>
          <w:sz w:val="20"/>
          <w:szCs w:val="20"/>
          <w:color w:val="auto"/>
        </w:rPr>
      </w:pPr>
    </w:p>
    <w:p>
      <w:pPr>
        <w:spacing w:after="0" w:line="234"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w:t>
      </w:r>
    </w:p>
    <w:p>
      <w:pPr>
        <w:spacing w:after="0" w:line="213"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Going Concern</w:t>
      </w:r>
    </w:p>
    <w:p>
      <w:pPr>
        <w:spacing w:after="0" w:line="239"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As of March 31, 2021, the Company had $100,608 in its operating bank accounts, $254,202,898 in securities held in the Trust Account to be used for a Business Combination or to repurchase or redeem its ordinary shares in connection therewith and working capital deficit of $3,547,185. As of March 31, 2021, approximately $4,217,387 of the amount on deposit in the Trust Account represented interest income, which is available to pay the Company’s tax obligations.</w:t>
      </w:r>
    </w:p>
    <w:p>
      <w:pPr>
        <w:spacing w:after="0" w:line="201" w:lineRule="exact"/>
        <w:rPr>
          <w:sz w:val="20"/>
          <w:szCs w:val="20"/>
          <w:color w:val="auto"/>
        </w:rPr>
      </w:pPr>
    </w:p>
    <w:p>
      <w:pPr>
        <w:ind w:right="240" w:firstLine="378"/>
        <w:spacing w:after="0" w:line="250" w:lineRule="auto"/>
        <w:rPr>
          <w:sz w:val="20"/>
          <w:szCs w:val="20"/>
          <w:color w:val="auto"/>
        </w:rPr>
      </w:pPr>
      <w:r>
        <w:rPr>
          <w:rFonts w:ascii="Arial" w:cs="Arial" w:eastAsia="Arial" w:hAnsi="Arial"/>
          <w:sz w:val="22"/>
          <w:szCs w:val="22"/>
          <w:color w:val="auto"/>
        </w:rPr>
        <w:t>On February 18, 2021, the Company issued an unsecured promissory note (the “Note”) in the amount of up to $750,000 to the Sponsor for general working capital purposes (see Note 5).</w:t>
      </w:r>
    </w:p>
    <w:p>
      <w:pPr>
        <w:spacing w:after="0" w:line="202"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212" w:lineRule="exact"/>
        <w:rPr>
          <w:sz w:val="20"/>
          <w:szCs w:val="20"/>
          <w:color w:val="auto"/>
        </w:rPr>
      </w:pPr>
    </w:p>
    <w:p>
      <w:pPr>
        <w:ind w:right="120" w:firstLine="374"/>
        <w:spacing w:after="0" w:line="272" w:lineRule="auto"/>
        <w:rPr>
          <w:sz w:val="20"/>
          <w:szCs w:val="20"/>
          <w:color w:val="auto"/>
        </w:rPr>
      </w:pPr>
      <w:r>
        <w:rPr>
          <w:rFonts w:ascii="Arial" w:cs="Arial" w:eastAsia="Arial" w:hAnsi="Arial"/>
          <w:sz w:val="19"/>
          <w:szCs w:val="19"/>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ectPr>
          <w:pgSz w:w="11900" w:h="16838" w:orient="portrait"/>
          <w:cols w:equalWidth="0" w:num="1">
            <w:col w:w="11220"/>
          </w:cols>
          <w:pgMar w:left="320" w:top="121" w:right="359" w:bottom="4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13"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and Uncertainties</w:t>
      </w:r>
    </w:p>
    <w:p>
      <w:pPr>
        <w:spacing w:after="0" w:line="239"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39" w:lineRule="exact"/>
        <w:rPr>
          <w:sz w:val="20"/>
          <w:szCs w:val="20"/>
          <w:color w:val="auto"/>
        </w:rPr>
      </w:pPr>
    </w:p>
    <w:p>
      <w:pPr>
        <w:ind w:right="20" w:firstLine="324"/>
        <w:spacing w:after="0" w:line="245" w:lineRule="auto"/>
        <w:rPr>
          <w:sz w:val="20"/>
          <w:szCs w:val="20"/>
          <w:color w:val="auto"/>
        </w:rPr>
      </w:pPr>
      <w:r>
        <w:rPr>
          <w:rFonts w:ascii="Arial" w:cs="Arial" w:eastAsia="Arial" w:hAnsi="Arial"/>
          <w:sz w:val="21"/>
          <w:szCs w:val="21"/>
          <w:color w:val="auto"/>
        </w:rPr>
        <w:t>The accompanying unaudited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consolidated financial statements include all adjustments, consisting of a normal recurring nature, which are necessary for a fair presentation of the financial position, operating results and cash flows for the periods presented.</w:t>
      </w:r>
    </w:p>
    <w:p>
      <w:pPr>
        <w:spacing w:after="0" w:line="21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9"/>
          <w:szCs w:val="19"/>
          <w:color w:val="auto"/>
        </w:rPr>
        <w:t>The accompanying unaudited consolidated financial statements should be read in conjunction with the Company’s Annual Report as amended on Form 10-K/A for the year ended December 31, 2020 as filed with the SEC on May 12, 2021, which contains the audited financial statements and notes thereto. The financial information as of December 31, 2020 is derived from the audited financial statements presented in the Company’s Annual Report as amended on Form 10-K/A for the year ended December 31, 2020 as filed with the SEC on May 12, 2021. The interim results for the three months ended March 31, 2021 are not necessarily indicative of the results to be expected for the year ending December 31, 2021 or for any future interim periods.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239" w:lineRule="exact"/>
        <w:rPr>
          <w:sz w:val="20"/>
          <w:szCs w:val="20"/>
          <w:color w:val="auto"/>
        </w:rPr>
      </w:pPr>
    </w:p>
    <w:p>
      <w:pPr>
        <w:ind w:right="100" w:firstLine="324"/>
        <w:spacing w:after="0" w:line="252" w:lineRule="auto"/>
        <w:rPr>
          <w:sz w:val="20"/>
          <w:szCs w:val="20"/>
          <w:color w:val="auto"/>
        </w:rPr>
      </w:pPr>
      <w:r>
        <w:rPr>
          <w:rFonts w:ascii="Arial" w:cs="Arial" w:eastAsia="Arial" w:hAnsi="Arial"/>
          <w:sz w:val="21"/>
          <w:szCs w:val="21"/>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239"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9"/>
          <w:szCs w:val="19"/>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w:t>
      </w:r>
    </w:p>
    <w:p>
      <w:pPr>
        <w:spacing w:after="0" w:line="161"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300" w:firstLine="324"/>
        <w:spacing w:after="0" w:line="328" w:lineRule="auto"/>
        <w:rPr>
          <w:sz w:val="20"/>
          <w:szCs w:val="20"/>
          <w:color w:val="auto"/>
        </w:rPr>
      </w:pPr>
      <w:r>
        <w:rPr>
          <w:rFonts w:ascii="Arial" w:cs="Arial" w:eastAsia="Arial" w:hAnsi="Arial"/>
          <w:sz w:val="19"/>
          <w:szCs w:val="19"/>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Marketable Securities Held in Trust Account</w:t>
      </w:r>
    </w:p>
    <w:p>
      <w:pPr>
        <w:spacing w:after="0" w:line="239"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At March 31, 2021 and December 31, 2020, the assets held in the Trust Account were held in money market funds, which primarily invest in U.S. Treasury Bills.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 Liability</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5"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For the three months ended March 31, 2021, the change in the fair market value of our warrant liability was $78,220,000.</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Costs and Related Compensation</w:t>
      </w:r>
    </w:p>
    <w:p>
      <w:pPr>
        <w:spacing w:after="0" w:line="239"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 Subject to Possible Redemption</w:t>
      </w:r>
    </w:p>
    <w:p>
      <w:pPr>
        <w:spacing w:after="0" w:line="239"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14"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(Loss) Per Ordinary Share</w:t>
      </w:r>
    </w:p>
    <w:p>
      <w:pPr>
        <w:spacing w:after="0" w:line="239"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Net income (loss) per ordinary share is computed by dividing net income (loss) by the weighted average number of ordinary shares outstanding for the period.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and the inclusion of such warrants would be anti-dilutive.</w:t>
      </w:r>
    </w:p>
    <w:p>
      <w:pPr>
        <w:spacing w:after="0" w:line="214" w:lineRule="exact"/>
        <w:rPr>
          <w:sz w:val="20"/>
          <w:szCs w:val="20"/>
          <w:color w:val="auto"/>
        </w:rPr>
      </w:pPr>
    </w:p>
    <w:p>
      <w:pPr>
        <w:ind w:right="160" w:firstLine="324"/>
        <w:spacing w:after="0" w:line="249" w:lineRule="auto"/>
        <w:rPr>
          <w:sz w:val="20"/>
          <w:szCs w:val="20"/>
          <w:color w:val="auto"/>
        </w:rPr>
      </w:pPr>
      <w:r>
        <w:rPr>
          <w:rFonts w:ascii="Arial" w:cs="Arial" w:eastAsia="Arial" w:hAnsi="Arial"/>
          <w:sz w:val="21"/>
          <w:szCs w:val="21"/>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205" w:lineRule="exact"/>
        <w:rPr>
          <w:sz w:val="20"/>
          <w:szCs w:val="20"/>
          <w:color w:val="auto"/>
        </w:rPr>
      </w:pPr>
    </w:p>
    <w:p>
      <w:pPr>
        <w:ind w:right="500" w:firstLine="324"/>
        <w:spacing w:after="0" w:line="257" w:lineRule="auto"/>
        <w:rPr>
          <w:sz w:val="20"/>
          <w:szCs w:val="20"/>
          <w:color w:val="auto"/>
        </w:rPr>
      </w:pPr>
      <w:r>
        <w:rPr>
          <w:rFonts w:ascii="Arial" w:cs="Arial" w:eastAsia="Arial" w:hAnsi="Arial"/>
          <w:sz w:val="21"/>
          <w:szCs w:val="21"/>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ectPr>
          <w:pgSz w:w="11900" w:h="16838" w:orient="portrait"/>
          <w:cols w:equalWidth="0" w:num="1">
            <w:col w:w="11220"/>
          </w:cols>
          <w:pgMar w:left="320" w:top="122" w:right="35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213"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The following table reflects the calculation of basic and diluted net income (loss) per ordinary share (in dollars,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Ordinary shares subject to possible redemption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883,757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1,092,977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1,976,734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 Weighted Average Ordinary shares subject to possible redemption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17,108,013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22,424,313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(78,928,074)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1,822,107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(1,976,734)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Non-Redeemable 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(78,939,166)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(154,627)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14,141,750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8,825,687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39" w:lineRule="exact"/>
        <w:rPr>
          <w:sz w:val="20"/>
          <w:szCs w:val="20"/>
          <w:color w:val="auto"/>
        </w:rPr>
      </w:pPr>
    </w:p>
    <w:p>
      <w:pPr>
        <w:ind w:right="180" w:firstLine="324"/>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39" w:lineRule="exact"/>
        <w:rPr>
          <w:sz w:val="20"/>
          <w:szCs w:val="20"/>
          <w:color w:val="auto"/>
        </w:rPr>
      </w:pPr>
    </w:p>
    <w:p>
      <w:pPr>
        <w:jc w:val="both"/>
        <w:ind w:right="380" w:firstLine="324"/>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39"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14" w:lineRule="exact"/>
        <w:rPr>
          <w:sz w:val="20"/>
          <w:szCs w:val="20"/>
          <w:color w:val="auto"/>
        </w:rPr>
      </w:pPr>
    </w:p>
    <w:p>
      <w:pPr>
        <w:ind w:left="940" w:hanging="608"/>
        <w:spacing w:after="0"/>
        <w:tabs>
          <w:tab w:leader="none" w:pos="940" w:val="left"/>
        </w:tabs>
        <w:numPr>
          <w:ilvl w:val="0"/>
          <w:numId w:val="3"/>
        </w:numPr>
        <w:rPr>
          <w:rFonts w:ascii="Arial" w:cs="Arial" w:eastAsia="Arial" w:hAnsi="Arial"/>
          <w:sz w:val="19"/>
          <w:szCs w:val="19"/>
          <w:color w:val="auto"/>
        </w:rPr>
      </w:pPr>
      <w:r>
        <w:rPr>
          <w:rFonts w:ascii="Arial" w:cs="Arial" w:eastAsia="Arial" w:hAnsi="Arial"/>
          <w:sz w:val="19"/>
          <w:szCs w:val="19"/>
          <w:color w:val="auto"/>
        </w:rPr>
        <w:t>Level 1, defined as observable inputs such as quoted prices (unadjusted) for identical instruments in active markets;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32"/>
        <w:spacing w:after="0"/>
        <w:tabs>
          <w:tab w:leader="none" w:pos="9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13" w:lineRule="exact"/>
        <w:rPr>
          <w:rFonts w:ascii="Arial" w:cs="Arial" w:eastAsia="Arial" w:hAnsi="Arial"/>
          <w:sz w:val="22"/>
          <w:szCs w:val="22"/>
          <w:color w:val="auto"/>
        </w:rPr>
      </w:pPr>
    </w:p>
    <w:p>
      <w:pPr>
        <w:ind w:right="360" w:firstLine="332"/>
        <w:spacing w:after="0"/>
        <w:tabs>
          <w:tab w:leader="none" w:pos="9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213" w:lineRule="exact"/>
        <w:rPr>
          <w:sz w:val="20"/>
          <w:szCs w:val="20"/>
          <w:color w:val="auto"/>
        </w:rPr>
      </w:pPr>
    </w:p>
    <w:p>
      <w:pPr>
        <w:jc w:val="both"/>
        <w:ind w:right="420" w:firstLine="324"/>
        <w:spacing w:after="0"/>
        <w:rPr>
          <w:sz w:val="20"/>
          <w:szCs w:val="20"/>
          <w:color w:val="auto"/>
        </w:rPr>
      </w:pPr>
      <w:r>
        <w:rPr>
          <w:rFonts w:ascii="Arial" w:cs="Arial" w:eastAsia="Arial" w:hAnsi="Arial"/>
          <w:sz w:val="22"/>
          <w:szCs w:val="2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Financial Instruments</w:t>
      </w:r>
    </w:p>
    <w:p>
      <w:pPr>
        <w:spacing w:after="0" w:line="239" w:lineRule="exact"/>
        <w:rPr>
          <w:sz w:val="20"/>
          <w:szCs w:val="20"/>
          <w:color w:val="auto"/>
        </w:rPr>
      </w:pPr>
    </w:p>
    <w:p>
      <w:pPr>
        <w:ind w:right="280" w:firstLine="324"/>
        <w:spacing w:after="0" w:line="234" w:lineRule="auto"/>
        <w:rPr>
          <w:sz w:val="20"/>
          <w:szCs w:val="20"/>
          <w:color w:val="auto"/>
        </w:rPr>
      </w:pPr>
      <w:r>
        <w:rPr>
          <w:rFonts w:ascii="Arial" w:cs="Arial" w:eastAsia="Arial" w:hAnsi="Arial"/>
          <w:sz w:val="22"/>
          <w:szCs w:val="22"/>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jc w:val="both"/>
        <w:ind w:right="160" w:firstLine="324"/>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ind w:right="220" w:firstLine="324"/>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Services Agreement</w:t>
      </w:r>
    </w:p>
    <w:p>
      <w:pPr>
        <w:spacing w:after="0" w:line="239"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months ended March 31, 2021 and for the year ended December 31, 2020, the Company incurred $60,000 and $240,000, respectively, in fees for these services. At March 31, 2021 and December 31, 2020, fees of $60,000 and $279,879, respectively, are included in accrued expenses in the accompanying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 Related Party</w:t>
      </w:r>
    </w:p>
    <w:p>
      <w:pPr>
        <w:spacing w:after="0" w:line="239"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12" w:lineRule="exact"/>
        <w:rPr>
          <w:sz w:val="20"/>
          <w:szCs w:val="20"/>
          <w:color w:val="auto"/>
        </w:rPr>
      </w:pPr>
    </w:p>
    <w:p>
      <w:pPr>
        <w:ind w:right="200" w:firstLine="324"/>
        <w:spacing w:after="0" w:line="282" w:lineRule="auto"/>
        <w:rPr>
          <w:sz w:val="20"/>
          <w:szCs w:val="20"/>
          <w:color w:val="auto"/>
        </w:rPr>
      </w:pPr>
      <w:r>
        <w:rPr>
          <w:rFonts w:ascii="Arial" w:cs="Arial" w:eastAsia="Arial" w:hAnsi="Arial"/>
          <w:sz w:val="19"/>
          <w:szCs w:val="19"/>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 As of March 31, 2021, the Company had drawn down $200,000 under the Note.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Loans</w:t>
      </w:r>
    </w:p>
    <w:p>
      <w:pPr>
        <w:spacing w:after="0" w:line="239"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right="80" w:firstLine="324"/>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ectPr>
          <w:pgSz w:w="11900" w:h="16838" w:orient="portrait"/>
          <w:cols w:equalWidth="0" w:num="1">
            <w:col w:w="11220"/>
          </w:cols>
          <w:pgMar w:left="320" w:top="122" w:right="35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 Agreement</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Shares</w:t>
      </w:r>
    </w:p>
    <w:p>
      <w:pPr>
        <w:spacing w:after="0" w:line="23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9"/>
          <w:szCs w:val="19"/>
          <w:color w:val="auto"/>
        </w:rPr>
        <w:t>The Company is authorized to issue 1,000,000 preference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March 31, 2021 and December 31, 2020, there were no preference shares issued or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w:t>
      </w:r>
    </w:p>
    <w:p>
      <w:pPr>
        <w:spacing w:after="0" w:line="239" w:lineRule="exact"/>
        <w:rPr>
          <w:sz w:val="20"/>
          <w:szCs w:val="20"/>
          <w:color w:val="auto"/>
        </w:rPr>
      </w:pPr>
    </w:p>
    <w:p>
      <w:pPr>
        <w:ind w:right="120" w:firstLine="324"/>
        <w:spacing w:after="0" w:line="252" w:lineRule="auto"/>
        <w:rPr>
          <w:sz w:val="20"/>
          <w:szCs w:val="20"/>
          <w:color w:val="auto"/>
        </w:rPr>
      </w:pPr>
      <w:r>
        <w:rPr>
          <w:rFonts w:ascii="Arial" w:cs="Arial" w:eastAsia="Arial" w:hAnsi="Arial"/>
          <w:sz w:val="21"/>
          <w:szCs w:val="21"/>
          <w:color w:val="auto"/>
        </w:rPr>
        <w:t>The Company is authorized to issue 200,000,000 Class A ordinary shares, with a par value of $0.0001 per share. Holders of Class A ordinary shares are entitled to one vote for each share. At March 31, 2021 and December 31, 2020, there were 15,655,615 and 7,891,750 shares of Class A ordinary shares issued or outstanding, excluding 9,342,960 and 17,108,250 Class A ordinary shares subject to possible redemption,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Ordinary Shares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is authorized to issue 20,000,000 Class B ordinary shares, with a par value of $0.0001 per share. Holders of the Class B ordinary shares are entitled to one vote for each share. At March 31, 2021 and December 31, 2020, there were 6,250,000 Class B ordinary shares issued and outstanding.</w:t>
      </w:r>
    </w:p>
    <w:p>
      <w:pPr>
        <w:spacing w:after="0" w:line="213" w:lineRule="exact"/>
        <w:rPr>
          <w:sz w:val="20"/>
          <w:szCs w:val="20"/>
          <w:color w:val="auto"/>
        </w:rPr>
      </w:pPr>
    </w:p>
    <w:p>
      <w:pPr>
        <w:ind w:right="20" w:firstLine="324"/>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WARRANT LIABILITY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39" w:lineRule="exact"/>
        <w:rPr>
          <w:sz w:val="20"/>
          <w:szCs w:val="20"/>
          <w:color w:val="auto"/>
        </w:rPr>
      </w:pPr>
    </w:p>
    <w:p>
      <w:pPr>
        <w:ind w:right="60" w:firstLine="324"/>
        <w:spacing w:after="0" w:line="252" w:lineRule="auto"/>
        <w:rPr>
          <w:sz w:val="20"/>
          <w:szCs w:val="20"/>
          <w:color w:val="auto"/>
        </w:rPr>
      </w:pPr>
      <w:r>
        <w:rPr>
          <w:rFonts w:ascii="Arial" w:cs="Arial" w:eastAsia="Arial" w:hAnsi="Arial"/>
          <w:sz w:val="21"/>
          <w:szCs w:val="21"/>
          <w:color w:val="auto"/>
        </w:rPr>
        <w:t>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52"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3" w:lineRule="exact"/>
        <w:rPr>
          <w:sz w:val="20"/>
          <w:szCs w:val="20"/>
          <w:color w:val="auto"/>
        </w:rPr>
      </w:pPr>
    </w:p>
    <w:p>
      <w:pPr>
        <w:ind w:right="20" w:firstLine="324"/>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addition, if (x) the Company issues additional Class A ordinary shares or equity-linked securities for capital raising</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purposes in connection with the closing of a Business Combination at an issue price or effective issue price of less than $9.20 per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Class A ordinary share (with such issue price or effective issue price to be determined in good faith by the Company’s board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directors, and in the case of any such issuance to the Sponsor or its affiliates, without taking into account any Founder Shares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held by the Sponsor or such affiliates, as applicable, prior to such issuance) (the “newly issued price”), (y) the aggregate gross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proceeds from such issuances represent more than 60% of the total equity proceeds, and interest thereon, available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funding of a Business Combination on the date of the completion of a Business Combination (net of redemptions), and (z)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volume weighted average trading price of the Company’s ordinary shares during the 20 trading day period starting on the trading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day prior to the day on which the Company consummates a Business Combination (such price, the “Market Value”) is below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$9.20 per share, the exercise price of the Public Warrants will be adjusted (to the nearest cent) to be equal to 115% of the higher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Market Value and the newly issued price, and the $18.00 per share redemption trigger price described above will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adjusted (to the nearest cent) to be equal to 180% of the higher of the Market Value and the newly issued price.</w:t>
      </w:r>
    </w:p>
    <w:p>
      <w:pPr>
        <w:spacing w:after="0" w:line="21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FAIR VALUE MEASUREMENTS</w:t>
      </w:r>
    </w:p>
    <w:p>
      <w:pPr>
        <w:spacing w:after="0" w:line="239"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13"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580" w:firstLine="324"/>
        <w:spacing w:after="0"/>
        <w:rPr>
          <w:sz w:val="20"/>
          <w:szCs w:val="20"/>
          <w:color w:val="auto"/>
        </w:rPr>
      </w:pPr>
      <w:r>
        <w:rPr>
          <w:rFonts w:ascii="Arial" w:cs="Arial" w:eastAsia="Arial" w:hAnsi="Arial"/>
          <w:sz w:val="22"/>
          <w:szCs w:val="22"/>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80" w:type="dxa"/>
            <w:vAlign w:val="bottom"/>
          </w:tcPr>
          <w:p>
            <w:pPr>
              <w:ind w:left="300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March 31,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254,202,898</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254,187,706</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88,000,000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41,000,000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Warrants</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22,680,000</w:t>
            </w: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tables summarize the changes in the fair value of the warrant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8"/>
          </w:tcPr>
          <w:p>
            <w:pPr>
              <w:ind w:left="580"/>
              <w:spacing w:after="0"/>
              <w:rPr>
                <w:sz w:val="20"/>
                <w:szCs w:val="20"/>
                <w:color w:val="auto"/>
              </w:rPr>
            </w:pPr>
            <w:r>
              <w:rPr>
                <w:rFonts w:ascii="Arial" w:cs="Arial" w:eastAsia="Arial" w:hAnsi="Arial"/>
                <w:sz w:val="18"/>
                <w:szCs w:val="18"/>
                <w:b w:val="1"/>
                <w:bCs w:val="1"/>
                <w:color w:val="auto"/>
              </w:rPr>
              <w:t>Three months ended March 31, 2021</w:t>
            </w:r>
          </w:p>
        </w:tc>
      </w:tr>
      <w:tr>
        <w:trPr>
          <w:trHeight w:val="241"/>
        </w:trPr>
        <w:tc>
          <w:tcPr>
            <w:tcW w:w="66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Public Warrants</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Private Warrants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Warrant Liabilities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41,000,000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22,680,000</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63,680,000</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47,000,000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31,220,000</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78,220,000</w:t>
            </w:r>
          </w:p>
        </w:tc>
      </w:tr>
      <w:tr>
        <w:trPr>
          <w:trHeight w:val="22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88,000,000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53,900,000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141,900,000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6"/>
          </w:tcPr>
          <w:p>
            <w:pPr>
              <w:ind w:left="540"/>
              <w:spacing w:after="0"/>
              <w:rPr>
                <w:sz w:val="20"/>
                <w:szCs w:val="20"/>
                <w:color w:val="auto"/>
              </w:rPr>
            </w:pPr>
            <w:r>
              <w:rPr>
                <w:rFonts w:ascii="Arial" w:cs="Arial" w:eastAsia="Arial" w:hAnsi="Arial"/>
                <w:sz w:val="18"/>
                <w:szCs w:val="18"/>
                <w:b w:val="1"/>
                <w:bCs w:val="1"/>
                <w:color w:val="auto"/>
                <w:w w:val="90"/>
              </w:rPr>
              <w:t>Three months ended March 31, 2020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Public Warrants</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Private Warrants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Warrant Liabilities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8,260,000</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13,260,000</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3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6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(195,000)</w:t>
            </w:r>
          </w:p>
        </w:tc>
      </w:tr>
      <w:tr>
        <w:trPr>
          <w:trHeight w:val="22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8,190,000</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13,065,000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161"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transfers in or out of Level 3 from other levels in the fair value hierarchy.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SUBSEQUENT EVENTS</w:t>
      </w:r>
    </w:p>
    <w:p>
      <w:pPr>
        <w:spacing w:after="0" w:line="239"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21"/>
          <w:szCs w:val="21"/>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References in this report (the “Quarterly Report”) to “we,” “us” or the “Company” refer to Silver Spike Acquisition Corp. References to our “management” or our “management team” refer to our officers and directors, and references to the “Sponsor” refer to Silver Spike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This Quarterly Report includes “forward-looking statements” within the meaning of Section 27A of the Securities Act of 1933, as amended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2019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260" w:firstLine="324"/>
        <w:spacing w:after="0" w:line="252" w:lineRule="auto"/>
        <w:rPr>
          <w:sz w:val="20"/>
          <w:szCs w:val="20"/>
          <w:color w:val="auto"/>
        </w:rPr>
      </w:pPr>
      <w:r>
        <w:rPr>
          <w:rFonts w:ascii="Arial" w:cs="Arial" w:eastAsia="Arial" w:hAnsi="Arial"/>
          <w:sz w:val="21"/>
          <w:szCs w:val="21"/>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01"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business combination will be successful.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ind w:right="540" w:firstLine="324"/>
        <w:spacing w:after="0"/>
        <w:rPr>
          <w:sz w:val="20"/>
          <w:szCs w:val="20"/>
          <w:color w:val="auto"/>
        </w:rPr>
      </w:pPr>
      <w:r>
        <w:rPr>
          <w:rFonts w:ascii="Arial" w:cs="Arial" w:eastAsia="Arial" w:hAnsi="Arial"/>
          <w:sz w:val="22"/>
          <w:szCs w:val="22"/>
          <w:color w:val="auto"/>
        </w:rPr>
        <w:t>On December 10, 2020, we entered into a Merger Agreement with Merger Sub, WMH and Ghost Media Group, LLC, a Nevada limited liability company, solely in its capacity as the securityholder representative thereunder (the “Holder Representative”).</w:t>
      </w:r>
    </w:p>
    <w:p>
      <w:pPr>
        <w:spacing w:after="0" w:line="213"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196"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As a result of the Business Combination, each of our issued and outstanding Class A ordinary shares and Class B ordinary shares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212" w:lineRule="exact"/>
        <w:rPr>
          <w:sz w:val="20"/>
          <w:szCs w:val="20"/>
          <w:color w:val="auto"/>
        </w:rPr>
      </w:pPr>
    </w:p>
    <w:p>
      <w:pPr>
        <w:ind w:right="460" w:firstLine="324"/>
        <w:spacing w:after="0" w:line="297" w:lineRule="auto"/>
        <w:rPr>
          <w:sz w:val="20"/>
          <w:szCs w:val="20"/>
          <w:color w:val="auto"/>
        </w:rPr>
      </w:pPr>
      <w:r>
        <w:rPr>
          <w:rFonts w:ascii="Arial" w:cs="Arial" w:eastAsia="Arial" w:hAnsi="Arial"/>
          <w:sz w:val="19"/>
          <w:szCs w:val="19"/>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ectPr>
          <w:pgSz w:w="11900" w:h="16838" w:orient="portrait"/>
          <w:cols w:equalWidth="0" w:num="1">
            <w:col w:w="11220"/>
          </w:cols>
          <w:pgMar w:left="320" w:top="121" w:right="359"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Merger Agreement contains customary representations, warranties and covenants by the parties thereto and the Closing is subject to certain conditions as further described in the Merger Agreement.</w:t>
      </w:r>
    </w:p>
    <w:p>
      <w:pPr>
        <w:spacing w:after="0" w:line="202"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On January 13, 2021, we held an Extraordinary General Meeting pursuant to which our shareholders approved extending the extension date. In connection with the approval of the extension, shareholders elected to redeem an aggregate of 1,425 Class A ordinary shares. As a result, an aggregate of $14,489 (or approximately $10.17 per share) was released from our trust account to pay such shareholders.</w:t>
      </w:r>
    </w:p>
    <w:p>
      <w:pPr>
        <w:spacing w:after="0" w:line="212"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On February 18, 2021, we issued a note in the amount of up to $750,000 to the sponsor for general working capital purposes. The note is non-interest bearing and payable upon the earlier to occur of (i) June 10, 2021 or (ii) the consummation of a Business Combination. If we do not consummate a Business Combination, we may use a portion of any funds held outside the trust account to repay the note; however, no proceeds from the trust account may be used for such repayment. As of March 31, 2021, the Company had outstanding borrowings of $200,000 under the Note.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March 31, 2021 were organizational activities, those necessary to prepare for the IPO, identifying a target for our Business Combination and activities in connection with the proposed acquisition of WMH.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212" w:lineRule="exact"/>
        <w:rPr>
          <w:sz w:val="20"/>
          <w:szCs w:val="20"/>
          <w:color w:val="auto"/>
        </w:rPr>
      </w:pPr>
    </w:p>
    <w:p>
      <w:pPr>
        <w:jc w:val="both"/>
        <w:ind w:right="320" w:firstLine="324"/>
        <w:spacing w:after="0"/>
        <w:rPr>
          <w:sz w:val="20"/>
          <w:szCs w:val="20"/>
          <w:color w:val="auto"/>
        </w:rPr>
      </w:pPr>
      <w:r>
        <w:rPr>
          <w:rFonts w:ascii="Arial" w:cs="Arial" w:eastAsia="Arial" w:hAnsi="Arial"/>
          <w:sz w:val="22"/>
          <w:szCs w:val="22"/>
          <w:color w:val="auto"/>
        </w:rPr>
        <w:t>For the three months ended March 31, 2021, we had a net loss of $78,928,074, which consists of formation and operating costs of $737,755 and a change in the fair value of the warrant liability of $78,220,000 offset by interest earned on marketable securities held in the trust account of $29,681.</w:t>
      </w:r>
    </w:p>
    <w:p>
      <w:pPr>
        <w:spacing w:after="0" w:line="213"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For the three months ended March 31, 2020, we had net income of $1,822,107, which consists of interest earned on marketable securities held in the trust account of $932,037, an unrealized gain of $1,152,686 on marketable securities held in the trust account, and a change in the fair value of the warrant liability of $195,000, offset by $457,616 in formation and operating costs.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Going Concern, Liquidity and Capital Resources</w:t>
      </w:r>
    </w:p>
    <w:p>
      <w:pPr>
        <w:spacing w:after="0" w:line="239"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21"/>
          <w:szCs w:val="21"/>
          <w:color w:val="auto"/>
        </w:rPr>
        <w:t>On August 12, 2019, we consummated the IPO of 25,000,000 Units, at a price of $10.00 per unit, generating gross proceeds of $250,000,000. Simultaneously with the closing of the IPO, we consummated the sale of 7,000,000 private placement warrants to our sponsor at a price of $1.00 per warrant, generating gross proceeds of $7,000,000.</w:t>
      </w:r>
    </w:p>
    <w:p>
      <w:pPr>
        <w:spacing w:after="0" w:line="196"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Following the IPO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For the three months ended March 31, 2021, cash used in operating activities was $412,099. Net loss of $78,928,074 was impacted by interest earned on marketable securities held in the Trust Account of $29,681, a non-cash charge for the change in the fair market value of the warrant liability of $78,220,000, and changes in operating assets and liabilities, which provided of $325,656 of cash from operating activities.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40" w:firstLine="324"/>
        <w:spacing w:after="0" w:line="236" w:lineRule="auto"/>
        <w:rPr>
          <w:sz w:val="20"/>
          <w:szCs w:val="20"/>
          <w:color w:val="auto"/>
        </w:rPr>
      </w:pPr>
      <w:r>
        <w:rPr>
          <w:rFonts w:ascii="Arial" w:cs="Arial" w:eastAsia="Arial" w:hAnsi="Arial"/>
          <w:sz w:val="22"/>
          <w:szCs w:val="22"/>
          <w:color w:val="auto"/>
        </w:rPr>
        <w:t>For the three months ended March 31, 2020, cash used in operating activities was $99,596. Net income of $1,822,107 was impacted by interest earned on marketable securities held in the Trust Account of $932,037, an unrealized gain on marketable securities held in the trust account of $1,152,686, and a non-cash gain for the change in the fair market value of the warrant liability, and changes in operating assets and liabilities, which provided $195,000 and $358,020 of cash, respectively, from operating activities.</w:t>
      </w:r>
    </w:p>
    <w:p>
      <w:pPr>
        <w:spacing w:after="0" w:line="214" w:lineRule="exact"/>
        <w:rPr>
          <w:sz w:val="20"/>
          <w:szCs w:val="20"/>
          <w:color w:val="auto"/>
        </w:rPr>
      </w:pPr>
    </w:p>
    <w:p>
      <w:pPr>
        <w:ind w:right="100" w:firstLine="324"/>
        <w:spacing w:after="0" w:line="248" w:lineRule="auto"/>
        <w:rPr>
          <w:sz w:val="20"/>
          <w:szCs w:val="20"/>
          <w:color w:val="auto"/>
        </w:rPr>
      </w:pPr>
      <w:r>
        <w:rPr>
          <w:rFonts w:ascii="Arial" w:cs="Arial" w:eastAsia="Arial" w:hAnsi="Arial"/>
          <w:sz w:val="21"/>
          <w:szCs w:val="21"/>
          <w:color w:val="auto"/>
        </w:rPr>
        <w:t>As of March 31, 2021, we had marketable securities held in the trust account of $254,202,898.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4"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As of March 31, 2021, we had cash of $100,608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14"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 On February 18, 2021, we issued a non-convertible promissory note in the amount of up to $750,000 to the sponsor for general working capital purposes. As of March 31, 2021, the Company had drawn down $200,000 under the promissory note.</w:t>
      </w:r>
    </w:p>
    <w:p>
      <w:pPr>
        <w:spacing w:after="0" w:line="211"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will need to raise additional capital through loans or additional investments from our sponsors, or an affiliate of the sponsor, officers, directors, or third parties. Our sponsors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July 10, 2021, the date that we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we be unable to continue as a going concern.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ind w:right="180" w:firstLine="324"/>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Warrant Liability</w:t>
      </w:r>
    </w:p>
    <w:p>
      <w:pPr>
        <w:spacing w:after="0" w:line="233"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Modified Black Scholes Option Pricing Model approach.</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Class A Ordinary Shares Subject to Redemption</w:t>
      </w:r>
    </w:p>
    <w:p>
      <w:pPr>
        <w:spacing w:after="0" w:line="233"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consolidated balance sheets.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Net Income (Loss) per Ordinary Share</w:t>
      </w:r>
    </w:p>
    <w:p>
      <w:pPr>
        <w:spacing w:after="0" w:line="233"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We apply the two-class method in calculating earnings per share. Net income per common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loss per common share, basic and diluted for non-redeemable Class B ordinary shares is calculated by dividing net income less income attributable to Class A ordinary shares subject to possible redemption, by the weighted average number of shares of non-redeemable Class B ordinary shares outstanding for the period presented.</w:t>
      </w:r>
    </w:p>
    <w:p>
      <w:pPr>
        <w:spacing w:after="0" w:line="177"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consolidated financial statements.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Recent Accounting Standards</w:t>
      </w:r>
    </w:p>
    <w:p>
      <w:pPr>
        <w:spacing w:after="0" w:line="23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Management does not believe that any other recently issued, but not yet effective, accounting standards, if currently adopted, would have a material effect on our consolidated financial statements.</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49" w:lineRule="exact"/>
        <w:rPr>
          <w:sz w:val="20"/>
          <w:szCs w:val="20"/>
          <w:color w:val="auto"/>
        </w:rPr>
      </w:pPr>
    </w:p>
    <w:p>
      <w:pPr>
        <w:ind w:right="40" w:firstLine="324"/>
        <w:spacing w:after="0" w:line="252" w:lineRule="auto"/>
        <w:rPr>
          <w:sz w:val="20"/>
          <w:szCs w:val="20"/>
          <w:color w:val="auto"/>
        </w:rPr>
      </w:pPr>
      <w:r>
        <w:rPr>
          <w:rFonts w:ascii="Arial" w:cs="Arial" w:eastAsia="Arial" w:hAnsi="Arial"/>
          <w:sz w:val="21"/>
          <w:szCs w:val="21"/>
          <w:color w:val="auto"/>
        </w:rPr>
        <w:t>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ectPr>
          <w:pgSz w:w="11900" w:h="16838" w:orient="portrait"/>
          <w:cols w:equalWidth="0" w:num="1">
            <w:col w:w="11220"/>
          </w:cols>
          <w:pgMar w:left="320" w:top="121" w:right="35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239"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the restatement of our financial statements described below, our management re-evaluated, with the participation of our current chief executive officer and chief financial officer (our “Certifying Officers”), the effectiveness of our disclosure controls and procedures as of March 31, 2020, pursuant to Rule 13a-15(b) under the Exchange Act. Based upon that evaluation, our Certifying Officers concluded that, solely due to the Company’s restatement of its financial statements to reclassify the Company’s Public Warrants and Private Placement Warrants as described in our Annual Report on Form 10-K/A for the year ended December 31, 2020 filed with the SEC on May 12, 2021, our disclosure controls and procedures were not effective as of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Control over Financial Reporting</w:t>
      </w:r>
    </w:p>
    <w:p>
      <w:pPr>
        <w:spacing w:after="0" w:line="239"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March 31, 2021.</w:t>
      </w:r>
    </w:p>
    <w:p>
      <w:pPr>
        <w:spacing w:after="0" w:line="18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connection with the restatement of our financial statements on Form 10-K/A for the year ended December 31, 2020 filed with the SEC on May 12, 2021, our management, including our principal executive and financial officers, have evaluated the effectiveness of our internal control over financial reporting and concluded that we did not maintain effective internal control over financial reporting as of March 31, 2021 because of a material weakness in our internal control over financial reporting described below related to the accounting for a significant and unusual transaction related to the warrants we issued in connection with our Initial Public Offering. Notwithstanding the material weakness described below, our management has concluded that the financial statements included in this Annual Report are fairly stated in all material respects in accordance with U.S. GAAP for each of the periods presented herein.</w:t>
      </w:r>
    </w:p>
    <w:p>
      <w:pPr>
        <w:spacing w:after="0" w:line="207"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In connection with the restatement of previously issued financial statements described below, management identified a material weakness in our internal control over financial reporting related to the accounting for a significant and unusual transaction related to the warrants we issued in connection with the Initial Public Offering. This material weakness resulted in a material misstatement of our warrant liability, change in fair value of warrant liability, additional paid-in capital and accumulated deficit as of and for the period from June 9, 2019 (inception) through December 31, 2019 and for the year ended December 31, 2020.</w:t>
      </w:r>
    </w:p>
    <w:p>
      <w:pPr>
        <w:spacing w:after="0" w:line="215" w:lineRule="exact"/>
        <w:rPr>
          <w:sz w:val="20"/>
          <w:szCs w:val="20"/>
          <w:color w:val="auto"/>
        </w:rPr>
      </w:pPr>
    </w:p>
    <w:p>
      <w:pPr>
        <w:ind w:right="100" w:firstLine="324"/>
        <w:spacing w:after="0" w:line="246" w:lineRule="auto"/>
        <w:rPr>
          <w:sz w:val="20"/>
          <w:szCs w:val="20"/>
          <w:color w:val="auto"/>
        </w:rPr>
      </w:pPr>
      <w:r>
        <w:rPr>
          <w:rFonts w:ascii="Arial" w:cs="Arial" w:eastAsia="Arial" w:hAnsi="Arial"/>
          <w:sz w:val="21"/>
          <w:szCs w:val="21"/>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Restatement of Previously Issued Financial Statements</w:t>
      </w:r>
    </w:p>
    <w:p>
      <w:pPr>
        <w:spacing w:after="0" w:line="239" w:lineRule="exact"/>
        <w:rPr>
          <w:sz w:val="20"/>
          <w:szCs w:val="20"/>
          <w:color w:val="auto"/>
        </w:rPr>
      </w:pPr>
    </w:p>
    <w:p>
      <w:pPr>
        <w:ind w:right="180" w:firstLine="324"/>
        <w:spacing w:after="0" w:line="287" w:lineRule="auto"/>
        <w:rPr>
          <w:sz w:val="20"/>
          <w:szCs w:val="20"/>
          <w:color w:val="auto"/>
        </w:rPr>
      </w:pPr>
      <w:r>
        <w:rPr>
          <w:rFonts w:ascii="Arial" w:cs="Arial" w:eastAsia="Arial" w:hAnsi="Arial"/>
          <w:sz w:val="19"/>
          <w:szCs w:val="19"/>
          <w:color w:val="auto"/>
        </w:rPr>
        <w:t>On April 30, 2021, we revised our prior position on accounting for warrants and restated our previously issued financial statements as of and for the period from June 7, 2019 (inception) through December 31, 2020 in an amended Form 10-K/A for the year ended December 31, 2020 filed with the SEC on May 12, 2021. However, the non-cash adjustments to the financial statements do not impact the amounts previously reported for our cash and cash equivalents, total assets, revenue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49" w:lineRule="exact"/>
        <w:rPr>
          <w:sz w:val="20"/>
          <w:szCs w:val="20"/>
          <w:color w:val="auto"/>
        </w:rPr>
      </w:pPr>
    </w:p>
    <w:p>
      <w:pPr>
        <w:ind w:right="20" w:firstLine="324"/>
        <w:spacing w:after="0" w:line="270" w:lineRule="auto"/>
        <w:rPr>
          <w:sz w:val="20"/>
          <w:szCs w:val="20"/>
          <w:color w:val="auto"/>
        </w:rPr>
      </w:pPr>
      <w:r>
        <w:rPr>
          <w:rFonts w:ascii="Arial" w:cs="Arial" w:eastAsia="Arial" w:hAnsi="Arial"/>
          <w:sz w:val="19"/>
          <w:szCs w:val="19"/>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color w:val="auto"/>
        </w:rPr>
        <w:t>Factors that could cause our actual results to differ materially from those in this report include the risk factors described in our Annual Report as amended on Form 10-K/A for the year ended December 31, 2020 filed with the SEC on May 12, 2021. As of the date of this Report, there have been no material changes to the risk factors disclosed in our Annual Report filed with the SEC.</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9"/>
          <w:szCs w:val="19"/>
          <w:color w:val="auto"/>
        </w:rPr>
        <w:t>On August 12, 2019, we consummated our Initial Public Offering of 25,000,000 Units, at a price of $10.00 per Unit, generating total gross proceeds of $250,000,000. Credit Suisse acted as the sole book-running manager and I-Bankers Securities, Inc. as the Co-Manager. The securities sold in the offering were registered under the Securities Act on registration statements on Form S-1 (No. 333-232734). The SEC declared the registration statements effective on August 7,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Simultaneously with the consummation of the Initial Public Offering, we consummated a private placement of 7,000,000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Private Placement Warrants to our Sponsor at a price of $1.00 per Private Placement Warrant, generating total proceeds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$7,000,000. Such securities were issued pursuant to the exemption from registration contained in Section 4(a)(2) of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15" w:lineRule="exact"/>
        <w:rPr>
          <w:sz w:val="20"/>
          <w:szCs w:val="20"/>
          <w:color w:val="auto"/>
        </w:rPr>
      </w:pPr>
    </w:p>
    <w:p>
      <w:pPr>
        <w:jc w:val="both"/>
        <w:ind w:right="300" w:firstLine="324"/>
        <w:spacing w:after="0" w:line="287" w:lineRule="auto"/>
        <w:rPr>
          <w:sz w:val="20"/>
          <w:szCs w:val="20"/>
          <w:color w:val="auto"/>
        </w:rPr>
      </w:pPr>
      <w:r>
        <w:rPr>
          <w:rFonts w:ascii="Arial" w:cs="Arial" w:eastAsia="Arial" w:hAnsi="Arial"/>
          <w:sz w:val="19"/>
          <w:szCs w:val="19"/>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Of the gross proceeds received from the Initial Public Offering, $250,000,000 was placed in the Trust Account.</w:t>
      </w:r>
    </w:p>
    <w:p>
      <w:pPr>
        <w:spacing w:after="0" w:line="233"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We paid a total of $5,000,000 in underwriting discounts and commissions and $663,362 for other offering costs and expenses related to the Initial Public Offering. In addition, the underwriters agreed to defer $8,750,000 in underwriting discounts and commissions.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For a description of the use of the proceeds generated in our Initial Public Offering, see Part I, Item 2 of this Form 10-Q.</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9" w:lineRule="exact"/>
        <w:rPr>
          <w:sz w:val="20"/>
          <w:szCs w:val="20"/>
          <w:color w:val="auto"/>
        </w:rPr>
      </w:pPr>
    </w:p>
    <w:p>
      <w:pPr>
        <w:ind w:left="340"/>
        <w:spacing w:after="0" w:line="253" w:lineRule="exact"/>
        <w:rPr>
          <w:sz w:val="20"/>
          <w:szCs w:val="20"/>
          <w:color w:val="auto"/>
        </w:rPr>
      </w:pPr>
      <w:r>
        <w:rPr>
          <w:rFonts w:ascii="Arial" w:cs="Arial" w:eastAsia="Arial" w:hAnsi="Arial"/>
          <w:sz w:val="22"/>
          <w:szCs w:val="22"/>
          <w:color w:val="auto"/>
        </w:rPr>
        <w:t>The following exhibits are filed as part of, or incorporated by reference into, this Quarterly Report on Form 10</w:t>
      </w:r>
      <w:r>
        <w:rPr>
          <w:rFonts w:ascii="MS PGothic" w:cs="MS PGothic" w:eastAsia="MS PGothic" w:hAnsi="MS PGothic"/>
          <w:sz w:val="22"/>
          <w:szCs w:val="22"/>
          <w:color w:val="auto"/>
        </w:rPr>
        <w:t>‑</w:t>
      </w:r>
      <w:r>
        <w:rPr>
          <w:rFonts w:ascii="Arial" w:cs="Arial" w:eastAsia="Arial" w:hAnsi="Arial"/>
          <w:sz w:val="22"/>
          <w:szCs w:val="22"/>
          <w:color w:val="auto"/>
        </w:rPr>
        <w:t>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500" w:type="dxa"/>
            <w:vAlign w:val="bottom"/>
            <w:tcBorders>
              <w:top w:val="single" w:sz="8" w:color="auto"/>
            </w:tcBorders>
            <w:gridSpan w:val="2"/>
            <w:shd w:val="clear" w:color="auto" w:fill="CCEEFF"/>
          </w:tcPr>
          <w:p>
            <w:pPr>
              <w:spacing w:after="0" w:line="169"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Certification of Principal Executive Officer Pursuant to Securities Exchange Act Rules 13a-14(a) and 15(d)-14(a), as adopted Pursuant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Section 302 of the Sarbanes-Oxley Act of 2002</w:t>
            </w:r>
          </w:p>
        </w:tc>
      </w:tr>
      <w:tr>
        <w:trPr>
          <w:trHeight w:val="176"/>
        </w:trPr>
        <w:tc>
          <w:tcPr>
            <w:tcW w:w="500" w:type="dxa"/>
            <w:vAlign w:val="bottom"/>
            <w:gridSpan w:val="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20" w:type="dxa"/>
            <w:vAlign w:val="bottom"/>
          </w:tcPr>
          <w:p>
            <w:pPr>
              <w:spacing w:after="0"/>
              <w:rPr>
                <w:sz w:val="15"/>
                <w:szCs w:val="15"/>
                <w:color w:val="auto"/>
              </w:rPr>
            </w:pPr>
          </w:p>
        </w:tc>
        <w:tc>
          <w:tcPr>
            <w:tcW w:w="1012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1"/>
              </w:rPr>
              <w:t>Certification of Principal Financial Officer Pursuant to Securities Exchange Act Rules 13a-14(a) and 15(d)-14(a), as adopted Pursuant to</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Section 302 of the Sarbanes-Oxley Act of 2002</w:t>
            </w:r>
          </w:p>
        </w:tc>
      </w:tr>
      <w:tr>
        <w:trPr>
          <w:trHeight w:val="175"/>
        </w:trPr>
        <w:tc>
          <w:tcPr>
            <w:tcW w:w="1120" w:type="dxa"/>
            <w:vAlign w:val="bottom"/>
            <w:gridSpan w:val="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1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Oxley Act of 2002</w:t>
            </w:r>
          </w:p>
        </w:tc>
      </w:tr>
      <w:tr>
        <w:trPr>
          <w:trHeight w:val="176"/>
        </w:trPr>
        <w:tc>
          <w:tcPr>
            <w:tcW w:w="1120" w:type="dxa"/>
            <w:vAlign w:val="bottom"/>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2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4"/>
              </w:rPr>
              <w:t>Certification of Principal Financial Officer Pursuant to 18 U.S.C. Section 1350, as adopted Pursuant to Section 906 of the Sarbanes-</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216"/>
        </w:trPr>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12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right="9820" w:firstLine="8"/>
        <w:spacing w:after="0" w:line="659" w:lineRule="auto"/>
        <w:tabs>
          <w:tab w:leader="none" w:pos="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Pursuant to the requirements of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80" w:type="dxa"/>
            <w:vAlign w:val="bottom"/>
            <w:gridSpan w:val="4"/>
          </w:tcPr>
          <w:p>
            <w:pPr>
              <w:ind w:left="2020"/>
              <w:spacing w:after="0"/>
              <w:rPr>
                <w:sz w:val="20"/>
                <w:szCs w:val="20"/>
                <w:color w:val="auto"/>
              </w:rPr>
            </w:pPr>
            <w:r>
              <w:rPr>
                <w:rFonts w:ascii="Arial" w:cs="Arial" w:eastAsia="Arial" w:hAnsi="Arial"/>
                <w:sz w:val="18"/>
                <w:szCs w:val="18"/>
                <w:color w:val="auto"/>
              </w:rPr>
              <w:t>SILVER SPIKE ACQUISITION CORP.</w:t>
            </w: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60"/>
              <w:spacing w:after="0"/>
              <w:rPr>
                <w:sz w:val="20"/>
                <w:szCs w:val="20"/>
                <w:color w:val="auto"/>
              </w:rPr>
            </w:pPr>
            <w:r>
              <w:rPr>
                <w:rFonts w:ascii="Arial" w:cs="Arial" w:eastAsia="Arial" w:hAnsi="Arial"/>
                <w:sz w:val="18"/>
                <w:szCs w:val="18"/>
                <w:color w:val="auto"/>
              </w:rPr>
              <w:t>May 13, 2021</w:t>
            </w:r>
          </w:p>
        </w:tc>
        <w:tc>
          <w:tcPr>
            <w:tcW w:w="7680" w:type="dxa"/>
            <w:vAlign w:val="bottom"/>
            <w:gridSpan w:val="4"/>
          </w:tcPr>
          <w:p>
            <w:pPr>
              <w:ind w:left="2020"/>
              <w:spacing w:after="0"/>
              <w:rPr>
                <w:sz w:val="20"/>
                <w:szCs w:val="20"/>
                <w:color w:val="auto"/>
              </w:rPr>
            </w:pPr>
            <w:r>
              <w:rPr>
                <w:rFonts w:ascii="Arial" w:cs="Arial" w:eastAsia="Arial" w:hAnsi="Arial"/>
                <w:sz w:val="18"/>
                <w:szCs w:val="18"/>
                <w:color w:val="auto"/>
              </w:rPr>
              <w:t>By: /s/ Scott Gordon</w:t>
            </w:r>
          </w:p>
        </w:tc>
      </w:tr>
      <w:tr>
        <w:trPr>
          <w:trHeight w:val="202"/>
        </w:trPr>
        <w:tc>
          <w:tcPr>
            <w:tcW w:w="4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Scott Gordon</w:t>
            </w:r>
          </w:p>
        </w:tc>
      </w:tr>
      <w:tr>
        <w:trPr>
          <w:trHeight w:val="216"/>
        </w:trPr>
        <w:tc>
          <w:tcPr>
            <w:tcW w:w="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66"/>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60"/>
              <w:spacing w:after="0"/>
              <w:rPr>
                <w:sz w:val="20"/>
                <w:szCs w:val="20"/>
                <w:color w:val="auto"/>
              </w:rPr>
            </w:pPr>
            <w:r>
              <w:rPr>
                <w:rFonts w:ascii="Arial" w:cs="Arial" w:eastAsia="Arial" w:hAnsi="Arial"/>
                <w:sz w:val="18"/>
                <w:szCs w:val="18"/>
                <w:color w:val="auto"/>
              </w:rPr>
              <w:t>May 13, 2021</w:t>
            </w:r>
          </w:p>
        </w:tc>
        <w:tc>
          <w:tcPr>
            <w:tcW w:w="7680" w:type="dxa"/>
            <w:vAlign w:val="bottom"/>
            <w:gridSpan w:val="4"/>
          </w:tcPr>
          <w:p>
            <w:pPr>
              <w:ind w:left="2000"/>
              <w:spacing w:after="0"/>
              <w:rPr>
                <w:sz w:val="20"/>
                <w:szCs w:val="20"/>
                <w:color w:val="auto"/>
              </w:rPr>
            </w:pPr>
            <w:r>
              <w:rPr>
                <w:rFonts w:ascii="Arial" w:cs="Arial" w:eastAsia="Arial" w:hAnsi="Arial"/>
                <w:sz w:val="18"/>
                <w:szCs w:val="18"/>
                <w:color w:val="auto"/>
              </w:rPr>
              <w:t>By: /s/ Gregory Gentile</w:t>
            </w:r>
          </w:p>
        </w:tc>
      </w:tr>
      <w:tr>
        <w:trPr>
          <w:trHeight w:val="202"/>
        </w:trPr>
        <w:tc>
          <w:tcPr>
            <w:tcW w:w="4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Gregory Gentile</w:t>
            </w:r>
          </w:p>
        </w:tc>
      </w:tr>
      <w:tr>
        <w:trPr>
          <w:trHeight w:val="216"/>
        </w:trPr>
        <w:tc>
          <w:tcPr>
            <w:tcW w:w="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649"/>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20" w:type="dxa"/>
            <w:vAlign w:val="bottom"/>
          </w:tcPr>
          <w:p>
            <w:pPr>
              <w:ind w:left="2000"/>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00"/>
        </w:trPr>
        <w:tc>
          <w:tcPr>
            <w:tcW w:w="48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20" w:val="left"/>
          <w:tab w:leader="none" w:pos="5560" w:val="left"/>
        </w:tabs>
        <w:rPr>
          <w:sz w:val="20"/>
          <w:szCs w:val="20"/>
          <w:color w:val="auto"/>
        </w:rPr>
      </w:pPr>
      <w:r>
        <w:rPr>
          <w:rFonts w:ascii="Arial" w:cs="Arial" w:eastAsia="Arial" w:hAnsi="Arial"/>
          <w:sz w:val="18"/>
          <w:szCs w:val="18"/>
          <w:color w:val="auto"/>
        </w:rPr>
        <w:t>Date:</w:t>
        <w:tab/>
        <w:t>May 13, 2021</w:t>
      </w:r>
      <w:r>
        <w:rPr>
          <w:sz w:val="20"/>
          <w:szCs w:val="20"/>
          <w:color w:val="auto"/>
        </w:rPr>
        <w:tab/>
      </w:r>
      <w:r>
        <w:rPr>
          <w:rFonts w:ascii="Arial" w:cs="Arial" w:eastAsia="Arial" w:hAnsi="Arial"/>
          <w:sz w:val="16"/>
          <w:szCs w:val="16"/>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Gordon</w:t>
      </w:r>
    </w:p>
    <w:p>
      <w:pPr>
        <w:spacing w:after="0" w:line="23" w:lineRule="exact"/>
        <w:rPr>
          <w:sz w:val="20"/>
          <w:szCs w:val="20"/>
          <w:color w:val="auto"/>
        </w:rPr>
      </w:pPr>
    </w:p>
    <w:p>
      <w:pPr>
        <w:ind w:left="59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Gregory Gentile, certify that:</w:t>
      </w:r>
    </w:p>
    <w:p>
      <w:pPr>
        <w:spacing w:after="0" w:line="24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20" w:val="left"/>
          <w:tab w:leader="none" w:pos="5540" w:val="left"/>
        </w:tabs>
        <w:rPr>
          <w:sz w:val="20"/>
          <w:szCs w:val="20"/>
          <w:color w:val="auto"/>
        </w:rPr>
      </w:pPr>
      <w:r>
        <w:rPr>
          <w:rFonts w:ascii="Arial" w:cs="Arial" w:eastAsia="Arial" w:hAnsi="Arial"/>
          <w:sz w:val="18"/>
          <w:szCs w:val="18"/>
          <w:color w:val="auto"/>
        </w:rPr>
        <w:t>Date:</w:t>
        <w:tab/>
        <w:t>May 13, 2021</w:t>
      </w:r>
      <w:r>
        <w:rPr>
          <w:sz w:val="20"/>
          <w:szCs w:val="20"/>
          <w:color w:val="auto"/>
        </w:rPr>
        <w:tab/>
      </w:r>
      <w:r>
        <w:rPr>
          <w:rFonts w:ascii="Arial" w:cs="Arial" w:eastAsia="Arial" w:hAnsi="Arial"/>
          <w:sz w:val="16"/>
          <w:szCs w:val="16"/>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Name:</w:t>
        <w:tab/>
        <w:t>Gregory Gentile</w:t>
      </w:r>
    </w:p>
    <w:p>
      <w:pPr>
        <w:spacing w:after="0" w:line="23"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September 30, 2020, as filed with the Securities and Exchange Commission (the “Report”), I, Scott Gordon, Chief Executive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20" w:val="left"/>
          <w:tab w:leader="none" w:pos="5560" w:val="left"/>
        </w:tabs>
        <w:rPr>
          <w:sz w:val="20"/>
          <w:szCs w:val="20"/>
          <w:color w:val="auto"/>
        </w:rPr>
      </w:pPr>
      <w:r>
        <w:rPr>
          <w:rFonts w:ascii="Arial" w:cs="Arial" w:eastAsia="Arial" w:hAnsi="Arial"/>
          <w:sz w:val="18"/>
          <w:szCs w:val="18"/>
          <w:color w:val="auto"/>
        </w:rPr>
        <w:t>Date:</w:t>
        <w:tab/>
        <w:t>May 13, 2021</w:t>
      </w:r>
      <w:r>
        <w:rPr>
          <w:sz w:val="20"/>
          <w:szCs w:val="20"/>
          <w:color w:val="auto"/>
        </w:rPr>
        <w:tab/>
      </w:r>
      <w:r>
        <w:rPr>
          <w:rFonts w:ascii="Arial" w:cs="Arial" w:eastAsia="Arial" w:hAnsi="Arial"/>
          <w:sz w:val="16"/>
          <w:szCs w:val="16"/>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6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Gordon</w:t>
      </w:r>
    </w:p>
    <w:p>
      <w:pPr>
        <w:spacing w:after="0" w:line="23" w:lineRule="exact"/>
        <w:rPr>
          <w:sz w:val="20"/>
          <w:szCs w:val="20"/>
          <w:color w:val="auto"/>
        </w:rPr>
      </w:pPr>
    </w:p>
    <w:p>
      <w:pPr>
        <w:ind w:left="59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ind w:right="360"/>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September 30, 2020, as filed with the Securities and Exchange Commission (the “Report”), I, Gregory Gentile, Chief Financial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20" w:val="left"/>
          <w:tab w:leader="none" w:pos="5540" w:val="left"/>
        </w:tabs>
        <w:rPr>
          <w:sz w:val="20"/>
          <w:szCs w:val="20"/>
          <w:color w:val="auto"/>
        </w:rPr>
      </w:pPr>
      <w:r>
        <w:rPr>
          <w:rFonts w:ascii="Arial" w:cs="Arial" w:eastAsia="Arial" w:hAnsi="Arial"/>
          <w:sz w:val="18"/>
          <w:szCs w:val="18"/>
          <w:color w:val="auto"/>
        </w:rPr>
        <w:t>Date:</w:t>
        <w:tab/>
        <w:t>May 13, 2021</w:t>
      </w:r>
      <w:r>
        <w:rPr>
          <w:sz w:val="20"/>
          <w:szCs w:val="20"/>
          <w:color w:val="auto"/>
        </w:rPr>
        <w:tab/>
      </w:r>
      <w:r>
        <w:rPr>
          <w:rFonts w:ascii="Arial" w:cs="Arial" w:eastAsia="Arial" w:hAnsi="Arial"/>
          <w:sz w:val="16"/>
          <w:szCs w:val="16"/>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Name:</w:t>
        <w:tab/>
        <w:t>Gregory Gentile</w:t>
      </w:r>
    </w:p>
    <w:p>
      <w:pPr>
        <w:spacing w:after="0" w:line="23"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2021-05-13T15:21:09Z</dcterms:created>
  <dcterms:modified xsi:type="dcterms:W3CDTF">2021-05-13T15:21:09Z</dcterms:modified>
</cp:coreProperties>
</file>