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484505</wp:posOffset>
            </wp:positionV>
            <wp:extent cx="713486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33655"/>
                    </a:xfrm>
                    <a:prstGeom prst="rect">
                      <a:avLst/>
                    </a:prstGeom>
                    <a:noFill/>
                  </pic:spPr>
                </pic:pic>
              </a:graphicData>
            </a:graphic>
          </wp:anchor>
        </w:drawing>
        <w:t>As filed with the Securities and Exchange Commission on July 29, 2024</w:t>
      </w:r>
    </w:p>
    <w:p>
      <w:pPr>
        <w:spacing w:after="0" w:line="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WM Technology, Inc.</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3" w:lineRule="exact"/>
        <w:rPr>
          <w:sz w:val="24"/>
          <w:szCs w:val="24"/>
          <w:color w:val="auto"/>
        </w:rPr>
      </w:pPr>
    </w:p>
    <w:tbl>
      <w:tblPr>
        <w:tblLayout w:type="fixed"/>
        <w:tblInd w:w="680" w:type="dxa"/>
        <w:tblCellMar>
          <w:top w:w="0" w:type="dxa"/>
          <w:left w:w="0" w:type="dxa"/>
          <w:bottom w:w="0" w:type="dxa"/>
          <w:right w:w="0" w:type="dxa"/>
        </w:tblCellMar>
      </w:tblPr>
      <w:tr>
        <w:trPr>
          <w:trHeight w:val="233"/>
        </w:trPr>
        <w:tc>
          <w:tcPr>
            <w:tcW w:w="4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920" w:type="dxa"/>
            <w:vAlign w:val="bottom"/>
          </w:tcPr>
          <w:p>
            <w:pPr>
              <w:jc w:val="right"/>
              <w:ind w:right="1952"/>
              <w:spacing w:after="0"/>
              <w:rPr>
                <w:sz w:val="20"/>
                <w:szCs w:val="20"/>
                <w:color w:val="auto"/>
              </w:rPr>
            </w:pPr>
            <w:r>
              <w:rPr>
                <w:rFonts w:ascii="Times New Roman" w:cs="Times New Roman" w:eastAsia="Times New Roman" w:hAnsi="Times New Roman"/>
                <w:sz w:val="18"/>
                <w:szCs w:val="18"/>
                <w:b w:val="1"/>
                <w:bCs w:val="1"/>
                <w:color w:val="auto"/>
              </w:rPr>
              <w:t>98-1605615</w:t>
            </w:r>
          </w:p>
        </w:tc>
      </w:tr>
      <w:tr>
        <w:trPr>
          <w:trHeight w:val="26"/>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3"/>
        </w:trPr>
        <w:tc>
          <w:tcPr>
            <w:tcW w:w="4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37"/>
        </w:trPr>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41 Discovery</w:t>
            </w:r>
          </w:p>
        </w:tc>
        <w:tc>
          <w:tcPr>
            <w:tcW w:w="4920" w:type="dxa"/>
            <w:vAlign w:val="bottom"/>
          </w:tcPr>
          <w:p>
            <w:pPr>
              <w:spacing w:after="0"/>
              <w:rPr>
                <w:sz w:val="24"/>
                <w:szCs w:val="24"/>
                <w:color w:val="auto"/>
              </w:rPr>
            </w:pPr>
          </w:p>
        </w:tc>
      </w:tr>
      <w:tr>
        <w:trPr>
          <w:trHeight w:val="292"/>
        </w:trPr>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Irvine, California</w:t>
            </w:r>
          </w:p>
        </w:tc>
        <w:tc>
          <w:tcPr>
            <w:tcW w:w="4920" w:type="dxa"/>
            <w:vAlign w:val="bottom"/>
          </w:tcPr>
          <w:p>
            <w:pPr>
              <w:jc w:val="right"/>
              <w:ind w:right="2152"/>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5"/>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3"/>
        </w:trPr>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2021 Equity Incentive Plan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2021 Employee Stock Purchase Plan</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Camire</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58" w:lineRule="exact"/>
        <w:rPr>
          <w:sz w:val="24"/>
          <w:szCs w:val="24"/>
          <w:color w:val="auto"/>
        </w:rPr>
      </w:pPr>
    </w:p>
    <w:p>
      <w:pPr>
        <w:ind w:left="5360" w:hanging="219"/>
        <w:spacing w:after="0"/>
        <w:tabs>
          <w:tab w:leader="none" w:pos="53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w:t>
      </w:r>
    </w:p>
    <w:p>
      <w:pPr>
        <w:spacing w:after="0" w:line="58" w:lineRule="exact"/>
        <w:rPr>
          <w:rFonts w:ascii="Times New Roman" w:cs="Times New Roman" w:eastAsia="Times New Roman" w:hAnsi="Times New Roman"/>
          <w:sz w:val="18"/>
          <w:szCs w:val="18"/>
          <w:b w:val="1"/>
          <w:bCs w:val="1"/>
          <w:color w:val="auto"/>
        </w:rPr>
      </w:pPr>
    </w:p>
    <w:p>
      <w:pPr>
        <w:ind w:left="4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Irvine, California 92618</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(844) 933-3627</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2637155</wp:posOffset>
            </wp:positionH>
            <wp:positionV relativeFrom="paragraph">
              <wp:posOffset>158115</wp:posOffset>
            </wp:positionV>
            <wp:extent cx="1876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Peinsipp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Kristin VanderPas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Byrne</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Embarcadero Center, 20th Floor</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(415) 693-2000</w:t>
      </w:r>
    </w:p>
    <w:p>
      <w:pPr>
        <w:spacing w:after="0" w:line="232" w:lineRule="exact"/>
        <w:rPr>
          <w:sz w:val="24"/>
          <w:szCs w:val="24"/>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11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5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WM Technology, Inc. (the “Registrant”) is filing this registration statement on Form S-8 (the “Registration Statement”) with the Securities and Exchange Commission (the “Commission”) to register the offering of an additional 8,992,164 shares of Class A Common Stock, par value $0.0001 per share (“Class A Common Stock”), of the Registrant. The 8,992,164 shares of Class A Common Stock being registered herein include (i) 7,493,470 shares of Class A Common Stock issuable pursuant to the WM Technology, Inc. 2021 Equity Incentive Plan (the “2021 EIP”) and (ii) 1,498,694 shares of Class A Common Stock issuable pursuant to the WM Technology, Inc. 2021 Employee Stock Purchase Plan (the “2021 ESPP”). These additional shares of Class A Common Stock are securities of the same class as other securities for which earlier registration statements on Form S-8 were filed with the Commission on August 26, 2021 (File No. 333-259072), on October 5, 2022 (File No. 333-267744), and on March 17, 2023 (File No. 333-270647) (collectively, the “Prior Registration Statements”). Accordingly, the contents of the Prior Registration Statements are incorporated by reference into this Registration Statement pursuant to General Instruction E of Form S-8. These additional shares of Class A Common Stock have become reserved for issuance as a result of the operation of the “evergreen” provisions in each of the 2021 EIP and 2021 ESPP, which provide that the total number of shares subject to such plan may be increased each year pursuant to a specified formula.</w:t>
      </w:r>
    </w:p>
    <w:p>
      <w:pPr>
        <w:sectPr>
          <w:pgSz w:w="11900" w:h="16838" w:orient="portrait"/>
          <w:cols w:equalWidth="0" w:num="1">
            <w:col w:w="11240"/>
          </w:cols>
          <w:pgMar w:left="320" w:top="994" w:right="33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by reference in this Registration Statement:</w:t>
      </w:r>
    </w:p>
    <w:p>
      <w:pPr>
        <w:spacing w:after="0" w:line="191" w:lineRule="exact"/>
        <w:rPr>
          <w:sz w:val="20"/>
          <w:szCs w:val="20"/>
          <w:color w:val="auto"/>
        </w:rPr>
      </w:pPr>
    </w:p>
    <w:p>
      <w:pPr>
        <w:ind w:left="1020" w:hanging="378"/>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2023 filed with the Commission on May 24, 2024;</w:t>
      </w:r>
    </w:p>
    <w:p>
      <w:pPr>
        <w:spacing w:after="0" w:line="177" w:lineRule="exact"/>
        <w:rPr>
          <w:rFonts w:ascii="Times New Roman" w:cs="Times New Roman" w:eastAsia="Times New Roman" w:hAnsi="Times New Roman"/>
          <w:sz w:val="18"/>
          <w:szCs w:val="18"/>
          <w:color w:val="auto"/>
        </w:rPr>
      </w:pPr>
    </w:p>
    <w:p>
      <w:pPr>
        <w:ind w:left="1020" w:hanging="378"/>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2024 filed with the Commission on May 24, 2024;</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with the Commission on March 1, 2024 (with respect to Item 5.02 only), April 2, 2024, April 8, 2024, May 17, 2024, May 24, 2024, May 30, 2024 and July 23, 2024 to the extent the information in such reports is filed and not furnished; and</w:t>
      </w:r>
    </w:p>
    <w:p>
      <w:pPr>
        <w:spacing w:after="0" w:line="151"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Class A Common Stock contained in Exhibit 4.5 to the Registrant’s annual report on Form 10-K for the fiscal year ended December 31, 2023, filed with the Commission on May 24, 2024, including any amendment or report filed for the purpose of updating such description.</w:t>
      </w:r>
    </w:p>
    <w:p>
      <w:pPr>
        <w:spacing w:after="0" w:line="125"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18"/>
          <w:szCs w:val="18"/>
          <w:color w:val="auto"/>
        </w:rPr>
        <w:t xml:space="preserve">All reports and other documents filed by the Registrant pursuant to Section 13(a), 13(c), 14 or 15(d) of the Securities Exchange Act of 1934, as amended, other than Current Reports on Form 8-K furnished under Item 2.02 and Item 7.01 of Form 8-K and any exhibits furnished on such form that relate to such items, after the date of this Registration Statement, and prior to the filing of a post-effective amendment that indicates that all securities offered hereby have been sold or that deregisters all securities then remaining unsold, shall be deemed to be incorporated by reference herein and to be a part of this Registration Statement from the date of filing of such reports and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ectPr>
          <w:pgSz w:w="11900" w:h="16838" w:orient="portrait"/>
          <w:cols w:equalWidth="0" w:num="1">
            <w:col w:w="11240"/>
          </w:cols>
          <w:pgMar w:left="320" w:top="11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300" w:type="dxa"/>
            <w:vAlign w:val="bottom"/>
          </w:tcPr>
          <w:p>
            <w:pPr>
              <w:spacing w:after="0"/>
              <w:rPr>
                <w:sz w:val="24"/>
                <w:szCs w:val="24"/>
                <w:color w:val="auto"/>
              </w:rPr>
            </w:pPr>
          </w:p>
        </w:tc>
        <w:tc>
          <w:tcPr>
            <w:tcW w:w="11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gridSpan w:val="7"/>
          </w:tcPr>
          <w:p>
            <w:pPr>
              <w:ind w:left="1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
        </w:trPr>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280" w:type="dxa"/>
            <w:vAlign w:val="bottom"/>
            <w:gridSpan w:val="2"/>
            <w:vMerge w:val="restart"/>
            <w:shd w:val="clear" w:color="auto" w:fill="CCEEFF"/>
          </w:tcPr>
          <w:p>
            <w:pPr>
              <w:spacing w:after="0"/>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520" w:type="dxa"/>
            <w:vAlign w:val="bottom"/>
            <w:gridSpan w:val="16"/>
            <w:shd w:val="clear" w:color="auto" w:fill="CCEEFF"/>
          </w:tcPr>
          <w:p>
            <w:pPr>
              <w:spacing w:after="0" w:line="179" w:lineRule="exact"/>
              <w:rPr>
                <w:rFonts w:ascii="Times New Roman" w:cs="Times New Roman" w:eastAsia="Times New Roman" w:hAnsi="Times New Roman"/>
                <w:sz w:val="18"/>
                <w:szCs w:val="18"/>
                <w:color w:val="0000FF"/>
                <w:w w:val="99"/>
              </w:rPr>
            </w:pPr>
            <w:hyperlink r:id="rId11">
              <w:r>
                <w:rPr>
                  <w:rFonts w:ascii="Times New Roman" w:cs="Times New Roman" w:eastAsia="Times New Roman" w:hAnsi="Times New Roman"/>
                  <w:sz w:val="18"/>
                  <w:szCs w:val="18"/>
                  <w:color w:val="0000FF"/>
                  <w:w w:val="99"/>
                </w:rPr>
                <w:t>Certificate of Incorporation of the Company, dated June 15, 2021 (incorporated by reference to Exhibit 3.1 to the Current Report on</w:t>
              </w:r>
            </w:hyperlink>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280" w:type="dxa"/>
            <w:vAlign w:val="bottom"/>
            <w:tcBorders>
              <w:top w:val="single" w:sz="8" w:color="CCEEFF"/>
            </w:tcBorders>
            <w:gridSpan w:val="2"/>
            <w:vMerge w:val="continue"/>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300" w:type="dxa"/>
            <w:vAlign w:val="bottom"/>
            <w:tcBorders>
              <w:top w:val="single" w:sz="8" w:color="0000FF"/>
            </w:tcBorders>
            <w:gridSpan w:val="11"/>
            <w:shd w:val="clear" w:color="auto" w:fill="CCEEFF"/>
          </w:tcPr>
          <w:p>
            <w:pPr>
              <w:spacing w:after="0" w:line="179"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Form 8-K filed on June 22, 2021).</w:t>
              </w:r>
            </w:hyperlink>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00" w:type="dxa"/>
            <w:vAlign w:val="bottom"/>
            <w:vMerge w:val="restart"/>
          </w:tcPr>
          <w:p>
            <w:pPr>
              <w:spacing w:after="0"/>
              <w:rPr>
                <w:sz w:val="16"/>
                <w:szCs w:val="16"/>
                <w:color w:val="auto"/>
              </w:rPr>
            </w:pPr>
          </w:p>
        </w:tc>
        <w:tc>
          <w:tcPr>
            <w:tcW w:w="280" w:type="dxa"/>
            <w:vAlign w:val="bottom"/>
            <w:gridSpan w:val="2"/>
            <w:vMerge w:val="restart"/>
          </w:tcPr>
          <w:p>
            <w:pPr>
              <w:spacing w:after="0"/>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16"/>
          </w:tcPr>
          <w:p>
            <w:pPr>
              <w:spacing w:after="0" w:line="18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Amended and Restated Bylaws of the Company, dated June 16, 2021 (incorporated by reference to Exhibit 3.2 to the Current Report</w:t>
              </w:r>
            </w:hyperlink>
          </w:p>
        </w:tc>
        <w:tc>
          <w:tcPr>
            <w:tcW w:w="0" w:type="dxa"/>
            <w:vAlign w:val="bottom"/>
          </w:tcPr>
          <w:p>
            <w:pPr>
              <w:spacing w:after="0"/>
              <w:rPr>
                <w:sz w:val="1"/>
                <w:szCs w:val="1"/>
                <w:color w:val="auto"/>
              </w:rPr>
            </w:pPr>
          </w:p>
        </w:tc>
      </w:tr>
      <w:tr>
        <w:trPr>
          <w:trHeight w:val="179"/>
        </w:trPr>
        <w:tc>
          <w:tcPr>
            <w:tcW w:w="30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top w:val="single" w:sz="8" w:color="0000FF"/>
            </w:tcBorders>
            <w:gridSpan w:val="12"/>
          </w:tcPr>
          <w:p>
            <w:pPr>
              <w:spacing w:after="0" w:line="179"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on Form 8-K filed on June 22, 2021).</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280" w:type="dxa"/>
            <w:vAlign w:val="bottom"/>
            <w:gridSpan w:val="2"/>
            <w:vMerge w:val="restart"/>
            <w:shd w:val="clear" w:color="auto" w:fill="CCEEFF"/>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520" w:type="dxa"/>
            <w:vAlign w:val="bottom"/>
            <w:gridSpan w:val="16"/>
            <w:shd w:val="clear" w:color="auto" w:fill="CCEEFF"/>
          </w:tcPr>
          <w:p>
            <w:pPr>
              <w:spacing w:after="0" w:line="18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Form of Common Stock Certificate (incorporated by reference to Exhibit 4.1 to the Current Report on Form 8-K filed on June 22,</w:t>
              </w:r>
            </w:hyperlink>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280" w:type="dxa"/>
            <w:vAlign w:val="bottom"/>
            <w:tcBorders>
              <w:top w:val="single" w:sz="8" w:color="CCEEFF"/>
            </w:tcBorders>
            <w:gridSpan w:val="2"/>
            <w:vMerge w:val="continue"/>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0000FF"/>
            </w:tcBorders>
            <w:shd w:val="clear" w:color="auto" w:fill="CCEEFF"/>
          </w:tcPr>
          <w:p>
            <w:pPr>
              <w:spacing w:after="0" w:line="179" w:lineRule="exact"/>
              <w:rPr>
                <w:rFonts w:ascii="Times New Roman" w:cs="Times New Roman" w:eastAsia="Times New Roman" w:hAnsi="Times New Roman"/>
                <w:sz w:val="18"/>
                <w:szCs w:val="18"/>
                <w:color w:val="0000FF"/>
                <w:w w:val="94"/>
              </w:rPr>
            </w:pPr>
            <w:hyperlink r:id="rId13">
              <w:r>
                <w:rPr>
                  <w:rFonts w:ascii="Times New Roman" w:cs="Times New Roman" w:eastAsia="Times New Roman" w:hAnsi="Times New Roman"/>
                  <w:sz w:val="18"/>
                  <w:szCs w:val="18"/>
                  <w:color w:val="0000FF"/>
                  <w:w w:val="94"/>
                </w:rPr>
                <w:t>2021).</w:t>
              </w:r>
            </w:hyperlink>
          </w:p>
        </w:tc>
        <w:tc>
          <w:tcPr>
            <w:tcW w:w="68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654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2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16"/>
          </w:tcPr>
          <w:p>
            <w:pPr>
              <w:spacing w:after="0" w:line="199" w:lineRule="exact"/>
              <w:rPr>
                <w:sz w:val="20"/>
                <w:szCs w:val="20"/>
                <w:color w:val="auto"/>
              </w:rPr>
            </w:pPr>
            <w:r>
              <w:rPr>
                <w:rFonts w:ascii="Times New Roman" w:cs="Times New Roman" w:eastAsia="Times New Roman" w:hAnsi="Times New Roman"/>
                <w:sz w:val="18"/>
                <w:szCs w:val="18"/>
                <w:color w:val="0000FF"/>
              </w:rPr>
              <w:t>Opinion of Cooley LLP.</w:t>
            </w: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320" w:type="dxa"/>
            <w:vAlign w:val="bottom"/>
            <w:gridSpan w:val="3"/>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520" w:type="dxa"/>
            <w:vAlign w:val="bottom"/>
            <w:gridSpan w:val="16"/>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Consent of Baker Tilly US, LLP</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20" w:type="dxa"/>
            <w:vAlign w:val="bottom"/>
            <w:tcBorders>
              <w:top w:val="single" w:sz="8" w:color="0000FF"/>
            </w:tcBorders>
            <w:gridSpan w:val="3"/>
          </w:tcPr>
          <w:p>
            <w:pPr>
              <w:spacing w:after="0" w:line="199" w:lineRule="exact"/>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2</w:t>
            </w:r>
          </w:p>
        </w:tc>
        <w:tc>
          <w:tcPr>
            <w:tcW w:w="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80" w:type="dxa"/>
            <w:vAlign w:val="bottom"/>
            <w:tcBorders>
              <w:top w:val="single" w:sz="8" w:color="0000FF"/>
            </w:tcBorders>
            <w:gridSpan w:val="7"/>
          </w:tcPr>
          <w:p>
            <w:pPr>
              <w:spacing w:after="0" w:line="199" w:lineRule="exact"/>
              <w:rPr>
                <w:sz w:val="20"/>
                <w:szCs w:val="20"/>
                <w:color w:val="auto"/>
              </w:rPr>
            </w:pPr>
            <w:r>
              <w:rPr>
                <w:rFonts w:ascii="Times New Roman" w:cs="Times New Roman" w:eastAsia="Times New Roman" w:hAnsi="Times New Roman"/>
                <w:sz w:val="18"/>
                <w:szCs w:val="18"/>
                <w:color w:val="0000FF"/>
              </w:rPr>
              <w:t>Consent of Moss Adams, LLP</w:t>
            </w:r>
          </w:p>
        </w:tc>
        <w:tc>
          <w:tcPr>
            <w:tcW w:w="7240" w:type="dxa"/>
            <w:vAlign w:val="bottom"/>
            <w:tcBorders>
              <w:top w:val="single" w:sz="8" w:color="CCEEFF"/>
            </w:tcBorders>
            <w:gridSpan w:val="9"/>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10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239"/>
        </w:trPr>
        <w:tc>
          <w:tcPr>
            <w:tcW w:w="13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Power of Attorney (contained on the signature page hereto).</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20" w:type="dxa"/>
            <w:vAlign w:val="bottom"/>
            <w:gridSpan w:val="16"/>
            <w:shd w:val="clear" w:color="auto" w:fill="CCEEFF"/>
          </w:tcPr>
          <w:p>
            <w:pPr>
              <w:spacing w:after="0" w:line="199" w:lineRule="exact"/>
              <w:rPr>
                <w:rFonts w:ascii="Times New Roman" w:cs="Times New Roman" w:eastAsia="Times New Roman" w:hAnsi="Times New Roman"/>
                <w:sz w:val="18"/>
                <w:szCs w:val="18"/>
                <w:color w:val="0000FF"/>
                <w:w w:val="98"/>
              </w:rPr>
            </w:pPr>
            <w:hyperlink r:id="rId14">
              <w:r>
                <w:rPr>
                  <w:rFonts w:ascii="Times New Roman" w:cs="Times New Roman" w:eastAsia="Times New Roman" w:hAnsi="Times New Roman"/>
                  <w:sz w:val="18"/>
                  <w:szCs w:val="18"/>
                  <w:color w:val="0000FF"/>
                  <w:w w:val="98"/>
                </w:rPr>
                <w:t>WM Technology, Inc. 2021 Equity Incentive Plan (incorporated by reference to Exhibit 99.1 to the Registration Statement on Form S-</w:t>
              </w:r>
            </w:hyperlink>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320" w:type="dxa"/>
            <w:vAlign w:val="bottom"/>
            <w:tcBorders>
              <w:top w:val="single" w:sz="8" w:color="CCEEFF"/>
              <w:bottom w:val="single" w:sz="8" w:color="0000FF"/>
            </w:tcBorders>
            <w:gridSpan w:val="3"/>
            <w:shd w:val="clear" w:color="auto" w:fill="CCEEFF"/>
          </w:tcPr>
          <w:p>
            <w:pPr>
              <w:spacing w:after="0" w:line="192" w:lineRule="exact"/>
              <w:rPr>
                <w:rFonts w:ascii="Times New Roman" w:cs="Times New Roman" w:eastAsia="Times New Roman" w:hAnsi="Times New Roman"/>
                <w:sz w:val="18"/>
                <w:szCs w:val="18"/>
                <w:color w:val="0000FF"/>
                <w:w w:val="95"/>
              </w:rPr>
            </w:pPr>
            <w:hyperlink r:id="rId14">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0000FF"/>
              <w:bottom w:val="single" w:sz="8" w:color="0000FF"/>
            </w:tcBorders>
            <w:gridSpan w:val="5"/>
            <w:shd w:val="clear" w:color="auto" w:fill="CCEEFF"/>
          </w:tcPr>
          <w:p>
            <w:pPr>
              <w:spacing w:after="0" w:line="192" w:lineRule="exact"/>
              <w:rPr>
                <w:rFonts w:ascii="Times New Roman" w:cs="Times New Roman" w:eastAsia="Times New Roman" w:hAnsi="Times New Roman"/>
                <w:sz w:val="18"/>
                <w:szCs w:val="18"/>
                <w:color w:val="0000FF"/>
                <w:w w:val="97"/>
              </w:rPr>
            </w:pPr>
            <w:hyperlink r:id="rId14">
              <w:r>
                <w:rPr>
                  <w:rFonts w:ascii="Times New Roman" w:cs="Times New Roman" w:eastAsia="Times New Roman" w:hAnsi="Times New Roman"/>
                  <w:sz w:val="18"/>
                  <w:szCs w:val="18"/>
                  <w:color w:val="0000FF"/>
                  <w:w w:val="97"/>
                </w:rPr>
                <w:t>8 filed on August 26, 2021).</w:t>
              </w:r>
            </w:hyperlink>
          </w:p>
        </w:tc>
        <w:tc>
          <w:tcPr>
            <w:tcW w:w="7480" w:type="dxa"/>
            <w:vAlign w:val="bottom"/>
            <w:tcBorders>
              <w:top w:val="single" w:sz="8" w:color="0000FF"/>
              <w:bottom w:val="single" w:sz="8" w:color="CCEEFF"/>
            </w:tcBorders>
            <w:gridSpan w:val="9"/>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16"/>
          </w:tcPr>
          <w:p>
            <w:pPr>
              <w:spacing w:after="0" w:line="199" w:lineRule="exact"/>
              <w:rPr>
                <w:rFonts w:ascii="Times New Roman" w:cs="Times New Roman" w:eastAsia="Times New Roman" w:hAnsi="Times New Roman"/>
                <w:sz w:val="18"/>
                <w:szCs w:val="18"/>
                <w:color w:val="0000FF"/>
                <w:w w:val="98"/>
              </w:rPr>
            </w:pPr>
            <w:hyperlink r:id="rId15">
              <w:r>
                <w:rPr>
                  <w:rFonts w:ascii="Times New Roman" w:cs="Times New Roman" w:eastAsia="Times New Roman" w:hAnsi="Times New Roman"/>
                  <w:sz w:val="18"/>
                  <w:szCs w:val="18"/>
                  <w:color w:val="0000FF"/>
                  <w:w w:val="98"/>
                </w:rPr>
                <w:t>WM Technology, Inc. 2021 Employee Stock Purchase Plan (incorporated by reference to Exhibit 10.8 to the Current Report on Form</w:t>
              </w:r>
            </w:hyperlink>
          </w:p>
        </w:tc>
        <w:tc>
          <w:tcPr>
            <w:tcW w:w="0" w:type="dxa"/>
            <w:vAlign w:val="bottom"/>
          </w:tcPr>
          <w:p>
            <w:pPr>
              <w:spacing w:after="0"/>
              <w:rPr>
                <w:sz w:val="1"/>
                <w:szCs w:val="1"/>
                <w:color w:val="auto"/>
              </w:rPr>
            </w:pPr>
          </w:p>
        </w:tc>
      </w:tr>
      <w:tr>
        <w:trPr>
          <w:trHeight w:val="192"/>
        </w:trPr>
        <w:tc>
          <w:tcPr>
            <w:tcW w:w="1340" w:type="dxa"/>
            <w:vAlign w:val="bottom"/>
            <w:gridSpan w:val="5"/>
          </w:tcPr>
          <w:p>
            <w:pPr>
              <w:ind w:left="300"/>
              <w:spacing w:after="0" w:line="192"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tcBorders>
              <w:top w:val="single" w:sz="8" w:color="0000FF"/>
            </w:tcBorders>
            <w:gridSpan w:val="14"/>
          </w:tcPr>
          <w:p>
            <w:pPr>
              <w:spacing w:after="0" w:line="192"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8-K filed on June 22, 2021).</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320" w:type="dxa"/>
            <w:vAlign w:val="bottom"/>
            <w:gridSpan w:val="3"/>
            <w:vMerge w:val="restart"/>
            <w:shd w:val="clear" w:color="auto" w:fill="CCEEFF"/>
          </w:tcPr>
          <w:p>
            <w:pPr>
              <w:spacing w:after="0"/>
              <w:rPr>
                <w:rFonts w:ascii="Times New Roman" w:cs="Times New Roman" w:eastAsia="Times New Roman" w:hAnsi="Times New Roman"/>
                <w:sz w:val="18"/>
                <w:szCs w:val="18"/>
                <w:color w:val="0000FF"/>
                <w:w w:val="95"/>
              </w:rPr>
            </w:pPr>
            <w:hyperlink r:id="rId16">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3</w:t>
              </w:r>
            </w:hyperlink>
          </w:p>
        </w:tc>
        <w:tc>
          <w:tcPr>
            <w:tcW w:w="720" w:type="dxa"/>
            <w:vAlign w:val="bottom"/>
            <w:vMerge w:val="restart"/>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520" w:type="dxa"/>
            <w:vAlign w:val="bottom"/>
            <w:gridSpan w:val="16"/>
            <w:shd w:val="clear" w:color="auto" w:fill="CCEEFF"/>
          </w:tcPr>
          <w:p>
            <w:pPr>
              <w:spacing w:after="0" w:line="186" w:lineRule="exact"/>
              <w:rPr>
                <w:rFonts w:ascii="Times New Roman" w:cs="Times New Roman" w:eastAsia="Times New Roman" w:hAnsi="Times New Roman"/>
                <w:sz w:val="18"/>
                <w:szCs w:val="18"/>
                <w:color w:val="0000FF"/>
                <w:w w:val="98"/>
              </w:rPr>
            </w:pPr>
            <w:hyperlink r:id="rId16">
              <w:r>
                <w:rPr>
                  <w:rFonts w:ascii="Times New Roman" w:cs="Times New Roman" w:eastAsia="Times New Roman" w:hAnsi="Times New Roman"/>
                  <w:sz w:val="18"/>
                  <w:szCs w:val="18"/>
                  <w:color w:val="0000FF"/>
                  <w:w w:val="98"/>
                </w:rPr>
                <w:t>Form of Stock Option Grant Notice (incorporated by reference to Exhibit 10.7(a) to the Current Report on Form 8-K filed on June 22,</w:t>
              </w:r>
            </w:hyperlink>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320" w:type="dxa"/>
            <w:vAlign w:val="bottom"/>
            <w:tcBorders>
              <w:top w:val="single" w:sz="8" w:color="CCEEFF"/>
              <w:bottom w:val="single" w:sz="8" w:color="0000FF"/>
            </w:tcBorders>
            <w:gridSpan w:val="3"/>
            <w:vMerge w:val="continue"/>
            <w:shd w:val="clear" w:color="auto" w:fill="CCEEFF"/>
          </w:tcPr>
          <w:p>
            <w:pPr>
              <w:spacing w:after="0"/>
              <w:rPr>
                <w:sz w:val="19"/>
                <w:szCs w:val="19"/>
                <w:color w:val="auto"/>
              </w:rPr>
            </w:pPr>
          </w:p>
        </w:tc>
        <w:tc>
          <w:tcPr>
            <w:tcW w:w="720" w:type="dxa"/>
            <w:vAlign w:val="bottom"/>
            <w:tcBorders>
              <w:top w:val="single" w:sz="8" w:color="CCEEFF"/>
              <w:bottom w:val="single" w:sz="8" w:color="CCEEFF"/>
            </w:tcBorders>
            <w:vMerge w:val="continue"/>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0000FF"/>
              <w:bottom w:val="single" w:sz="8" w:color="0000FF"/>
            </w:tcBorders>
            <w:shd w:val="clear" w:color="auto" w:fill="CCEEFF"/>
          </w:tcPr>
          <w:p>
            <w:pPr>
              <w:spacing w:after="0" w:line="179" w:lineRule="exact"/>
              <w:rPr>
                <w:rFonts w:ascii="Times New Roman" w:cs="Times New Roman" w:eastAsia="Times New Roman" w:hAnsi="Times New Roman"/>
                <w:sz w:val="18"/>
                <w:szCs w:val="18"/>
                <w:color w:val="0000FF"/>
                <w:w w:val="94"/>
              </w:rPr>
            </w:pPr>
            <w:hyperlink r:id="rId16">
              <w:r>
                <w:rPr>
                  <w:rFonts w:ascii="Times New Roman" w:cs="Times New Roman" w:eastAsia="Times New Roman" w:hAnsi="Times New Roman"/>
                  <w:sz w:val="18"/>
                  <w:szCs w:val="18"/>
                  <w:color w:val="0000FF"/>
                  <w:w w:val="94"/>
                </w:rPr>
                <w:t>2021).</w:t>
              </w:r>
            </w:hyperlink>
          </w:p>
        </w:tc>
        <w:tc>
          <w:tcPr>
            <w:tcW w:w="68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0000FF"/>
              <w:bottom w:val="single" w:sz="8" w:color="CCEEFF"/>
            </w:tcBorders>
            <w:shd w:val="clear" w:color="auto" w:fill="CCEEFF"/>
          </w:tcPr>
          <w:p>
            <w:pPr>
              <w:spacing w:after="0"/>
              <w:rPr>
                <w:sz w:val="19"/>
                <w:szCs w:val="19"/>
                <w:color w:val="auto"/>
              </w:rPr>
            </w:pPr>
          </w:p>
        </w:tc>
        <w:tc>
          <w:tcPr>
            <w:tcW w:w="420" w:type="dxa"/>
            <w:vAlign w:val="bottom"/>
            <w:tcBorders>
              <w:top w:val="single" w:sz="8" w:color="0000FF"/>
              <w:bottom w:val="single" w:sz="8" w:color="CCEEFF"/>
            </w:tcBorders>
            <w:shd w:val="clear" w:color="auto" w:fill="CCEEFF"/>
          </w:tcPr>
          <w:p>
            <w:pPr>
              <w:spacing w:after="0"/>
              <w:rPr>
                <w:sz w:val="19"/>
                <w:szCs w:val="19"/>
                <w:color w:val="auto"/>
              </w:rPr>
            </w:pPr>
          </w:p>
        </w:tc>
        <w:tc>
          <w:tcPr>
            <w:tcW w:w="30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0000FF"/>
              <w:bottom w:val="single" w:sz="8" w:color="CCEEFF"/>
            </w:tcBorders>
            <w:shd w:val="clear" w:color="auto" w:fill="CCEEFF"/>
          </w:tcPr>
          <w:p>
            <w:pPr>
              <w:spacing w:after="0"/>
              <w:rPr>
                <w:sz w:val="19"/>
                <w:szCs w:val="19"/>
                <w:color w:val="auto"/>
              </w:rPr>
            </w:pPr>
          </w:p>
        </w:tc>
        <w:tc>
          <w:tcPr>
            <w:tcW w:w="220" w:type="dxa"/>
            <w:vAlign w:val="bottom"/>
            <w:tcBorders>
              <w:top w:val="single" w:sz="8" w:color="0000FF"/>
              <w:bottom w:val="single" w:sz="8" w:color="CCEEFF"/>
            </w:tcBorders>
            <w:shd w:val="clear" w:color="auto" w:fill="CCEEFF"/>
          </w:tcPr>
          <w:p>
            <w:pPr>
              <w:spacing w:after="0"/>
              <w:rPr>
                <w:sz w:val="19"/>
                <w:szCs w:val="19"/>
                <w:color w:val="auto"/>
              </w:rPr>
            </w:pPr>
          </w:p>
        </w:tc>
        <w:tc>
          <w:tcPr>
            <w:tcW w:w="6540" w:type="dxa"/>
            <w:vAlign w:val="bottom"/>
            <w:tcBorders>
              <w:top w:val="single" w:sz="8" w:color="0000FF"/>
              <w:bottom w:val="single" w:sz="8" w:color="CCEEFF"/>
            </w:tcBorders>
            <w:shd w:val="clear" w:color="auto" w:fill="CCEEFF"/>
          </w:tcPr>
          <w:p>
            <w:pPr>
              <w:spacing w:after="0"/>
              <w:rPr>
                <w:sz w:val="19"/>
                <w:szCs w:val="19"/>
                <w:color w:val="auto"/>
              </w:rPr>
            </w:pPr>
          </w:p>
        </w:tc>
        <w:tc>
          <w:tcPr>
            <w:tcW w:w="120" w:type="dxa"/>
            <w:vAlign w:val="bottom"/>
            <w:tcBorders>
              <w:top w:val="single" w:sz="8" w:color="0000FF"/>
              <w:bottom w:val="single" w:sz="8" w:color="CCEEFF"/>
            </w:tcBorders>
            <w:shd w:val="clear" w:color="auto" w:fill="CCEEFF"/>
          </w:tcPr>
          <w:p>
            <w:pPr>
              <w:spacing w:after="0"/>
              <w:rPr>
                <w:sz w:val="19"/>
                <w:szCs w:val="19"/>
                <w:color w:val="auto"/>
              </w:rPr>
            </w:pPr>
          </w:p>
        </w:tc>
        <w:tc>
          <w:tcPr>
            <w:tcW w:w="60" w:type="dxa"/>
            <w:vAlign w:val="bottom"/>
            <w:tcBorders>
              <w:top w:val="single" w:sz="8" w:color="0000FF"/>
              <w:bottom w:val="single" w:sz="8" w:color="CCEEFF"/>
            </w:tcBorders>
            <w:shd w:val="clear" w:color="auto" w:fill="CCEEFF"/>
          </w:tcPr>
          <w:p>
            <w:pPr>
              <w:spacing w:after="0"/>
              <w:rPr>
                <w:sz w:val="19"/>
                <w:szCs w:val="19"/>
                <w:color w:val="auto"/>
              </w:rPr>
            </w:pPr>
          </w:p>
        </w:tc>
        <w:tc>
          <w:tcPr>
            <w:tcW w:w="10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40" w:type="dxa"/>
            <w:vAlign w:val="bottom"/>
            <w:gridSpan w:val="5"/>
            <w:vMerge w:val="restart"/>
          </w:tcPr>
          <w:p>
            <w:pPr>
              <w:ind w:left="300"/>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16"/>
          </w:tcPr>
          <w:p>
            <w:pPr>
              <w:spacing w:after="0" w:line="18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Form of RSU Award Grant Notice (incorporated by reference to Exhibit 99.4 to the Registration Statement on Form S-8 filed on</w:t>
              </w:r>
            </w:hyperlink>
          </w:p>
        </w:tc>
        <w:tc>
          <w:tcPr>
            <w:tcW w:w="0" w:type="dxa"/>
            <w:vAlign w:val="bottom"/>
          </w:tcPr>
          <w:p>
            <w:pPr>
              <w:spacing w:after="0"/>
              <w:rPr>
                <w:sz w:val="1"/>
                <w:szCs w:val="1"/>
                <w:color w:val="auto"/>
              </w:rPr>
            </w:pPr>
          </w:p>
        </w:tc>
      </w:tr>
      <w:tr>
        <w:trPr>
          <w:trHeight w:val="179"/>
        </w:trPr>
        <w:tc>
          <w:tcPr>
            <w:tcW w:w="13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tcBorders>
              <w:top w:val="single" w:sz="8" w:color="0000FF"/>
            </w:tcBorders>
            <w:gridSpan w:val="15"/>
          </w:tcPr>
          <w:p>
            <w:pPr>
              <w:spacing w:after="0" w:line="179"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August 26,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20" w:type="dxa"/>
            <w:vAlign w:val="bottom"/>
            <w:gridSpan w:val="3"/>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107</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20" w:type="dxa"/>
            <w:vAlign w:val="bottom"/>
            <w:gridSpan w:val="16"/>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Filing Fee Table</w:t>
            </w: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742" w:right="6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July 29, 2024.</w:t>
      </w:r>
    </w:p>
    <w:p>
      <w:pPr>
        <w:spacing w:after="0" w:line="18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2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31750</wp:posOffset>
            </wp:positionV>
            <wp:extent cx="23679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2367915" cy="8255"/>
                    </a:xfrm>
                    <a:prstGeom prst="rect">
                      <a:avLst/>
                    </a:prstGeom>
                    <a:noFill/>
                  </pic:spPr>
                </pic:pic>
              </a:graphicData>
            </a:graphic>
          </wp:anchor>
        </w:drawing>
      </w:r>
    </w:p>
    <w:p>
      <w:pPr>
        <w:spacing w:after="0" w:line="5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Title: Executive Chair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and each of them, his true and lawful attorneys-in-fact and agents, each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might or could do in person, hereby ratifying and confirming all that each of said attorneys-in-fact and agents, or his substitute or substitutes may lawfully do or cause to be done by virtue hereof.</w:t>
      </w:r>
    </w:p>
    <w:p>
      <w:pPr>
        <w:spacing w:after="0" w:line="14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200" w:lineRule="exact"/>
        <w:rPr>
          <w:sz w:val="20"/>
          <w:szCs w:val="20"/>
          <w:color w:val="auto"/>
        </w:rPr>
      </w:pP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536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71"/>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Douglas Francis</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Douglas Francis</w:t>
            </w:r>
          </w:p>
        </w:tc>
        <w:tc>
          <w:tcPr>
            <w:tcW w:w="10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Susan Echard</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Susan Echard</w:t>
            </w:r>
          </w:p>
        </w:tc>
        <w:tc>
          <w:tcPr>
            <w:tcW w:w="10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Tony Aquila</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Tony Aquila</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Anthony Bay</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Anthony Bay</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Brenda Freeman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Brenda Freeman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Olga Gonzalez</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Olga Gonzalez</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Scott Gordon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r>
      <w:tr>
        <w:trPr>
          <w:trHeight w:val="26"/>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Scott Gordon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Fiona Tan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Fiona Tan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ectPr>
          <w:pgSz w:w="11900" w:h="16838" w:orient="portrait"/>
          <w:cols w:equalWidth="0" w:num="1">
            <w:col w:w="11240"/>
          </w:cols>
          <w:pgMar w:left="320" w:top="994"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CALCULATION OF REGISTRATION FEE</w:t>
      </w:r>
    </w:p>
    <w:p>
      <w:pPr>
        <w:spacing w:after="0" w:line="371" w:lineRule="exact"/>
        <w:rPr>
          <w:sz w:val="20"/>
          <w:szCs w:val="20"/>
          <w:color w:val="auto"/>
        </w:rPr>
      </w:pPr>
    </w:p>
    <w:p>
      <w:pPr>
        <w:jc w:val="center"/>
        <w:ind w:left="28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60" w:lineRule="exact"/>
        <w:rPr>
          <w:sz w:val="20"/>
          <w:szCs w:val="20"/>
          <w:color w:val="auto"/>
        </w:rPr>
      </w:pPr>
    </w:p>
    <w:p>
      <w:pPr>
        <w:jc w:val="center"/>
        <w:ind w:left="2860"/>
        <w:spacing w:after="0"/>
        <w:rPr>
          <w:sz w:val="20"/>
          <w:szCs w:val="20"/>
          <w:color w:val="auto"/>
        </w:rPr>
      </w:pPr>
      <w:r>
        <w:rPr>
          <w:rFonts w:ascii="Times New Roman" w:cs="Times New Roman" w:eastAsia="Times New Roman" w:hAnsi="Times New Roman"/>
          <w:sz w:val="18"/>
          <w:szCs w:val="18"/>
          <w:color w:val="auto"/>
        </w:rPr>
        <w:t>(Form Type)</w:t>
      </w:r>
    </w:p>
    <w:p>
      <w:pPr>
        <w:spacing w:after="0" w:line="348" w:lineRule="exact"/>
        <w:rPr>
          <w:sz w:val="20"/>
          <w:szCs w:val="20"/>
          <w:color w:val="auto"/>
        </w:rPr>
      </w:pPr>
    </w:p>
    <w:p>
      <w:pPr>
        <w:jc w:val="center"/>
        <w:ind w:left="286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60" w:lineRule="exact"/>
        <w:rPr>
          <w:sz w:val="20"/>
          <w:szCs w:val="20"/>
          <w:color w:val="auto"/>
        </w:rPr>
      </w:pPr>
    </w:p>
    <w:p>
      <w:pPr>
        <w:jc w:val="center"/>
        <w:ind w:left="28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0" w:type="dxa"/>
            <w:vAlign w:val="bottom"/>
          </w:tcPr>
          <w:p>
            <w:pPr>
              <w:spacing w:after="0"/>
              <w:rPr>
                <w:sz w:val="1"/>
                <w:szCs w:val="1"/>
                <w:color w:val="auto"/>
              </w:rPr>
            </w:pPr>
          </w:p>
        </w:tc>
      </w:tr>
      <w:tr>
        <w:trPr>
          <w:trHeight w:val="80"/>
        </w:trPr>
        <w:tc>
          <w:tcPr>
            <w:tcW w:w="1060" w:type="dxa"/>
            <w:vAlign w:val="bottom"/>
            <w:gridSpan w:val="2"/>
            <w:vMerge w:val="restart"/>
          </w:tcPr>
          <w:p>
            <w:pPr>
              <w:jc w:val="center"/>
              <w:ind w:right="120"/>
              <w:spacing w:after="0" w:line="172" w:lineRule="exact"/>
              <w:rPr>
                <w:sz w:val="20"/>
                <w:szCs w:val="20"/>
                <w:color w:val="auto"/>
              </w:rPr>
            </w:pPr>
            <w:r>
              <w:rPr>
                <w:rFonts w:ascii="Times New Roman" w:cs="Times New Roman" w:eastAsia="Times New Roman" w:hAnsi="Times New Roman"/>
                <w:sz w:val="18"/>
                <w:szCs w:val="18"/>
                <w:b w:val="1"/>
                <w:bCs w:val="1"/>
                <w:color w:val="auto"/>
                <w:w w:val="96"/>
              </w:rPr>
              <w:t>Security</w:t>
            </w:r>
          </w:p>
        </w:tc>
        <w:tc>
          <w:tcPr>
            <w:tcW w:w="1540" w:type="dxa"/>
            <w:vAlign w:val="bottom"/>
            <w:gridSpan w:val="2"/>
            <w:vMerge w:val="restart"/>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Security Class</w:t>
            </w:r>
          </w:p>
        </w:tc>
        <w:tc>
          <w:tcPr>
            <w:tcW w:w="1400" w:type="dxa"/>
            <w:vAlign w:val="bottom"/>
            <w:gridSpan w:val="2"/>
            <w:vMerge w:val="restart"/>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Fee Calculation</w:t>
            </w:r>
          </w:p>
        </w:tc>
        <w:tc>
          <w:tcPr>
            <w:tcW w:w="114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Amount to be</w:t>
            </w:r>
          </w:p>
        </w:tc>
        <w:tc>
          <w:tcPr>
            <w:tcW w:w="80" w:type="dxa"/>
            <w:vAlign w:val="bottom"/>
          </w:tcPr>
          <w:p>
            <w:pPr>
              <w:spacing w:after="0"/>
              <w:rPr>
                <w:sz w:val="6"/>
                <w:szCs w:val="6"/>
                <w:color w:val="auto"/>
              </w:rPr>
            </w:pPr>
          </w:p>
        </w:tc>
        <w:tc>
          <w:tcPr>
            <w:tcW w:w="130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maximum</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060" w:type="dxa"/>
            <w:vAlign w:val="bottom"/>
            <w:gridSpan w:val="2"/>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offering</w:t>
            </w:r>
          </w:p>
        </w:tc>
        <w:tc>
          <w:tcPr>
            <w:tcW w:w="0" w:type="dxa"/>
            <w:vAlign w:val="bottom"/>
          </w:tcPr>
          <w:p>
            <w:pPr>
              <w:spacing w:after="0"/>
              <w:rPr>
                <w:sz w:val="1"/>
                <w:szCs w:val="1"/>
                <w:color w:val="auto"/>
              </w:rPr>
            </w:pPr>
          </w:p>
        </w:tc>
      </w:tr>
      <w:tr>
        <w:trPr>
          <w:trHeight w:val="172"/>
        </w:trPr>
        <w:tc>
          <w:tcPr>
            <w:tcW w:w="10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b w:val="1"/>
                <w:bCs w:val="1"/>
                <w:color w:val="auto"/>
                <w:w w:val="97"/>
              </w:rPr>
              <w:t>Type</w:t>
            </w:r>
          </w:p>
        </w:tc>
        <w:tc>
          <w:tcPr>
            <w:tcW w:w="154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b w:val="1"/>
                <w:bCs w:val="1"/>
                <w:color w:val="auto"/>
                <w:w w:val="94"/>
              </w:rPr>
              <w:t>Title</w:t>
            </w:r>
          </w:p>
        </w:tc>
        <w:tc>
          <w:tcPr>
            <w:tcW w:w="1400" w:type="dxa"/>
            <w:vAlign w:val="bottom"/>
            <w:gridSpan w:val="2"/>
          </w:tcPr>
          <w:p>
            <w:pPr>
              <w:jc w:val="center"/>
              <w:ind w:right="120"/>
              <w:spacing w:after="0" w:line="173" w:lineRule="exact"/>
              <w:rPr>
                <w:sz w:val="20"/>
                <w:szCs w:val="20"/>
                <w:color w:val="auto"/>
              </w:rPr>
            </w:pPr>
            <w:r>
              <w:rPr>
                <w:rFonts w:ascii="Times New Roman" w:cs="Times New Roman" w:eastAsia="Times New Roman" w:hAnsi="Times New Roman"/>
                <w:sz w:val="15"/>
                <w:szCs w:val="15"/>
                <w:b w:val="1"/>
                <w:bCs w:val="1"/>
                <w:color w:val="auto"/>
              </w:rPr>
              <w:t>Rule</w:t>
            </w:r>
            <w:r>
              <w:rPr>
                <w:rFonts w:ascii="Times New Roman" w:cs="Times New Roman" w:eastAsia="Times New Roman" w:hAnsi="Times New Roman"/>
                <w:sz w:val="19"/>
                <w:szCs w:val="19"/>
                <w:b w:val="1"/>
                <w:bCs w:val="1"/>
                <w:color w:val="auto"/>
                <w:vertAlign w:val="superscript"/>
              </w:rPr>
              <w:t>(2)</w:t>
            </w:r>
          </w:p>
        </w:tc>
        <w:tc>
          <w:tcPr>
            <w:tcW w:w="1140" w:type="dxa"/>
            <w:vAlign w:val="bottom"/>
          </w:tcPr>
          <w:p>
            <w:pPr>
              <w:jc w:val="center"/>
              <w:spacing w:after="0" w:line="173" w:lineRule="exact"/>
              <w:rPr>
                <w:sz w:val="20"/>
                <w:szCs w:val="20"/>
                <w:color w:val="auto"/>
              </w:rPr>
            </w:pPr>
            <w:r>
              <w:rPr>
                <w:rFonts w:ascii="Times New Roman" w:cs="Times New Roman" w:eastAsia="Times New Roman" w:hAnsi="Times New Roman"/>
                <w:sz w:val="15"/>
                <w:szCs w:val="15"/>
                <w:b w:val="1"/>
                <w:bCs w:val="1"/>
                <w:color w:val="auto"/>
              </w:rPr>
              <w:t xml:space="preserve">registered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4"/>
                <w:szCs w:val="14"/>
                <w:color w:val="auto"/>
              </w:rPr>
            </w:pPr>
          </w:p>
        </w:tc>
        <w:tc>
          <w:tcPr>
            <w:tcW w:w="13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3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unit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72"/>
              <w:spacing w:after="0" w:line="186"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0" w:type="dxa"/>
            <w:vAlign w:val="bottom"/>
          </w:tcPr>
          <w:p>
            <w:pPr>
              <w:spacing w:after="0"/>
              <w:rPr>
                <w:sz w:val="1"/>
                <w:szCs w:val="1"/>
                <w:color w:val="auto"/>
              </w:rPr>
            </w:pPr>
          </w:p>
        </w:tc>
      </w:tr>
      <w:tr>
        <w:trPr>
          <w:trHeight w:val="53"/>
        </w:trPr>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2021 Equity</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060" w:type="dxa"/>
            <w:vAlign w:val="bottom"/>
            <w:gridSpan w:val="2"/>
            <w:vMerge w:val="restart"/>
          </w:tcPr>
          <w:p>
            <w:pPr>
              <w:jc w:val="center"/>
              <w:ind w:right="120"/>
              <w:spacing w:after="0" w:line="186" w:lineRule="exact"/>
              <w:rPr>
                <w:sz w:val="20"/>
                <w:szCs w:val="20"/>
                <w:color w:val="auto"/>
              </w:rPr>
            </w:pPr>
            <w:r>
              <w:rPr>
                <w:rFonts w:ascii="Times New Roman" w:cs="Times New Roman" w:eastAsia="Times New Roman" w:hAnsi="Times New Roman"/>
                <w:sz w:val="18"/>
                <w:szCs w:val="18"/>
                <w:color w:val="auto"/>
                <w:w w:val="95"/>
              </w:rPr>
              <w:t>Equity</w:t>
            </w:r>
          </w:p>
        </w:tc>
        <w:tc>
          <w:tcPr>
            <w:tcW w:w="1540" w:type="dxa"/>
            <w:vAlign w:val="bottom"/>
            <w:gridSpan w:val="2"/>
            <w:vMerge w:val="restart"/>
          </w:tcPr>
          <w:p>
            <w:pPr>
              <w:ind w:left="100"/>
              <w:spacing w:after="0" w:line="186" w:lineRule="exact"/>
              <w:rPr>
                <w:sz w:val="20"/>
                <w:szCs w:val="20"/>
                <w:color w:val="auto"/>
              </w:rPr>
            </w:pPr>
            <w:r>
              <w:rPr>
                <w:rFonts w:ascii="Times New Roman" w:cs="Times New Roman" w:eastAsia="Times New Roman" w:hAnsi="Times New Roman"/>
                <w:sz w:val="18"/>
                <w:szCs w:val="18"/>
                <w:color w:val="auto"/>
              </w:rPr>
              <w:t>(Class A Common</w:t>
            </w:r>
          </w:p>
        </w:tc>
        <w:tc>
          <w:tcPr>
            <w:tcW w:w="1400" w:type="dxa"/>
            <w:vAlign w:val="bottom"/>
            <w:gridSpan w:val="2"/>
            <w:vMerge w:val="restart"/>
          </w:tcPr>
          <w:p>
            <w:pPr>
              <w:jc w:val="center"/>
              <w:ind w:right="120"/>
              <w:spacing w:after="0" w:line="186" w:lineRule="exact"/>
              <w:rPr>
                <w:sz w:val="20"/>
                <w:szCs w:val="20"/>
                <w:color w:val="auto"/>
              </w:rPr>
            </w:pPr>
            <w:r>
              <w:rPr>
                <w:rFonts w:ascii="Times New Roman" w:cs="Times New Roman" w:eastAsia="Times New Roman" w:hAnsi="Times New Roman"/>
                <w:sz w:val="18"/>
                <w:szCs w:val="18"/>
                <w:color w:val="auto"/>
                <w:w w:val="97"/>
              </w:rPr>
              <w:t>Other</w:t>
            </w:r>
          </w:p>
        </w:tc>
        <w:tc>
          <w:tcPr>
            <w:tcW w:w="114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7,493,470</w:t>
            </w:r>
          </w:p>
        </w:tc>
        <w:tc>
          <w:tcPr>
            <w:tcW w:w="1380" w:type="dxa"/>
            <w:vAlign w:val="bottom"/>
            <w:gridSpan w:val="2"/>
            <w:vMerge w:val="restart"/>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$1.00</w:t>
            </w:r>
          </w:p>
        </w:tc>
        <w:tc>
          <w:tcPr>
            <w:tcW w:w="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vMerge w:val="restart"/>
          </w:tcPr>
          <w:p>
            <w:pPr>
              <w:jc w:val="center"/>
              <w:ind w:right="72"/>
              <w:spacing w:after="0" w:line="186" w:lineRule="exact"/>
              <w:rPr>
                <w:sz w:val="20"/>
                <w:szCs w:val="20"/>
                <w:color w:val="auto"/>
              </w:rPr>
            </w:pPr>
            <w:r>
              <w:rPr>
                <w:rFonts w:ascii="Times New Roman" w:cs="Times New Roman" w:eastAsia="Times New Roman" w:hAnsi="Times New Roman"/>
                <w:sz w:val="18"/>
                <w:szCs w:val="18"/>
                <w:color w:val="auto"/>
                <w:w w:val="98"/>
              </w:rPr>
              <w:t>$7,493,470.00</w:t>
            </w:r>
          </w:p>
        </w:tc>
        <w:tc>
          <w:tcPr>
            <w:tcW w:w="0" w:type="dxa"/>
            <w:vAlign w:val="bottom"/>
          </w:tcPr>
          <w:p>
            <w:pPr>
              <w:spacing w:after="0"/>
              <w:rPr>
                <w:sz w:val="1"/>
                <w:szCs w:val="1"/>
                <w:color w:val="auto"/>
              </w:rPr>
            </w:pPr>
          </w:p>
        </w:tc>
      </w:tr>
      <w:tr>
        <w:trPr>
          <w:trHeight w:val="72"/>
        </w:trPr>
        <w:tc>
          <w:tcPr>
            <w:tcW w:w="1060" w:type="dxa"/>
            <w:vAlign w:val="bottom"/>
            <w:gridSpan w:val="2"/>
            <w:vMerge w:val="continue"/>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color w:val="auto"/>
                <w:w w:val="97"/>
              </w:rPr>
              <w:t>Stock, par value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$0.0001 per share)</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spacing w:after="0" w:line="159" w:lineRule="exact"/>
              <w:rPr>
                <w:sz w:val="20"/>
                <w:szCs w:val="20"/>
                <w:color w:val="auto"/>
              </w:rPr>
            </w:pPr>
            <w:r>
              <w:rPr>
                <w:rFonts w:ascii="Times New Roman" w:cs="Times New Roman" w:eastAsia="Times New Roman" w:hAnsi="Times New Roman"/>
                <w:sz w:val="18"/>
                <w:szCs w:val="18"/>
                <w:b w:val="1"/>
                <w:bCs w:val="1"/>
                <w:color w:val="auto"/>
              </w:rPr>
              <w:t>2021 Employee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Stock Purchase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Plan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1,498,694</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$0.85</w:t>
            </w:r>
          </w:p>
        </w:tc>
        <w:tc>
          <w:tcPr>
            <w:tcW w:w="3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Pr>
          <w:p>
            <w:pPr>
              <w:spacing w:after="0"/>
              <w:rPr>
                <w:sz w:val="15"/>
                <w:szCs w:val="15"/>
                <w:color w:val="auto"/>
              </w:rPr>
            </w:pPr>
          </w:p>
        </w:tc>
        <w:tc>
          <w:tcPr>
            <w:tcW w:w="130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color w:val="auto"/>
                <w:w w:val="98"/>
              </w:rPr>
              <w:t>$1,273,889.90</w:t>
            </w:r>
          </w:p>
        </w:tc>
        <w:tc>
          <w:tcPr>
            <w:tcW w:w="0" w:type="dxa"/>
            <w:vAlign w:val="bottom"/>
          </w:tcPr>
          <w:p>
            <w:pPr>
              <w:spacing w:after="0"/>
              <w:rPr>
                <w:sz w:val="1"/>
                <w:szCs w:val="1"/>
                <w:color w:val="auto"/>
              </w:rPr>
            </w:pPr>
          </w:p>
        </w:tc>
      </w:tr>
      <w:tr>
        <w:trPr>
          <w:trHeight w:val="177"/>
        </w:trPr>
        <w:tc>
          <w:tcPr>
            <w:tcW w:w="1060" w:type="dxa"/>
            <w:vAlign w:val="bottom"/>
            <w:gridSpan w:val="2"/>
            <w:vMerge w:val="continue"/>
          </w:tcPr>
          <w:p>
            <w:pPr>
              <w:spacing w:after="0"/>
              <w:rPr>
                <w:sz w:val="15"/>
                <w:szCs w:val="15"/>
                <w:color w:val="auto"/>
              </w:rPr>
            </w:pPr>
          </w:p>
        </w:tc>
        <w:tc>
          <w:tcPr>
            <w:tcW w:w="154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8"/>
                <w:szCs w:val="18"/>
                <w:color w:val="auto"/>
              </w:rPr>
              <w:t>(Class A Common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Stock, par value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$0.0001 per share)</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8,992,164</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8,767,360</w:t>
            </w:r>
          </w:p>
        </w:tc>
        <w:tc>
          <w:tcPr>
            <w:tcW w:w="0" w:type="dxa"/>
            <w:vAlign w:val="bottom"/>
          </w:tcPr>
          <w:p>
            <w:pPr>
              <w:spacing w:after="0"/>
              <w:rPr>
                <w:sz w:val="1"/>
                <w:szCs w:val="1"/>
                <w:color w:val="auto"/>
              </w:rPr>
            </w:pPr>
          </w:p>
        </w:tc>
      </w:tr>
      <w:tr>
        <w:trPr>
          <w:trHeight w:val="205"/>
        </w:trPr>
        <w:tc>
          <w:tcPr>
            <w:tcW w:w="26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Fee Offsets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-1909445</wp:posOffset>
            </wp:positionV>
            <wp:extent cx="7109460" cy="605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7109460" cy="6057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-302260</wp:posOffset>
            </wp:positionV>
            <wp:extent cx="7109460" cy="14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09460" cy="1428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-596900</wp:posOffset>
            </wp:positionV>
            <wp:extent cx="7109460" cy="151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10946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Fee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304"/>
        </w:trPr>
        <w:tc>
          <w:tcPr>
            <w:tcW w:w="1440" w:type="dxa"/>
            <w:vAlign w:val="bottom"/>
            <w:gridSpan w:val="2"/>
            <w:vMerge w:val="continue"/>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registration fee</w:t>
            </w:r>
            <w:r>
              <w:rPr>
                <w:rFonts w:ascii="Times New Roman" w:cs="Times New Roman" w:eastAsia="Times New Roman" w:hAnsi="Times New Roman"/>
                <w:sz w:val="22"/>
                <w:szCs w:val="22"/>
                <w:b w:val="1"/>
                <w:bCs w:val="1"/>
                <w:color w:val="auto"/>
                <w:w w:val="94"/>
                <w:vertAlign w:val="superscript"/>
              </w:rPr>
              <w:t>(6)</w:t>
            </w:r>
          </w:p>
        </w:tc>
        <w:tc>
          <w:tcPr>
            <w:tcW w:w="0" w:type="dxa"/>
            <w:vAlign w:val="bottom"/>
          </w:tcPr>
          <w:p>
            <w:pPr>
              <w:spacing w:after="0"/>
              <w:rPr>
                <w:sz w:val="1"/>
                <w:szCs w:val="1"/>
                <w:color w:val="auto"/>
              </w:rPr>
            </w:pPr>
          </w:p>
        </w:tc>
      </w:tr>
      <w:tr>
        <w:trPr>
          <w:trHeight w:val="107"/>
        </w:trPr>
        <w:tc>
          <w:tcPr>
            <w:tcW w:w="1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$0.00014760</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$1,106.04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tabs>
          <w:tab w:leader="none" w:pos="1800" w:val="left"/>
        </w:tabs>
        <w:rPr>
          <w:sz w:val="20"/>
          <w:szCs w:val="20"/>
          <w:color w:val="auto"/>
        </w:rPr>
      </w:pPr>
      <w:r>
        <w:rPr>
          <w:rFonts w:ascii="Times New Roman" w:cs="Times New Roman" w:eastAsia="Times New Roman" w:hAnsi="Times New Roman"/>
          <w:sz w:val="18"/>
          <w:szCs w:val="18"/>
          <w:color w:val="auto"/>
        </w:rPr>
        <w:t>$0.00014760</w:t>
      </w:r>
      <w:r>
        <w:rPr>
          <w:sz w:val="20"/>
          <w:szCs w:val="20"/>
          <w:color w:val="auto"/>
        </w:rPr>
        <w:tab/>
      </w:r>
      <w:r>
        <w:rPr>
          <w:rFonts w:ascii="Times New Roman" w:cs="Times New Roman" w:eastAsia="Times New Roman" w:hAnsi="Times New Roman"/>
          <w:sz w:val="17"/>
          <w:szCs w:val="17"/>
          <w:color w:val="auto"/>
        </w:rPr>
        <w:t>$188.03</w:t>
      </w:r>
    </w:p>
    <w:p>
      <w:pPr>
        <w:spacing w:after="0" w:line="200" w:lineRule="exact"/>
        <w:rPr>
          <w:sz w:val="20"/>
          <w:szCs w:val="20"/>
          <w:color w:val="auto"/>
        </w:rPr>
      </w:pPr>
    </w:p>
    <w:p>
      <w:pPr>
        <w:spacing w:after="0" w:line="282" w:lineRule="exact"/>
        <w:rPr>
          <w:sz w:val="20"/>
          <w:szCs w:val="20"/>
          <w:color w:val="auto"/>
        </w:rPr>
      </w:pPr>
    </w:p>
    <w:p>
      <w:pPr>
        <w:ind w:left="2100" w:hanging="652"/>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1,294.07</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14605</wp:posOffset>
            </wp:positionV>
            <wp:extent cx="857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857885" cy="8255"/>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-135890</wp:posOffset>
            </wp:positionV>
            <wp:extent cx="857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857885" cy="8255"/>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-422275</wp:posOffset>
            </wp:positionV>
            <wp:extent cx="857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8300" w:space="100"/>
            <w:col w:w="2800"/>
          </w:cols>
          <w:pgMar w:left="360" w:top="121" w:right="339" w:bottom="1440" w:gutter="0" w:footer="0" w:header="0"/>
        </w:sectPr>
      </w:pPr>
    </w:p>
    <w:p>
      <w:pPr>
        <w:jc w:val="both"/>
        <w:ind w:left="600" w:hanging="316"/>
        <w:spacing w:after="0" w:line="251" w:lineRule="auto"/>
        <w:tabs>
          <w:tab w:leader="none" w:pos="5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on Form S-8 (the “Registration Statement”) also covers an indeterminate number of additional shares of common stock that may be issued to adjust the number of shares issued pursuant to the plans described herein in the event of a stock dividend, stock split, reverse stock split, extraordinary dividend, extraordinary distribution, recapitalization, reorganization, merger, combination, consolidation, split-up, spin-off, combination, exchange of shares, rights offering, separation, reorganization, liquidation or similar transaction which results in an increase in the number of outstanding shares of the common stock of WM Technology, Inc. (the “Registrant”).</w:t>
      </w:r>
    </w:p>
    <w:p>
      <w:pPr>
        <w:spacing w:after="0" w:line="211" w:lineRule="exact"/>
        <w:rPr>
          <w:rFonts w:ascii="Times New Roman" w:cs="Times New Roman" w:eastAsia="Times New Roman" w:hAnsi="Times New Roman"/>
          <w:sz w:val="18"/>
          <w:szCs w:val="18"/>
          <w:color w:val="auto"/>
        </w:rPr>
      </w:pPr>
    </w:p>
    <w:p>
      <w:pPr>
        <w:ind w:left="600" w:hanging="316"/>
        <w:spacing w:after="0" w:line="274" w:lineRule="auto"/>
        <w:tabs>
          <w:tab w:leader="none" w:pos="5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Class A Common Stock that were added to the shares authorized for issuance under the WM Technology, Inc. 2021 Equity Incentive Plan (the “2021 EIP”) on January 1, 2024, pursuant to an “evergreen” provision contained in the 2021 EIP.</w:t>
      </w:r>
    </w:p>
    <w:p>
      <w:pPr>
        <w:spacing w:after="0" w:line="189" w:lineRule="exact"/>
        <w:rPr>
          <w:rFonts w:ascii="Times New Roman" w:cs="Times New Roman" w:eastAsia="Times New Roman" w:hAnsi="Times New Roman"/>
          <w:sz w:val="18"/>
          <w:szCs w:val="18"/>
          <w:color w:val="auto"/>
        </w:rPr>
      </w:pPr>
    </w:p>
    <w:p>
      <w:pPr>
        <w:ind w:left="600" w:hanging="316"/>
        <w:spacing w:after="0" w:line="274" w:lineRule="auto"/>
        <w:tabs>
          <w:tab w:leader="none" w:pos="5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Class A Common Stock that were added to the shares authorized for issuance under the WM Technology, Inc. 2021 Employee Stock Purchase Plan (the “2021 ESPP”) on January 1, 2024, pursuant to an “evergreen” provision contained in the 2021 ESPP.</w:t>
      </w:r>
    </w:p>
    <w:p>
      <w:pPr>
        <w:sectPr>
          <w:pgSz w:w="11900" w:h="16838" w:orient="portrait"/>
          <w:cols w:equalWidth="0" w:num="1">
            <w:col w:w="11200"/>
          </w:cols>
          <w:pgMar w:left="360" w:top="121"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6"/>
        <w:spacing w:after="0" w:line="259"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457(h) under the Securities Act, solely for the purposes of calculating the registration fee and based on the average of the high and low prices of the registrant’s Class A Common Stock as reported on the Nasdaq Global Select Market on July 22, 2024, which date is within five business days prior to the filing of this Registration Statement.</w:t>
      </w:r>
    </w:p>
    <w:p>
      <w:pPr>
        <w:spacing w:after="0" w:line="204" w:lineRule="exact"/>
        <w:rPr>
          <w:rFonts w:ascii="Times New Roman" w:cs="Times New Roman" w:eastAsia="Times New Roman" w:hAnsi="Times New Roman"/>
          <w:sz w:val="18"/>
          <w:szCs w:val="18"/>
          <w:color w:val="auto"/>
        </w:rPr>
      </w:pPr>
    </w:p>
    <w:p>
      <w:pPr>
        <w:jc w:val="both"/>
        <w:ind w:left="320" w:hanging="316"/>
        <w:spacing w:after="0" w:line="252"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457(h) under the Securities Act, solely for the purposes of calculating the registration fee and based on the average of the high and low prices of the registrant’s Class A Common Stock as reported on the Nasdaq Global Select Market on July 22, 2024, which date is within five business days prior to the filing of this Registration Statement, multiplied by 85%, which is the percentage of the price per share applicable to purchases under the 2021 ESPP. Under the 2021 ESPP, the purchase price of a share of common stock is equal to 85% of the fair market value of the Registrant’s common stock on the offering date or the purchase date, whichever is less.</w:t>
      </w:r>
    </w:p>
    <w:p>
      <w:pPr>
        <w:spacing w:after="0" w:line="211" w:lineRule="exact"/>
        <w:rPr>
          <w:rFonts w:ascii="Times New Roman" w:cs="Times New Roman" w:eastAsia="Times New Roman" w:hAnsi="Times New Roman"/>
          <w:sz w:val="18"/>
          <w:szCs w:val="18"/>
          <w:color w:val="auto"/>
        </w:rPr>
      </w:pPr>
    </w:p>
    <w:p>
      <w:pPr>
        <w:ind w:left="320" w:hanging="316"/>
        <w:spacing w:after="0" w:line="274"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 of the Securities Act by calculating the product of (i) the proposed maximum aggregate offering price and (ii) 0.00014760.</w:t>
      </w:r>
    </w:p>
    <w:p>
      <w:pPr>
        <w:sectPr>
          <w:pgSz w:w="11900" w:h="16838" w:orient="portrait"/>
          <w:cols w:equalWidth="0" w:num="1">
            <w:col w:w="10920"/>
          </w:cols>
          <w:pgMar w:left="640" w:top="121" w:right="339" w:bottom="1440" w:gutter="0" w:footer="0" w:header="0"/>
        </w:sectPr>
      </w:pPr>
    </w:p>
    <w:bookmarkStart w:id="7" w:name="page8"/>
    <w:bookmarkEnd w:id="7"/>
    <w:p>
      <w:pPr>
        <w:ind w:left="1026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967740" cy="319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67740" cy="31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David G. Peinsipp</w:t>
      </w:r>
    </w:p>
    <w:p>
      <w:pPr>
        <w:spacing w:after="0" w:line="21" w:lineRule="exact"/>
        <w:rPr>
          <w:sz w:val="20"/>
          <w:szCs w:val="20"/>
          <w:color w:val="auto"/>
        </w:rPr>
      </w:pPr>
    </w:p>
    <w:p>
      <w:pPr>
        <w:ind w:right="9420" w:firstLine="6"/>
        <w:spacing w:after="0" w:line="269" w:lineRule="auto"/>
        <w:tabs>
          <w:tab w:leader="none" w:pos="186" w:val="left"/>
        </w:tabs>
        <w:numPr>
          <w:ilvl w:val="0"/>
          <w:numId w:val="6"/>
        </w:numPr>
        <w:rPr>
          <w:rFonts w:ascii="Arial" w:cs="Arial" w:eastAsia="Arial" w:hAnsi="Arial"/>
          <w:sz w:val="17"/>
          <w:szCs w:val="17"/>
          <w:color w:val="auto"/>
        </w:rPr>
      </w:pPr>
      <w:r>
        <w:rPr>
          <w:rFonts w:ascii="Arial" w:cs="Arial" w:eastAsia="Arial" w:hAnsi="Arial"/>
          <w:sz w:val="17"/>
          <w:szCs w:val="17"/>
          <w:color w:val="auto"/>
        </w:rPr>
        <w:t>+1 415-693-2177 dpeinsipp@cooley.com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July 29, 2024</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rPr>
          <w:sz w:val="20"/>
          <w:szCs w:val="20"/>
          <w:color w:val="auto"/>
        </w:rPr>
      </w:pPr>
      <w:r>
        <w:rPr>
          <w:rFonts w:ascii="Arial" w:cs="Arial" w:eastAsia="Arial" w:hAnsi="Arial"/>
          <w:sz w:val="18"/>
          <w:szCs w:val="18"/>
          <w:color w:val="auto"/>
        </w:rPr>
        <w:t>41 Discovery</w:t>
      </w:r>
    </w:p>
    <w:p>
      <w:pPr>
        <w:spacing w:after="0" w:line="230" w:lineRule="auto"/>
        <w:rPr>
          <w:sz w:val="20"/>
          <w:szCs w:val="20"/>
          <w:color w:val="auto"/>
        </w:rPr>
      </w:pPr>
      <w:r>
        <w:rPr>
          <w:rFonts w:ascii="Arial" w:cs="Arial" w:eastAsia="Arial" w:hAnsi="Arial"/>
          <w:sz w:val="18"/>
          <w:szCs w:val="18"/>
          <w:color w:val="auto"/>
        </w:rPr>
        <w:t>Irvine, California 92618</w:t>
      </w:r>
    </w:p>
    <w:p>
      <w:pPr>
        <w:spacing w:after="0"/>
        <w:rPr>
          <w:sz w:val="20"/>
          <w:szCs w:val="20"/>
          <w:color w:val="auto"/>
        </w:rPr>
      </w:pPr>
      <w:r>
        <w:rPr>
          <w:rFonts w:ascii="Arial" w:cs="Arial" w:eastAsia="Arial" w:hAnsi="Arial"/>
          <w:sz w:val="18"/>
          <w:szCs w:val="18"/>
          <w:b w:val="1"/>
          <w:bCs w:val="1"/>
          <w:color w:val="auto"/>
        </w:rPr>
        <w:t>Re: Registration on Form S-8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acted as counsel to WM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covering the offering of up to 8,992,164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par value $0.0001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consisting of (i) 7,493,470 shares of Class A Common Stock issuable pursuant to the Company’s 2021 Equity</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and (ii) 1,498,694 shares of Class A Common Stock issuable pursuant to the Company’s 2021 Employee Stock Purchase Plan (together with the 2021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We note that the Company was initially incorporated under the laws of the Cayman Islands and was domesticated (the “</w:t>
      </w:r>
      <w:r>
        <w:rPr>
          <w:rFonts w:ascii="Arial" w:cs="Arial" w:eastAsia="Arial" w:hAnsi="Arial"/>
          <w:sz w:val="17"/>
          <w:szCs w:val="17"/>
          <w:b w:val="1"/>
          <w:bCs w:val="1"/>
          <w:i w:val="1"/>
          <w:iCs w:val="1"/>
          <w:color w:val="auto"/>
        </w:rPr>
        <w:t>Domestication</w:t>
      </w:r>
      <w:r>
        <w:rPr>
          <w:rFonts w:ascii="Arial" w:cs="Arial" w:eastAsia="Arial" w:hAnsi="Arial"/>
          <w:sz w:val="17"/>
          <w:szCs w:val="17"/>
          <w:color w:val="auto"/>
        </w:rPr>
        <w:t>”) as a</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corporation in the State of Delaware in accordance with Section 388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We have assumed all matters determinable under the laws of the Cayman Islands, including without limitation that the approval of the Plans by the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board of directors and shareholders of the Company as a Cayman Islands exempted company prior to the Domestication was done in accordance with the applicable governing documents of the Company and the laws of the Cayman Islands.</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opinion is expressed only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basis of the foregoing, and in reliance thereon, and subject to the qualifications stated herein,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COOLEY LLP 3 EMBARCADERO CTR, 20TH FLOOR SAN FRANCISCO, CALIFORNIA 94111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 (415) 693-2000 F: (415) 693-2222 COOLEY.COM</w:t>
      </w:r>
    </w:p>
    <w:p>
      <w:pPr>
        <w:sectPr>
          <w:pgSz w:w="11900" w:h="16838" w:orient="portrait"/>
          <w:cols w:equalWidth="0" w:num="1">
            <w:col w:w="11240"/>
          </w:cols>
          <w:pgMar w:left="320" w:top="121" w:right="339" w:bottom="1440" w:gutter="0" w:footer="0" w:header="0"/>
        </w:sectPr>
      </w:pPr>
    </w:p>
    <w:bookmarkStart w:id="8" w:name="page9"/>
    <w:bookmarkEnd w:id="8"/>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967740" cy="319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940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or supplement this opinion to reflect any facts or circumstances that may hereafter come to our attention or any changes in law that may hereafter occur.</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G. Peinsipp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David G. Peinsipp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COOLEY LLP 3 EMBARCADERO CTR, 20TH FLOOR SAN FRANCISCO, CALIFORNIA 94111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 (415) 693-2000 F: (415) 693-2222 COOLEY.COM</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consent to the incorporation by reference in the Registration Statement on Form S-8 of WM Technology, Inc. of our report dated March 16, 2023, relating to the consolidated financial statements of WM Technology, Inc., appearing in the Annual Report on Form 10-K of WM Technology, Inc. for the year ended December 31,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rPr>
          <w:sz w:val="20"/>
          <w:szCs w:val="20"/>
          <w:color w:val="auto"/>
        </w:rPr>
      </w:pPr>
      <w:r>
        <w:rPr>
          <w:rFonts w:ascii="Arial" w:cs="Arial" w:eastAsia="Arial" w:hAnsi="Arial"/>
          <w:sz w:val="18"/>
          <w:szCs w:val="18"/>
          <w:color w:val="auto"/>
        </w:rPr>
        <w:t>July 29, 2024</w:t>
      </w:r>
    </w:p>
    <w:p>
      <w:pPr>
        <w:sectPr>
          <w:pgSz w:w="11900" w:h="16838" w:orient="portrait"/>
          <w:cols w:equalWidth="0" w:num="1">
            <w:col w:w="11240"/>
          </w:cols>
          <w:pgMar w:left="320" w:top="138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9"/>
          <w:szCs w:val="19"/>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834390</wp:posOffset>
            </wp:positionV>
            <wp:extent cx="5485765" cy="799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485765" cy="799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Consent of Independent Registered Public Accounting Firm</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consent to the incorporation by reference in this Registration Statement on Form S-8 of WM Technology, Inc., of our report dated May 24, 2024, relating to the consolidated financial statements of WM Technology, Inc. (the “Company”) and the effectiveness of internal control over financial reporting of the Company, (which report expresses an unqualified opinion on the consolidated financial statements and includes an explanatory paragraph relating to a restatement of previously reported 2023 quarterly revenue and credit losses and an adverse opinion on the effectiveness of internal control over financial reporting due to material weaknesses), appearing in the Annual Report on Form 10-K of the Company for the year ended December 31, 2023,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5553075" cy="4627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5553075" cy="46272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11" Type="http://schemas.openxmlformats.org/officeDocument/2006/relationships/hyperlink" Target="https://www.sec.gov/Archives/edgar/data/1779474/000114036121021785/brhc10025756_ex3-1.htm" TargetMode="External"/><Relationship Id="rId12" Type="http://schemas.openxmlformats.org/officeDocument/2006/relationships/hyperlink" Target="https://www.sec.gov/Archives/edgar/data/1779474/000114036121021785/brhc10025756_ex3-2.htm" TargetMode="External"/><Relationship Id="rId13" Type="http://schemas.openxmlformats.org/officeDocument/2006/relationships/hyperlink" Target="https://www.sec.gov/Archives/edgar/data/1779474/000114036121021785/brhc10025756_ex4-1.htm" TargetMode="External"/><Relationship Id="rId14" Type="http://schemas.openxmlformats.org/officeDocument/2006/relationships/hyperlink" Target="https://www.sec.gov/Archives/edgar/data/1779474/000177947421000023/exhibit991-2021plan.htm" TargetMode="External"/><Relationship Id="rId15" Type="http://schemas.openxmlformats.org/officeDocument/2006/relationships/hyperlink" Target="https://www.sec.gov/Archives/edgar/data/1779474/000114036121021785/brhc10025756_ex10-8.htm" TargetMode="External"/><Relationship Id="rId16" Type="http://schemas.openxmlformats.org/officeDocument/2006/relationships/hyperlink" Target="https://www.sec.gov/Archives/edgar/data/1779474/000114036121021785/brhc10025756_ex10-7a.htm" TargetMode="External"/><Relationship Id="rId17" Type="http://schemas.openxmlformats.org/officeDocument/2006/relationships/hyperlink" Target="https://www.sec.gov/Archives/edgar/data/1779474/000177947421000023/exhibit994-formofrsugrant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2024-07-29T16:39:48Z</dcterms:created>
  <dcterms:modified xsi:type="dcterms:W3CDTF">2024-07-29T16:39:48Z</dcterms:modified>
</cp:coreProperties>
</file>