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7" w:after="283"/>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before="5" w:after="283"/>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jc w:val="center"/>
        <w:rPr/>
      </w:pPr>
      <w:r>
        <w:rPr/>
      </w:r>
    </w:p>
    <w:p>
      <w:pPr>
        <w:pStyle w:val="TextBody"/>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9, 2023</w:t>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tbl>
      <w:tblPr>
        <w:tblW w:w="9042" w:type="dxa"/>
        <w:jc w:val="center"/>
        <w:tblInd w:w="0" w:type="dxa"/>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jc w:val="center"/>
        <w:rPr/>
      </w:pPr>
      <w:r>
        <w:rPr/>
      </w:r>
    </w:p>
    <w:tbl>
      <w:tblPr>
        <w:tblW w:w="4662" w:type="dxa"/>
        <w:jc w:val="left"/>
        <w:tblInd w:w="0" w:type="dxa"/>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before="10" w:after="283"/>
        <w:rPr/>
      </w:pPr>
      <w:r>
        <w:rPr/>
      </w:r>
    </w:p>
    <w:p>
      <w:pPr>
        <w:pStyle w:val="TextBody"/>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spacing w:before="1" w:after="283"/>
        <w:rPr/>
      </w:pPr>
      <w:r>
        <w:rPr/>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before="0" w:after="0"/>
        <w:rPr/>
      </w:pPr>
      <w:r>
        <w:rPr/>
      </w:r>
    </w:p>
    <w:p>
      <w:pPr>
        <w:pStyle w:val="TextBody"/>
        <w:spacing w:lineRule="auto" w:line="290"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9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6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before="0" w:after="0"/>
        <w:rPr/>
      </w:pPr>
      <w:r>
        <w:rPr/>
      </w:r>
    </w:p>
    <w:p>
      <w:pPr>
        <w:pStyle w:val="TextBody"/>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spacing w:before="0" w:after="0"/>
        <w:jc w:val="right"/>
        <w:rPr/>
      </w:pPr>
      <w:r>
        <w:rPr/>
      </w:r>
    </w:p>
    <w:p>
      <w:pPr>
        <w:pStyle w:val="TextBody"/>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WM Technology, Inc. (the "Company") announced its financial results for the first quarter ended March 31, 2023. The full text of the press release issued in connection with the announcement is furnished as Exhibit 99.1 to this Current Report on Form 8-K and is incorporated by reference.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pStyle w:val="TextBody"/>
        <w:spacing w:before="0" w:after="0"/>
        <w:jc w:val="both"/>
        <w:rPr/>
      </w:pPr>
      <w:r>
        <w:rPr/>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p>
      <w:pPr>
        <w:pStyle w:val="TextBody"/>
        <w:spacing w:before="0" w:after="0"/>
        <w:jc w:val="both"/>
        <w:rPr/>
      </w:pPr>
      <w:r>
        <w:rPr/>
      </w:r>
    </w:p>
    <w:tbl>
      <w:tblPr>
        <w:tblW w:w="4615" w:type="dxa"/>
        <w:jc w:val="left"/>
        <w:tblInd w:w="0" w:type="dxa"/>
        <w:tblCellMar>
          <w:top w:w="28" w:type="dxa"/>
          <w:left w:w="28" w:type="dxa"/>
          <w:bottom w:w="28" w:type="dxa"/>
          <w:right w:w="28" w:type="dxa"/>
        </w:tblCellMar>
      </w:tblPr>
      <w:tblGrid>
        <w:gridCol w:w="538"/>
        <w:gridCol w:w="472"/>
        <w:gridCol w:w="474"/>
        <w:gridCol w:w="109"/>
        <w:gridCol w:w="109"/>
        <w:gridCol w:w="109"/>
        <w:gridCol w:w="819"/>
        <w:gridCol w:w="819"/>
        <w:gridCol w:w="1166"/>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hyperlink w:anchor="wmtechnologyincearningsrel.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wmtechnologyincearningsrel.htm">
              <w:r>
                <w:rPr>
                  <w:rStyle w:val="InternetLink"/>
                </w:rPr>
                <w:t xml:space="preserve">Press Release dated </w:t>
              </w:r>
            </w:hyperlink>
            <w:hyperlink w:anchor="wmtechnologyincearningsrel.htm">
              <w:r>
                <w:rPr>
                  <w:rStyle w:val="InternetLink"/>
                </w:rPr>
                <w:t>May</w:t>
              </w:r>
            </w:hyperlink>
            <w:hyperlink w:anchor="wmtechnologyincearningsrel.htm">
              <w:r>
                <w:rPr>
                  <w:rStyle w:val="InternetLink"/>
                </w:rPr>
                <w:t xml:space="preserve"> </w:t>
              </w:r>
            </w:hyperlink>
            <w:hyperlink w:anchor="wmtechnologyincearningsrel.htm">
              <w:r>
                <w:rPr>
                  <w:rStyle w:val="InternetLink"/>
                </w:rPr>
                <w:t>9</w:t>
              </w:r>
            </w:hyperlink>
            <w:hyperlink w:anchor="wmtechnologyincearningsrel.htm">
              <w:r>
                <w:rPr>
                  <w:rStyle w:val="InternetLink"/>
                </w:rPr>
                <w:t>, 202</w:t>
              </w:r>
            </w:hyperlink>
            <w:hyperlink w:anchor="wmtechnologyincearningsrel.htm">
              <w:r>
                <w:rPr>
                  <w:rStyle w:val="InternetLink"/>
                </w:rPr>
                <w:t>3</w:t>
              </w:r>
            </w:hyperlink>
          </w:p>
        </w:tc>
      </w:tr>
    </w:tbl>
    <w:p>
      <w:pPr>
        <w:pStyle w:val="TextBody"/>
        <w:spacing w:before="0" w:after="0"/>
        <w:ind w:left="0" w:right="0" w:firstLine="720"/>
        <w:jc w:val="both"/>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10" w:after="283"/>
        <w:rPr/>
      </w:pPr>
      <w:r>
        <w:rPr/>
      </w:r>
    </w:p>
    <w:p>
      <w:pPr>
        <w:pStyle w:val="TextBody"/>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4895" w:type="dxa"/>
        <w:jc w:val="left"/>
        <w:tblInd w:w="0" w:type="dxa"/>
        <w:tblCellMar>
          <w:top w:w="28" w:type="dxa"/>
          <w:left w:w="28" w:type="dxa"/>
          <w:bottom w:w="28" w:type="dxa"/>
          <w:right w:w="28" w:type="dxa"/>
        </w:tblCellMar>
      </w:tblPr>
      <w:tblGrid>
        <w:gridCol w:w="322"/>
        <w:gridCol w:w="283"/>
        <w:gridCol w:w="283"/>
        <w:gridCol w:w="283"/>
        <w:gridCol w:w="283"/>
        <w:gridCol w:w="283"/>
        <w:gridCol w:w="383"/>
        <w:gridCol w:w="383"/>
        <w:gridCol w:w="383"/>
        <w:gridCol w:w="587"/>
        <w:gridCol w:w="587"/>
        <w:gridCol w:w="835"/>
      </w:tblGrid>
      <w:tr>
        <w:trPr/>
        <w:tc>
          <w:tcPr>
            <w:tcW w:w="32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1737"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Arden Lee</w:t>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Arden Lee</w:t>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88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0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283"/>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120" w:after="283"/>
        <w:rPr/>
      </w:pPr>
      <w:r>
        <w:rPr/>
        <w:drawing>
          <wp:inline distT="0" distB="63500" distL="0" distR="0">
            <wp:extent cx="23812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spacing w:before="120" w:after="283"/>
        <w:jc w:val="right"/>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WM Technology, Inc. Reports First Quarter 2023 Financial Results</w:t>
      </w:r>
    </w:p>
    <w:p>
      <w:pPr>
        <w:pStyle w:val="TextBody"/>
        <w:spacing w:before="0" w:after="0"/>
        <w:jc w:val="center"/>
        <w:rPr/>
      </w:pPr>
      <w:r>
        <w:rPr/>
      </w:r>
    </w:p>
    <w:p>
      <w:pPr>
        <w:pStyle w:val="TextBody"/>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Announces First Quarter 2023 Financial Results with Revenue of $48.0 million</w:t>
      </w:r>
    </w:p>
    <w:p>
      <w:pPr>
        <w:pStyle w:val="TextBody"/>
        <w:spacing w:before="0" w:after="0"/>
        <w:jc w:val="center"/>
        <w:rPr/>
      </w:pPr>
      <w:r>
        <w:rPr/>
      </w:r>
    </w:p>
    <w:p>
      <w:pPr>
        <w:pStyle w:val="TextBody"/>
        <w:spacing w:before="0" w:after="0"/>
        <w:jc w:val="center"/>
        <w:rPr/>
      </w:pPr>
      <w:r>
        <w:rPr/>
      </w:r>
    </w:p>
    <w:p>
      <w:pPr>
        <w:pStyle w:val="TextBody"/>
        <w:spacing w:lineRule="auto" w:line="268" w:before="0" w:after="0"/>
        <w:jc w:val="both"/>
        <w:rPr/>
      </w:pPr>
      <w:r>
        <w:rPr>
          <w:rFonts w:ascii="Times New Roman;sans-serif" w:hAnsi="Times New Roman;sans-serif"/>
          <w:b/>
          <w:color w:val="000000"/>
          <w:sz w:val="20"/>
        </w:rPr>
        <w:t xml:space="preserve">Irvine, Calif. -- May 9, 2023 -- </w:t>
      </w:r>
      <w:r>
        <w:rPr>
          <w:rFonts w:ascii="Times New Roman;sans-serif" w:hAnsi="Times New Roman;sans-serif"/>
          <w:b w:val="false"/>
          <w:color w:val="000000"/>
          <w:sz w:val="20"/>
        </w:rPr>
        <w:t xml:space="preserve">WM Technology, Inc. (“WM Technology” or the “Company”) (Nasdaq: MAPS), a leading technology and software infrastructure provider to the cannabis industry, today announced its financial results for the first quarter ended March 31, 2023. </w:t>
      </w:r>
    </w:p>
    <w:p>
      <w:pPr>
        <w:pStyle w:val="TextBody"/>
        <w:spacing w:before="0" w:after="0"/>
        <w:jc w:val="both"/>
        <w:rPr/>
      </w:pPr>
      <w:r>
        <w:rPr/>
      </w:r>
    </w:p>
    <w:p>
      <w:pPr>
        <w:pStyle w:val="TextBody"/>
        <w:spacing w:lineRule="auto" w:line="268" w:before="0" w:after="0"/>
        <w:jc w:val="both"/>
        <w:rPr>
          <w:color w:val="000000"/>
        </w:rPr>
      </w:pPr>
      <w:r>
        <w:rPr>
          <w:color w:val="000000"/>
        </w:rPr>
        <w:t>“</w:t>
      </w:r>
      <w:r>
        <w:rPr>
          <w:rFonts w:ascii="Times New Roman;sans-serif" w:hAnsi="Times New Roman;sans-serif"/>
          <w:b w:val="false"/>
          <w:color w:val="000000"/>
          <w:sz w:val="20"/>
        </w:rPr>
        <w:t>We are pleased with our Q1 results as they positively reflect the strategic actions we have taken since November to improve our bottom line,” said Doug Francis, Executive Chair of WM Technology. “Our continued focus on our marketplace experience and commitment to delivering value to our clients is generating business stability despite end markets that remain challenged. While we still have work to do, our return to positive adjusted EBITDA and operating cash flows signal that our operational and financial position is as strong as it’s been in some time. Lastly, I want to congratulate and thank the entire Weedmaps team for the hard work throughout this past 420 holiday. We saw our highest volume of orders placed on the platform, which I believe further cements how critical Weedmaps is to the success of our clients.”</w:t>
      </w:r>
    </w:p>
    <w:p>
      <w:pPr>
        <w:pStyle w:val="TextBody"/>
        <w:spacing w:before="0" w:after="0"/>
        <w:jc w:val="both"/>
        <w:rPr/>
      </w:pPr>
      <w:r>
        <w:rPr/>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First Quarter 2023 Financial Highlights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Revenue was $48.0 million as compared to $57.5 million in the first quarter of 2022 (“prior year period”).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Average monthly paying clients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5,641, as compared to 5,026 from the prior year period.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Average monthly revenue per paying client</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$2,837, as compared to $3,810 from the prior year period.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Net loss was $4.0 million as compared to net loss of $31.2 million from the prior year period.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was $7.1 million as compared to $(1.0) million from the prior year period.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Basic and diluted net loss per share was $0.03 based on 92.3 million of Class A Common Stock weighted average shares outstanding.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Total shares outstanding across Class A and Class V Common Stock were 148.1 million as of March 31, 2023.</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Cash totaled $25.9 million as of March 31, 2023, with no long-term debt.</w:t>
      </w:r>
    </w:p>
    <w:p>
      <w:pPr>
        <w:pStyle w:val="TextBody"/>
        <w:spacing w:before="0" w:after="6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Reconciliations of GAAP to non-GAAP financial measures have been provided in the tables included in this release.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(1)Average monthly paying clients are defined as the average of the number of paying clients billed in a month across a particular period (and for which services were provided).</w:t>
      </w:r>
    </w:p>
    <w:p>
      <w:pPr>
        <w:pStyle w:val="TextBody"/>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(2)Average monthly revenue per paying client is defined as the average monthly revenue for any particular period divided by the average monthly paying clients in the same respective period.</w:t>
      </w:r>
    </w:p>
    <w:p>
      <w:pPr>
        <w:pStyle w:val="TextBody"/>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(3)For further information about how we calculate EBITDA and Adjusted EBITDA as well as limitations of their use and a reconciliation of EBITDA and Adjusted EBITDA to net (loss) income, see “Reconciliation of Net (Loss) Income to EBITDA and Adjusted EBITDA” below.</w:t>
      </w:r>
    </w:p>
    <w:p>
      <w:pPr>
        <w:pStyle w:val="TextBody"/>
        <w:spacing w:before="0" w:after="0"/>
        <w:jc w:val="both"/>
        <w:rPr/>
      </w:pPr>
      <w:r>
        <w:rPr/>
      </w:r>
    </w:p>
    <w:p>
      <w:pPr>
        <w:pStyle w:val="TextBody"/>
        <w:spacing w:before="0" w:after="0"/>
        <w:jc w:val="both"/>
        <w:rPr/>
      </w:pPr>
      <w:r>
        <w:rPr/>
      </w:r>
    </w:p>
    <w:p>
      <w:pPr>
        <w:pStyle w:val="TextBody"/>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April 20, 2023 (“420”) Highlights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Over 30 in-market activations across 12 states supporting our clients surrounding 420 and driving Weedmaps awareness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20 Days of Deals” initiative which drove traffic to our platform while simultaneously elevating awareness and traffic to our retail and delivery partners</w:t>
      </w:r>
      <w:r>
        <w:br w:type="page"/>
      </w:r>
    </w:p>
    <w:p>
      <w:pPr>
        <w:pStyle w:val="TextBody"/>
        <w:spacing w:before="120" w:after="283"/>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rPr/>
                      </w:pPr>
                      <w:r>
                        <w:rPr/>
                      </w:r>
                    </w:p>
                  </w:txbxContent>
                </v:textbox>
              </v:rect>
            </w:pict>
          </mc:Fallback>
        </mc:AlternateConten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Innovative partnership with Jack in the Box promoting the return of its Pineapple Express Shake across the </w:t>
        <w:br/>
        <w:t>Weedmaps platform</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New weekly record for number of online orders and deals claimed </w:t>
      </w:r>
    </w:p>
    <w:p>
      <w:pPr>
        <w:pStyle w:val="TextBody"/>
        <w:spacing w:before="120" w:after="283"/>
        <w:rPr/>
      </w:pPr>
      <w:r>
        <w:rPr/>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Business Outlook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Based on information available as of May 9, 2023, WM Technology is issuing guidance for the second quarter of 2023 as follows:</w:t>
      </w:r>
    </w:p>
    <w:p>
      <w:pPr>
        <w:pStyle w:val="TextBody"/>
        <w:spacing w:before="0" w:after="0"/>
        <w:jc w:val="both"/>
        <w:rPr/>
      </w:pPr>
      <w:r>
        <w:rPr/>
      </w:r>
    </w:p>
    <w:p>
      <w:pPr>
        <w:pStyle w:val="TextBody"/>
        <w:spacing w:lineRule="auto" w:line="288" w:before="0" w:after="60"/>
        <w:ind w:left="0" w:right="0" w:hanging="360"/>
        <w:jc w:val="both"/>
        <w:rPr/>
      </w:pPr>
      <w:r>
        <w:rPr>
          <w:color w:val="000000"/>
          <w:highlight w:val="white"/>
        </w:rPr>
        <w:t>•</w:t>
      </w:r>
      <w:r>
        <w:rPr>
          <w:rFonts w:ascii="Times New Roman;sans-serif" w:hAnsi="Times New Roman;sans-serif"/>
          <w:b w:val="false"/>
          <w:color w:val="000000"/>
          <w:sz w:val="20"/>
          <w:highlight w:val="white"/>
        </w:rPr>
        <w:t>Revenue is estimated to b</w:t>
      </w:r>
      <w:r>
        <w:rPr>
          <w:rFonts w:ascii="Times New Roman;sans-serif" w:hAnsi="Times New Roman;sans-serif"/>
          <w:b w:val="false"/>
          <w:color w:val="000000"/>
          <w:sz w:val="20"/>
        </w:rPr>
        <w:t>e consistent with the first quarter of 2023.</w:t>
      </w:r>
    </w:p>
    <w:p>
      <w:pPr>
        <w:pStyle w:val="TextBody"/>
        <w:spacing w:lineRule="auto" w:line="288" w:before="0" w:after="60"/>
        <w:ind w:left="0" w:right="0" w:hanging="360"/>
        <w:jc w:val="both"/>
        <w:rPr/>
      </w:pPr>
      <w:r>
        <w:rPr>
          <w:color w:val="000000"/>
          <w:highlight w:val="white"/>
        </w:rPr>
        <w:t>•</w:t>
      </w:r>
      <w:r>
        <w:rPr>
          <w:rFonts w:ascii="Times New Roman;sans-serif" w:hAnsi="Times New Roman;sans-serif"/>
          <w:b w:val="false"/>
          <w:color w:val="000000"/>
          <w:sz w:val="20"/>
          <w:highlight w:val="white"/>
        </w:rPr>
        <w:t>Non-GAAP Adjusted EBITDA</w:t>
      </w:r>
      <w:r>
        <w:rPr>
          <w:rFonts w:ascii="Times New Roman;sans-serif" w:hAnsi="Times New Roman;sans-serif"/>
          <w:b w:val="false"/>
          <w:color w:val="000000"/>
          <w:sz w:val="13"/>
          <w:highlight w:val="white"/>
        </w:rPr>
        <w:t>(1)</w:t>
      </w:r>
      <w:r>
        <w:rPr>
          <w:color w:val="000000"/>
          <w:highlight w:val="white"/>
        </w:rPr>
        <w:t xml:space="preserve"> </w:t>
      </w:r>
      <w:r>
        <w:rPr>
          <w:rFonts w:ascii="Times New Roman;sans-serif" w:hAnsi="Times New Roman;sans-serif"/>
          <w:b w:val="false"/>
          <w:color w:val="000000"/>
          <w:sz w:val="20"/>
          <w:highlight w:val="white"/>
        </w:rPr>
        <w:t xml:space="preserve">is estimated to be approximately $4 million. </w:t>
      </w:r>
    </w:p>
    <w:p>
      <w:pPr>
        <w:pStyle w:val="TextBody"/>
        <w:spacing w:before="0" w:after="6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guidance provided above is only an estimate of what we believe is realizable as of the date of this release. We are not readily able to provide a reconciliation of projected Non-GAAP Adjusted EBITDA to projected net income (loss)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pStyle w:val="TextBody"/>
        <w:spacing w:before="120" w:after="120"/>
        <w:jc w:val="both"/>
        <w:rPr/>
      </w:pPr>
      <w:r>
        <w:rPr/>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Investor Conference Call and Webcasts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host a conference call and webcast today, Tuesday, May 9, 2023, at 2:00 p.m. Pacific Time (5:00 p.m. Eastern Time) at https://edge.media-server.com/mmc/p/2eimzdir. A webcast replay will also be archived at ir.weedmaps.com.</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used, and intends to continue to use, the investor relations portion of its website as a means of disclosing material non-public information and for complying with disclosure obligations under Regulation FD.</w:t>
      </w:r>
    </w:p>
    <w:p>
      <w:pPr>
        <w:pStyle w:val="TextBody"/>
        <w:spacing w:before="0" w:after="0"/>
        <w:jc w:val="both"/>
        <w:rPr/>
      </w:pPr>
      <w:r>
        <w:rPr/>
      </w:r>
    </w:p>
    <w:p>
      <w:pPr>
        <w:pStyle w:val="TextBody"/>
        <w:jc w:val="both"/>
        <w:rPr/>
      </w:pPr>
      <w:r>
        <w:rPr/>
      </w:r>
      <w:r>
        <w:br w:type="page"/>
      </w:r>
    </w:p>
    <w:p>
      <w:pPr>
        <w:pStyle w:val="TextBody"/>
        <w:spacing w:before="120" w:after="283"/>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About WM Technology</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Founded in 2008, WM Technology operates the leading online cannabis marketplace for consumers together with a comprehensive set of eCommerce and compliance software solutions for cannabis businesses, which are sold to retailers and brands in the U.S. state-legal and Canadian cannabis markets. The Company is driven by a passion for the plant, and is on a mission to champion the truth and stand with all who believe in open access to cannabis.</w:t>
      </w:r>
    </w:p>
    <w:p>
      <w:pPr>
        <w:pStyle w:val="TextBody"/>
        <w:spacing w:lineRule="auto" w:line="256" w:before="0" w:after="0"/>
        <w:jc w:val="both"/>
        <w:rPr/>
      </w:pPr>
      <w:r>
        <w:rPr>
          <w:rFonts w:ascii="Times New Roman;sans-serif" w:hAnsi="Times New Roman;sans-serif"/>
          <w:b w:val="false"/>
          <w:color w:val="000000"/>
          <w:sz w:val="20"/>
        </w:rPr>
        <w:t>The Company’s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r>
        <w:rPr>
          <w:rFonts w:ascii="Calibri;sans-serif" w:hAnsi="Calibri;sans-serif"/>
          <w:b w:val="false"/>
          <w:color w:val="000000"/>
          <w:sz w:val="22"/>
        </w:rPr>
        <w:t>.</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Irvine, California, WM Technology supports remote work for all eligible employees. Visit us at www.weedmaps.com.</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including the CEO transition; the possibility that we may be adversely affected by other economic, business or competitive factors; the possibility that the Company may be adversely affected by other economic, business or competitive and those factors discussed in the Company’s 2022 Annual Report on Form 10-K filed with Securities and Exchange Commission (the “SEC”) on March 16, 2023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w:t>
      </w:r>
      <w:r>
        <w:br w:type="page"/>
      </w:r>
    </w:p>
    <w:p>
      <w:pPr>
        <w:pStyle w:val="TextBody"/>
        <w:spacing w:before="120" w:after="283"/>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date of this press release. Accordingly, undue reliance should not be placed upon the forward-looking statements.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including net loss, are prepared in accordance with principles generally accepted in the United States of America (“GAAP”).</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disclosed EBITDA and Adjusted EBITDA, all of which are non-GAAP financial measures that we calculate as net loss before interest, taxes and depreciation and amortization expense in the case of EBITDA and further adjusted to exclude stock-based compensation, change in fair value of warrant liability, change in tax receivable agreement liability, transaction related bonuses, transaction costs, legal settlements and other legal costs, reduction in force and other non-cash, unusual and/or infrequent costs in the case of Adjusted EBITDA. Below we have provided a reconciliation of net (loss) income (the most directly comparable GAAP financial measure) to EBITDA; and from EBITDA to Adjusted EBITDA.</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spacing w:lineRule="auto" w:line="288" w:before="120" w:after="6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spacing w:lineRule="auto" w:line="288" w:before="60" w:after="120"/>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 to us.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and our other GAAP results.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Definition of Key Operating and Financial Metrics</w:t>
      </w:r>
    </w:p>
    <w:p>
      <w:pPr>
        <w:pStyle w:val="TextBody"/>
        <w:spacing w:lineRule="auto" w:line="288" w:before="0" w:after="120"/>
        <w:ind w:left="0" w:right="0" w:hanging="360"/>
        <w:jc w:val="both"/>
        <w:rPr/>
      </w:pPr>
      <w:r>
        <w:rPr>
          <w:color w:val="000000"/>
        </w:rPr>
        <w:t>•</w:t>
      </w:r>
      <w:r>
        <w:rPr>
          <w:rFonts w:ascii="Times New Roman;sans-serif" w:hAnsi="Times New Roman;sans-serif"/>
          <w:b/>
          <w:color w:val="000000"/>
          <w:sz w:val="20"/>
        </w:rPr>
        <w:t>Average Monthly Revenue Per Paying Client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pStyle w:val="TextBody"/>
        <w:spacing w:lineRule="auto" w:line="288" w:before="0" w:after="120"/>
        <w:ind w:left="0" w:right="0" w:hanging="360"/>
        <w:jc w:val="both"/>
        <w:rPr/>
      </w:pPr>
      <w:r>
        <w:rPr>
          <w:color w:val="000000"/>
        </w:rPr>
        <w:t>•</w:t>
      </w:r>
      <w:r>
        <w:rPr>
          <w:rFonts w:ascii="Times New Roman;sans-serif" w:hAnsi="Times New Roman;sans-serif"/>
          <w:b/>
          <w:color w:val="000000"/>
          <w:sz w:val="20"/>
        </w:rPr>
        <w:t>Average Monthly Paying Clients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define average monthly paying clients as the monthly average of clients billed each month over a particular period (and for which services were provided).</w:t>
      </w:r>
      <w:r>
        <w:br w:type="page"/>
      </w:r>
    </w:p>
    <w:p>
      <w:pPr>
        <w:pStyle w:val="TextBody"/>
        <w:spacing w:before="120" w:after="283"/>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12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CellMar>
          <w:top w:w="28" w:type="dxa"/>
          <w:left w:w="28" w:type="dxa"/>
          <w:bottom w:w="28" w:type="dxa"/>
          <w:right w:w="28" w:type="dxa"/>
        </w:tblCellMar>
      </w:tblPr>
      <w:tblGrid>
        <w:gridCol w:w="2695"/>
        <w:gridCol w:w="2120"/>
        <w:gridCol w:w="2089"/>
        <w:gridCol w:w="109"/>
        <w:gridCol w:w="109"/>
        <w:gridCol w:w="109"/>
        <w:gridCol w:w="230"/>
        <w:gridCol w:w="900"/>
        <w:gridCol w:w="118"/>
        <w:gridCol w:w="109"/>
        <w:gridCol w:w="109"/>
        <w:gridCol w:w="109"/>
        <w:gridCol w:w="247"/>
        <w:gridCol w:w="967"/>
        <w:gridCol w:w="185"/>
      </w:tblGrid>
      <w:tr>
        <w:trPr/>
        <w:tc>
          <w:tcPr>
            <w:tcW w:w="2695"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6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$0.0001 par value; 75,000,000 shares authorized; no shares issued and outstanding at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$0.0001 par value; 1,500,000,000 shares authorized; 92,573,466 shares issued and outstanding at March 31, 2023 and 92,062,468 shares issued and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 - $0.0001 par value; 500,000,000 shares authorized, 55,486,361 shares issued and outstanding at March 31, 2023 and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(54,620)</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WM Technology, Inc.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6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br w:type="page"/>
      </w: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spacing w:before="120" w:after="283"/>
        <w:jc w:val="center"/>
        <w:rPr/>
      </w:pPr>
      <w:r>
        <w:rPr/>
      </w:r>
    </w:p>
    <w:tbl>
      <w:tblPr>
        <w:tblW w:w="9964" w:type="dxa"/>
        <w:jc w:val="left"/>
        <w:tblInd w:w="0" w:type="dxa"/>
        <w:tblCellMar>
          <w:top w:w="28" w:type="dxa"/>
          <w:left w:w="28" w:type="dxa"/>
          <w:bottom w:w="28" w:type="dxa"/>
          <w:right w:w="28" w:type="dxa"/>
        </w:tblCellMar>
      </w:tblPr>
      <w:tblGrid>
        <w:gridCol w:w="2568"/>
        <w:gridCol w:w="2249"/>
        <w:gridCol w:w="2278"/>
        <w:gridCol w:w="244"/>
        <w:gridCol w:w="837"/>
        <w:gridCol w:w="122"/>
        <w:gridCol w:w="122"/>
        <w:gridCol w:w="122"/>
        <w:gridCol w:w="122"/>
        <w:gridCol w:w="236"/>
        <w:gridCol w:w="892"/>
        <w:gridCol w:w="172"/>
      </w:tblGrid>
      <w:tr>
        <w:trPr/>
        <w:tc>
          <w:tcPr>
            <w:tcW w:w="2568"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loss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7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WM Technology,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and diluted shares outstanding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92,323,757 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72,450,204 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20"/>
        <w:jc w:val="both"/>
        <w:rPr/>
      </w:pPr>
      <w:r>
        <w:rPr/>
      </w:r>
    </w:p>
    <w:p>
      <w:pPr>
        <w:pStyle w:val="TextBody"/>
        <w:spacing w:before="120" w:after="120"/>
        <w:rPr/>
      </w:pPr>
      <w:r>
        <w:rPr/>
      </w:r>
    </w:p>
    <w:p>
      <w:pPr>
        <w:pStyle w:val="TextBody"/>
        <w:spacing w:before="120" w:after="120"/>
        <w:rPr/>
      </w:pPr>
      <w:r>
        <w:rPr/>
      </w:r>
      <w:r>
        <w:br w:type="page"/>
      </w:r>
    </w:p>
    <w:p>
      <w:pPr>
        <w:pStyle w:val="TextBody"/>
        <w:spacing w:before="120" w:after="283"/>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861" w:type="dxa"/>
        <w:jc w:val="left"/>
        <w:tblInd w:w="0" w:type="dxa"/>
        <w:tblCellMar>
          <w:top w:w="28" w:type="dxa"/>
          <w:left w:w="28" w:type="dxa"/>
          <w:bottom w:w="28" w:type="dxa"/>
          <w:right w:w="28" w:type="dxa"/>
        </w:tblCellMar>
      </w:tblPr>
      <w:tblGrid>
        <w:gridCol w:w="2260"/>
        <w:gridCol w:w="1982"/>
        <w:gridCol w:w="1997"/>
        <w:gridCol w:w="219"/>
        <w:gridCol w:w="722"/>
        <w:gridCol w:w="121"/>
        <w:gridCol w:w="121"/>
        <w:gridCol w:w="121"/>
        <w:gridCol w:w="121"/>
        <w:gridCol w:w="219"/>
        <w:gridCol w:w="806"/>
        <w:gridCol w:w="172"/>
      </w:tblGrid>
      <w:tr>
        <w:trPr/>
        <w:tc>
          <w:tcPr>
            <w:tcW w:w="2260"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tax receivable agreement liability</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insurance premium financing</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repayment of related party note</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 beginning of period</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 end of period</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LOSS TO EBITDA AND ADJUSTED EBITDA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120" w:after="120"/>
        <w:rPr/>
      </w:pPr>
      <w:r>
        <w:rPr/>
      </w:r>
    </w:p>
    <w:tbl>
      <w:tblPr>
        <w:tblW w:w="6565" w:type="dxa"/>
        <w:jc w:val="left"/>
        <w:tblInd w:w="0" w:type="dxa"/>
        <w:tblCellMar>
          <w:top w:w="28" w:type="dxa"/>
          <w:left w:w="28" w:type="dxa"/>
          <w:bottom w:w="28" w:type="dxa"/>
          <w:right w:w="28" w:type="dxa"/>
        </w:tblCellMar>
      </w:tblPr>
      <w:tblGrid>
        <w:gridCol w:w="1355"/>
        <w:gridCol w:w="1183"/>
        <w:gridCol w:w="1196"/>
        <w:gridCol w:w="239"/>
        <w:gridCol w:w="784"/>
        <w:gridCol w:w="123"/>
        <w:gridCol w:w="123"/>
        <w:gridCol w:w="123"/>
        <w:gridCol w:w="123"/>
        <w:gridCol w:w="239"/>
        <w:gridCol w:w="903"/>
        <w:gridCol w:w="174"/>
      </w:tblGrid>
      <w:tr>
        <w:trPr/>
        <w:tc>
          <w:tcPr>
            <w:tcW w:w="1355"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685" w:type="dxa"/>
            <w:gridSpan w:val="6"/>
            <w:tcBorders/>
            <w:shd w:fill="auto" w:val="clea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(29,036)</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bonuses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settlements and other legal costs</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force</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68" w:before="0" w:after="0"/>
        <w:ind w:left="0" w:right="0" w:hanging="360"/>
        <w:jc w:val="both"/>
        <w:rPr/>
      </w:pPr>
      <w:r>
        <w:rPr>
          <w:rFonts w:ascii="Times New Roman;sans-serif" w:hAnsi="Times New Roman;sans-serif"/>
          <w:b w:val="false"/>
          <w:color w:val="000000"/>
          <w:sz w:val="16"/>
        </w:rPr>
        <w:t>(1)    </w:t>
      </w:r>
      <w:r>
        <w:rPr>
          <w:rFonts w:ascii="Times New Roman;sans-serif" w:hAnsi="Times New Roman;sans-serif"/>
          <w:b w:val="false"/>
          <w:color w:val="000000"/>
          <w:sz w:val="20"/>
        </w:rPr>
        <w:t>Stock-based compensation expense is recorded in the following expense categories on the accompanying consolidated statements of operations for the three months ended March 31, 2023 and 2022:</w:t>
      </w:r>
    </w:p>
    <w:tbl>
      <w:tblPr>
        <w:tblW w:w="6594" w:type="dxa"/>
        <w:jc w:val="left"/>
        <w:tblInd w:w="0" w:type="dxa"/>
        <w:tblCellMar>
          <w:top w:w="28" w:type="dxa"/>
          <w:left w:w="28" w:type="dxa"/>
          <w:bottom w:w="28" w:type="dxa"/>
          <w:right w:w="28" w:type="dxa"/>
        </w:tblCellMar>
      </w:tblPr>
      <w:tblGrid>
        <w:gridCol w:w="1360"/>
        <w:gridCol w:w="1198"/>
        <w:gridCol w:w="1206"/>
        <w:gridCol w:w="266"/>
        <w:gridCol w:w="778"/>
        <w:gridCol w:w="137"/>
        <w:gridCol w:w="137"/>
        <w:gridCol w:w="137"/>
        <w:gridCol w:w="137"/>
        <w:gridCol w:w="266"/>
        <w:gridCol w:w="778"/>
        <w:gridCol w:w="194"/>
      </w:tblGrid>
      <w:tr>
        <w:trPr/>
        <w:tc>
          <w:tcPr>
            <w:tcW w:w="1360"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capitalized to software development</w:t>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16380"/>
                <wp:effectExtent l="0" t="0" r="0" b="0"/>
                <wp:wrapNone/>
                <wp:docPr id="12" name="Frame11"/>
                <a:graphic xmlns:a="http://schemas.openxmlformats.org/drawingml/2006/main">
                  <a:graphicData uri="http://schemas.microsoft.com/office/word/2010/wordprocessingShape">
                    <wps:wsp>
                      <wps:cNvSpPr txBox="1"/>
                      <wps:spPr>
                        <a:xfrm>
                          <a:off x="0" y="0"/>
                          <a:ext cx="6480175" cy="1516380"/>
                        </a:xfrm>
                        <a:prstGeom prst="rect"/>
                      </wps:spPr>
                      <wps:txbx>
                        <w:txbxContent>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SELECTED KEY OPERATING METRICS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pStyle w:val="TextBody"/>
        <w:spacing w:lineRule="auto" w:line="288" w:before="120" w:after="283"/>
        <w:rPr>
          <w:rFonts w:ascii="Times New Roman;sans-serif" w:hAnsi="Times New Roman;sans-serif"/>
          <w:b/>
          <w:color w:val="000000"/>
          <w:sz w:val="20"/>
          <w:u w:val="single"/>
        </w:rPr>
      </w:pPr>
      <w:r>
        <w:rPr>
          <w:rFonts w:ascii="Times New Roman;sans-serif" w:hAnsi="Times New Roman;sans-serif"/>
          <w:b/>
          <w:color w:val="000000"/>
          <w:sz w:val="20"/>
          <w:u w:val="single"/>
        </w:rPr>
        <w:t>Selected Key Operating Metrics</w:t>
      </w:r>
    </w:p>
    <w:p>
      <w:pPr>
        <w:pStyle w:val="TextBody"/>
        <w:spacing w:before="120" w:after="120"/>
        <w:rPr/>
      </w:pPr>
      <w:r>
        <w:rPr/>
      </w:r>
    </w:p>
    <w:tbl>
      <w:tblPr>
        <w:tblW w:w="6475" w:type="dxa"/>
        <w:jc w:val="left"/>
        <w:tblInd w:w="0" w:type="dxa"/>
        <w:tblCellMar>
          <w:top w:w="28" w:type="dxa"/>
          <w:left w:w="28" w:type="dxa"/>
          <w:bottom w:w="28" w:type="dxa"/>
          <w:right w:w="28" w:type="dxa"/>
        </w:tblCellMar>
      </w:tblPr>
      <w:tblGrid>
        <w:gridCol w:w="1322"/>
        <w:gridCol w:w="1159"/>
        <w:gridCol w:w="1164"/>
        <w:gridCol w:w="266"/>
        <w:gridCol w:w="778"/>
        <w:gridCol w:w="137"/>
        <w:gridCol w:w="137"/>
        <w:gridCol w:w="137"/>
        <w:gridCol w:w="137"/>
        <w:gridCol w:w="266"/>
        <w:gridCol w:w="778"/>
        <w:gridCol w:w="194"/>
      </w:tblGrid>
      <w:tr>
        <w:trPr/>
        <w:tc>
          <w:tcPr>
            <w:tcW w:w="1322"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paying clients</w:t>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spacing w:lineRule="auto" w:line="288" w:before="120" w:after="283"/>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investors@weedmaps.com</w:t>
      </w:r>
    </w:p>
    <w:p>
      <w:pPr>
        <w:pStyle w:val="TextBody"/>
        <w:spacing w:before="120" w:after="283"/>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Media Contract:</w:t>
      </w:r>
    </w:p>
    <w:p>
      <w:pPr>
        <w:pStyle w:val="TextBody"/>
        <w:spacing w:lineRule="auto" w:line="288" w:before="120" w:after="283"/>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press@weedmaps.com</w:t>
      </w:r>
      <w:r>
        <w:br w:type="page"/>
      </w:r>
    </w:p>
    <w:p>
      <w:pPr>
        <w:pStyle w:val="TextBody"/>
        <w:spacing w:before="0" w:after="283"/>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16380"/>
                <wp:effectExtent l="0" t="0" r="0" b="0"/>
                <wp:wrapNone/>
                <wp:docPr id="13" name="Frame12"/>
                <a:graphic xmlns:a="http://schemas.openxmlformats.org/drawingml/2006/main">
                  <a:graphicData uri="http://schemas.microsoft.com/office/word/2010/wordprocessingShape">
                    <wps:wsp>
                      <wps:cNvSpPr txBox="1"/>
                      <wps:spPr>
                        <a:xfrm>
                          <a:off x="0" y="0"/>
                          <a:ext cx="6480175" cy="1516380"/>
                        </a:xfrm>
                        <a:prstGeom prst="rect"/>
                      </wps:spPr>
                      <wps:txbx>
                        <w:txbxContent>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3605</Words>
  <CharactersWithSpaces>23806</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