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72" w:lineRule="exact"/>
        <w:rPr>
          <w:sz w:val="24"/>
          <w:szCs w:val="24"/>
          <w:color w:val="auto"/>
        </w:rPr>
      </w:pPr>
    </w:p>
    <w:p>
      <w:pPr>
        <w:sectPr>
          <w:pgSz w:w="11900" w:h="16838" w:orient="portrait"/>
          <w:cols w:equalWidth="0" w:num="3">
            <w:col w:w="3200" w:space="720"/>
            <w:col w:w="3160" w:space="655"/>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08/18/2025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156,974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1.1639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8,729,539</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3,740,393</w:t>
            </w:r>
          </w:p>
        </w:tc>
        <w:tc>
          <w:tcPr>
            <w:tcW w:w="920" w:type="dxa"/>
            <w:vAlign w:val="bottom"/>
            <w:tcBorders>
              <w:bottom w:val="single" w:sz="8" w:color="2C2C2C"/>
            </w:tcBorders>
          </w:tcPr>
          <w:p>
            <w:pPr>
              <w:jc w:val="center"/>
              <w:ind w:right="5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8,691,425</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8,469,191</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(6)</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1,468,555</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(7)</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V Common Stock</w:t>
            </w:r>
            <w:r>
              <w:rPr>
                <w:rFonts w:ascii="Times New Roman" w:cs="Times New Roman" w:eastAsia="Times New Roman" w:hAnsi="Times New Roman"/>
                <w:sz w:val="22"/>
                <w:szCs w:val="22"/>
                <w:color w:val="008000"/>
                <w:vertAlign w:val="superscript"/>
              </w:rPr>
              <w:t>(3)(4)</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600,618</w:t>
            </w:r>
          </w:p>
        </w:tc>
        <w:tc>
          <w:tcPr>
            <w:tcW w:w="920" w:type="dxa"/>
            <w:vAlign w:val="bottom"/>
            <w:vMerge w:val="restart"/>
          </w:tcPr>
          <w:p>
            <w:pPr>
              <w:jc w:val="center"/>
              <w:ind w:right="51"/>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4"/>
            <w:vMerge w:val="continue"/>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20" w:type="dxa"/>
            <w:vAlign w:val="bottom"/>
            <w:gridSpan w:val="18"/>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Francis Douglas</w:t>
              </w:r>
            </w:hyperlink>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(First)</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92618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(State)</w:t>
            </w:r>
          </w:p>
        </w:tc>
        <w:tc>
          <w:tcPr>
            <w:tcW w:w="116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Ghost Media Group, LLC</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798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67989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WM Founders Legacy I,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Genco Incentives,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92618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3"/>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Rebecca Francis Legacy Trust dated 5/14/24,</w:t>
        </w:r>
      </w:hyperlink>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Douglas M. Francis, Trustee</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6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1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69"/>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2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$1.1501 to $1.1901. The Reporting Person will provide upon request to the SEC, the Issuer or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in footnote 4 below) held by such Class V Common Stockholder at the time of such vote.</w:t>
      </w:r>
    </w:p>
    <w:p>
      <w:pPr>
        <w:spacing w:after="0" w:line="20" w:lineRule="exact"/>
        <w:rPr>
          <w:rFonts w:ascii="Times New Roman" w:cs="Times New Roman" w:eastAsia="Times New Roman" w:hAnsi="Times New Roman"/>
          <w:sz w:val="13"/>
          <w:szCs w:val="13"/>
          <w:color w:val="008000"/>
        </w:rPr>
      </w:pPr>
    </w:p>
    <w:p>
      <w:pPr>
        <w:ind w:left="20" w:right="4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Post-Merger Class A Units represent non-voting limited liability company interests of WM Holding Company, LLC. Pursuant to the terms of an exchange agreement, these Class A units and an equivalent number of shares of Class V Common Stock are exchangeable on a one-for-one basis for shares of Class A Common Stock. These exchange rights do not expire.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the Rebecca Francis Legacy Trust dated 5/14/24, of which the Reporting Person is the Investment Trustee.</w:t>
      </w:r>
    </w:p>
    <w:p>
      <w:pPr>
        <w:spacing w:after="0" w:line="50" w:lineRule="exact"/>
        <w:rPr>
          <w:rFonts w:ascii="Times New Roman" w:cs="Times New Roman" w:eastAsia="Times New Roman" w:hAnsi="Times New Roman"/>
          <w:sz w:val="13"/>
          <w:szCs w:val="13"/>
          <w:color w:val="008000"/>
        </w:rPr>
      </w:pPr>
    </w:p>
    <w:p>
      <w:pPr>
        <w:ind w:left="20" w:righ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Ghost Media Group, LLC ("Ghost Media") which is controlled by Mr. Francis. Accordingly, Mr. Francis may be deemed to be a beneficial owner of the shares held by Ghost Media.</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WM Founders Legacy I, LLC ("WM Founders") which is controlled by Mr. Francis. Accordingly, Mr. Francis may be deemed to be a beneficial owner of the shares held by WM Founders.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Genco Incentives, LLC ("Genco") which is controlled by Mr. Francis. Accordingly, Mr. Francis may be deemed to be a beneficial owner of the shares held by Genco.</w:t>
      </w:r>
    </w:p>
    <w:p>
      <w:pPr>
        <w:sectPr>
          <w:pgSz w:w="11900" w:h="16867" w:orient="portrait"/>
          <w:cols w:equalWidth="0" w:num="1">
            <w:col w:w="10880"/>
          </w:cols>
          <w:pgMar w:left="480" w:top="167" w:right="539" w:bottom="0" w:gutter="0" w:footer="0" w:header="0"/>
        </w:sectPr>
      </w:pP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Ghost Media Group,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Genco Incentives,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Douglas Francis,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39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49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Rebecca Francis Legacy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09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dated 5/14/24, by /s/ Douglas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2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Francis, Investment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WM Founders Legacy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42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4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14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67" w:orient="portrait"/>
          <w:cols w:equalWidth="0" w:num="2">
            <w:col w:w="8680" w:space="80"/>
            <w:col w:w="2120"/>
          </w:cols>
          <w:pgMar w:left="480" w:top="167" w:right="539" w:bottom="0" w:gutter="0" w:footer="0" w:header="0"/>
          <w:type w:val="continuous"/>
        </w:sectPr>
      </w:pPr>
    </w:p>
    <w:p>
      <w:pPr>
        <w:jc w:val="right"/>
        <w:ind w:right="1840"/>
        <w:spacing w:after="0"/>
        <w:tabs>
          <w:tab w:leader="none" w:pos="2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67" w:orient="portrait"/>
          <w:cols w:equalWidth="0" w:num="1">
            <w:col w:w="10880"/>
          </w:cols>
          <w:pgMar w:left="480" w:top="167" w:right="53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3" Type="http://schemas.openxmlformats.org/officeDocument/2006/relationships/hyperlink" Target="http://www.sec.gov/cgi-bin/browse-edgar?action=getcompany&amp;CIK=0001519966" TargetMode="External"/><Relationship Id="rId14" Type="http://schemas.openxmlformats.org/officeDocument/2006/relationships/hyperlink" Target="http://www.sec.gov/cgi-bin/browse-edgar?action=getcompany&amp;CIK=0001779474" TargetMode="External"/><Relationship Id="rId17" Type="http://schemas.openxmlformats.org/officeDocument/2006/relationships/hyperlink" Target="http://www.sec.gov/cgi-bin/browse-edgar?action=getcompany&amp;CIK=0001859722" TargetMode="External"/><Relationship Id="rId19" Type="http://schemas.openxmlformats.org/officeDocument/2006/relationships/hyperlink" Target="http://www.sec.gov/cgi-bin/browse-edgar?action=getcompany&amp;CIK=0001859724" TargetMode="External"/><Relationship Id="rId20" Type="http://schemas.openxmlformats.org/officeDocument/2006/relationships/hyperlink" Target="http://www.sec.gov/cgi-bin/browse-edgar?action=getcompany&amp;CIK=0001859765" TargetMode="External"/><Relationship Id="rId21" Type="http://schemas.openxmlformats.org/officeDocument/2006/relationships/hyperlink" Target="http://www.sec.gov/cgi-bin/browse-edgar?action=getcompany&amp;CIK=00020516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2025-08-20T17:13:45Z</dcterms:created>
  <dcterms:modified xsi:type="dcterms:W3CDTF">2025-08-20T17:13:45Z</dcterms:modified>
</cp:coreProperties>
</file>