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jc w:val="right"/>
        <w:spacing w:after="0" w:line="203" w:lineRule="auto"/>
        <w:rPr>
          <w:sz w:val="20"/>
          <w:szCs w:val="20"/>
          <w:color w:val="auto"/>
        </w:rPr>
      </w:pPr>
      <w:r>
        <w:rPr>
          <w:rFonts w:ascii="Arial" w:cs="Arial" w:eastAsia="Arial" w:hAnsi="Arial"/>
          <w:sz w:val="18"/>
          <w:szCs w:val="18"/>
          <w:b w:val="1"/>
          <w:bCs w:val="1"/>
          <w:color w:val="auto"/>
        </w:rPr>
        <w:t>Registration No. 333-261466</w:t>
      </w:r>
    </w:p>
    <w:p>
      <w:pPr>
        <w:spacing w:after="0" w:line="203" w:lineRule="auto"/>
        <w:rPr>
          <w:sz w:val="20"/>
          <w:szCs w:val="20"/>
          <w:color w:val="auto"/>
        </w:rPr>
      </w:pPr>
      <w:r>
        <w:rPr>
          <w:rFonts w:ascii="Arial" w:cs="Arial" w:eastAsia="Arial" w:hAnsi="Arial"/>
          <w:sz w:val="18"/>
          <w:szCs w:val="18"/>
          <w:b w:val="1"/>
          <w:bCs w:val="1"/>
          <w:color w:val="auto"/>
        </w:rPr>
        <w:t>Prospectus Supplement No. 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-12065</wp:posOffset>
            </wp:positionV>
            <wp:extent cx="263144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both"/>
        <w:ind w:firstLine="648"/>
        <w:spacing w:after="0" w:line="249" w:lineRule="auto"/>
        <w:rPr>
          <w:sz w:val="20"/>
          <w:szCs w:val="20"/>
          <w:color w:val="auto"/>
        </w:rPr>
      </w:pPr>
      <w:r>
        <w:rPr>
          <w:rFonts w:ascii="Arial" w:cs="Arial" w:eastAsia="Arial" w:hAnsi="Arial"/>
          <w:sz w:val="16"/>
          <w:szCs w:val="16"/>
          <w:color w:val="auto"/>
        </w:rPr>
        <w:t>This prospectus supplement updates and supplements the prospectus dated December 10, 2021 (the “Prospectus”), which forms a part of our Registration Statement on Form S-1, as amended (Registration No. 333-261466). This prospectus supplement is being filed to update and supplement the information in the Prospectus with the information contained in our Current Report on Form 8-K filed with the Securities and Exchange Commission on December 16, 2021 (the “Current Report on Form 8-K”). Accordingly, we have attached the Current Report on Form 8-K to this prospectus supplement.</w:t>
      </w:r>
    </w:p>
    <w:p>
      <w:pPr>
        <w:spacing w:after="0" w:line="181" w:lineRule="exact"/>
        <w:rPr>
          <w:sz w:val="24"/>
          <w:szCs w:val="24"/>
          <w:color w:val="auto"/>
        </w:rPr>
      </w:pPr>
    </w:p>
    <w:p>
      <w:pPr>
        <w:jc w:val="both"/>
        <w:ind w:firstLine="648"/>
        <w:spacing w:after="0" w:line="237" w:lineRule="auto"/>
        <w:rPr>
          <w:sz w:val="20"/>
          <w:szCs w:val="20"/>
          <w:color w:val="auto"/>
        </w:rPr>
      </w:pPr>
      <w:r>
        <w:rPr>
          <w:rFonts w:ascii="Arial" w:cs="Arial" w:eastAsia="Arial" w:hAnsi="Arial"/>
          <w:sz w:val="16"/>
          <w:szCs w:val="16"/>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302" w:lineRule="exact"/>
        <w:rPr>
          <w:sz w:val="24"/>
          <w:szCs w:val="24"/>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December 15, 2021, the closing price of our Class A Common Stock was $5.86.</w:t>
      </w:r>
    </w:p>
    <w:p>
      <w:pPr>
        <w:spacing w:after="0" w:line="185" w:lineRule="exact"/>
        <w:rPr>
          <w:sz w:val="24"/>
          <w:szCs w:val="24"/>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SEE THE SECTION ENTITLED “RISK FACTORS” BEGINNING ON PAGE 5 OF THE PROSPECTUS, AS UPDATED AND SUPPLEMENTED UNDER SIMILAR HEADINGS IN ANY FURTHER AMENDMENTS OR SUPPLEMENTS TO THE PROSPECTUS, TO READ ABOUT FACTORS YOU SHOULD CONSIDER BEFORE BUYING OUR SECURITIES.</w:t>
      </w:r>
    </w:p>
    <w:p>
      <w:pPr>
        <w:spacing w:after="0" w:line="121" w:lineRule="exact"/>
        <w:rPr>
          <w:sz w:val="24"/>
          <w:szCs w:val="24"/>
          <w:color w:val="auto"/>
        </w:rPr>
      </w:pPr>
    </w:p>
    <w:p>
      <w:pPr>
        <w:jc w:val="both"/>
        <w:ind w:firstLine="648"/>
        <w:spacing w:after="0" w:line="25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16, 2021.</w:t>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448945</wp:posOffset>
            </wp:positionV>
            <wp:extent cx="1911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328930</wp:posOffset>
            </wp:positionV>
            <wp:extent cx="19113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246380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001-39021</w:t>
            </w: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98-1605615</w:t>
            </w:r>
          </w:p>
        </w:tc>
        <w:tc>
          <w:tcPr>
            <w:tcW w:w="162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1620" w:type="dxa"/>
            <w:vAlign w:val="bottom"/>
          </w:tcPr>
          <w:p>
            <w:pPr>
              <w:spacing w:after="0"/>
              <w:rPr>
                <w:sz w:val="19"/>
                <w:szCs w:val="19"/>
                <w:color w:val="auto"/>
              </w:rPr>
            </w:pPr>
          </w:p>
        </w:tc>
        <w:tc>
          <w:tcPr>
            <w:tcW w:w="28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(State or Other Jurisdiction of</w:t>
            </w:r>
          </w:p>
        </w:tc>
        <w:tc>
          <w:tcPr>
            <w:tcW w:w="260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No.)</w:t>
            </w:r>
          </w:p>
        </w:tc>
        <w:tc>
          <w:tcPr>
            <w:tcW w:w="1620" w:type="dxa"/>
            <w:vAlign w:val="bottom"/>
          </w:tcPr>
          <w:p>
            <w:pPr>
              <w:spacing w:after="0"/>
              <w:rPr>
                <w:sz w:val="20"/>
                <w:szCs w:val="20"/>
                <w:color w:val="auto"/>
              </w:rPr>
            </w:pPr>
          </w:p>
        </w:tc>
      </w:tr>
      <w:tr>
        <w:trPr>
          <w:trHeight w:val="603"/>
        </w:trPr>
        <w:tc>
          <w:tcPr>
            <w:tcW w:w="1620" w:type="dxa"/>
            <w:vAlign w:val="bottom"/>
          </w:tcPr>
          <w:p>
            <w:pPr>
              <w:spacing w:after="0"/>
              <w:rPr>
                <w:sz w:val="24"/>
                <w:szCs w:val="24"/>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41 Discovery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Irvine, California</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ind w:right="810"/>
              <w:spacing w:after="0"/>
              <w:rPr>
                <w:sz w:val="20"/>
                <w:szCs w:val="20"/>
                <w:color w:val="auto"/>
              </w:rPr>
            </w:pPr>
            <w:r>
              <w:rPr>
                <w:rFonts w:ascii="Arial" w:cs="Arial" w:eastAsia="Arial" w:hAnsi="Arial"/>
                <w:sz w:val="18"/>
                <w:szCs w:val="18"/>
                <w:b w:val="1"/>
                <w:bCs w:val="1"/>
                <w:color w:val="auto"/>
              </w:rPr>
              <w:t>92618</w:t>
            </w:r>
          </w:p>
        </w:tc>
        <w:tc>
          <w:tcPr>
            <w:tcW w:w="1620" w:type="dxa"/>
            <w:vAlign w:val="bottom"/>
          </w:tcPr>
          <w:p>
            <w:pPr>
              <w:spacing w:after="0"/>
              <w:rPr>
                <w:sz w:val="20"/>
                <w:szCs w:val="20"/>
                <w:color w:val="auto"/>
              </w:rPr>
            </w:pPr>
          </w:p>
        </w:tc>
      </w:tr>
      <w:tr>
        <w:trPr>
          <w:trHeight w:val="27"/>
        </w:trPr>
        <w:tc>
          <w:tcPr>
            <w:tcW w:w="45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ind w:left="150"/>
              <w:spacing w:after="0"/>
              <w:rPr>
                <w:sz w:val="20"/>
                <w:szCs w:val="20"/>
                <w:color w:val="auto"/>
              </w:rPr>
            </w:pPr>
            <w:r>
              <w:rPr>
                <w:rFonts w:ascii="Arial" w:cs="Arial" w:eastAsia="Arial" w:hAnsi="Arial"/>
                <w:sz w:val="18"/>
                <w:szCs w:val="18"/>
                <w:color w:val="auto"/>
                <w:w w:val="94"/>
              </w:rPr>
              <w:t>(Zip Code)</w:t>
            </w:r>
          </w:p>
        </w:tc>
        <w:tc>
          <w:tcPr>
            <w:tcW w:w="1620" w:type="dxa"/>
            <w:vAlign w:val="bottom"/>
          </w:tcPr>
          <w:p>
            <w:pPr>
              <w:spacing w:after="0"/>
              <w:rPr>
                <w:sz w:val="20"/>
                <w:szCs w:val="20"/>
                <w:color w:val="auto"/>
              </w:rPr>
            </w:pPr>
          </w:p>
        </w:tc>
      </w:tr>
    </w:tbl>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0"/>
          <w:szCs w:val="20"/>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513"/>
        </w:trPr>
        <w:tc>
          <w:tcPr>
            <w:tcW w:w="438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ind w:left="240"/>
              <w:spacing w:after="0"/>
              <w:rPr>
                <w:sz w:val="20"/>
                <w:szCs w:val="20"/>
                <w:color w:val="auto"/>
              </w:rPr>
            </w:pPr>
            <w:r>
              <w:rPr>
                <w:rFonts w:ascii="Arial" w:cs="Arial" w:eastAsia="Arial" w:hAnsi="Arial"/>
                <w:sz w:val="18"/>
                <w:szCs w:val="18"/>
                <w:color w:val="auto"/>
                <w:w w:val="96"/>
              </w:rPr>
              <w:t>Class A Common Stock, $0.0001 par value per share</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MAPS</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310"/>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Warrants, each whole warrant exercisable for one share of</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Class A Common Stock at an exercise price of $11.50 per</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MAPSW</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ind w:left="26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116" w:gutter="0" w:footer="0" w:header="0"/>
        </w:sectPr>
      </w:pPr>
    </w:p>
    <w:bookmarkStart w:id="2" w:name="page3"/>
    <w:bookmarkEnd w:id="2"/>
    <w:p>
      <w:pPr>
        <w:ind w:right="260"/>
        <w:spacing w:after="0" w:line="2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On December 11, 2021, the Compensation Committee of the Board of Directors of WM Technology, Inc. (the “Company”) approved the Company’s Severance and Change in Control Plan (the “Plan”). The Company’s named executive officers, including Chris Beals and Justin Dean, are eligible to participate in the Plan.</w:t>
      </w:r>
    </w:p>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Pursuant to the Plan, in the event of a participant’s termination of employment by the Company without “cause” (other than as a result of death or “disability”) or by the participant for “good reason,” in either case, during the period commencing three months prior to and ending 12 months following the closing of a “change in control” (as such terms are defined in the Plan) (such period, the “Change in Control Period”), the participant will be entitled to:</w:t>
      </w:r>
    </w:p>
    <w:p>
      <w:pPr>
        <w:spacing w:after="0" w:line="175" w:lineRule="exact"/>
        <w:rPr>
          <w:sz w:val="20"/>
          <w:szCs w:val="20"/>
          <w:color w:val="auto"/>
        </w:rPr>
      </w:pPr>
    </w:p>
    <w:p>
      <w:pPr>
        <w:ind w:left="660" w:right="200" w:hanging="328"/>
        <w:spacing w:after="0" w:line="22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number of months of the participant’s then-current base salary (18 months for Mr. Beals and 12 months for Mr. Dean);</w:t>
      </w:r>
    </w:p>
    <w:p>
      <w:pPr>
        <w:ind w:left="660" w:right="100" w:hanging="328"/>
        <w:spacing w:after="0" w:line="21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percentage of the participant’s target incentive bonus for the year in which the termination occurs (150% for Mr. Beals and 100% for Mr. Dean);</w:t>
      </w:r>
    </w:p>
    <w:p>
      <w:pPr>
        <w:ind w:left="660" w:hanging="328"/>
        <w:spacing w:after="0" w:line="23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18 months for Mr. Beals and up to 12 months for Mr. Dean); and</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full vesting acceleration of all outstanding equity awards (with any performance-based vesting awards deemed achieved at target level).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212529"/>
        </w:rPr>
        <w:t>In addition, pursuant to the Plan, in the event of a participant’s termination of employment by the Company without cause or, in the case of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12529"/>
        </w:rPr>
        <w:t>Beals, by the participant for good reason, outside a Change in Control Period, the participant will be entitled to:</w:t>
      </w:r>
    </w:p>
    <w:p>
      <w:pPr>
        <w:spacing w:after="0" w:line="209" w:lineRule="exact"/>
        <w:rPr>
          <w:sz w:val="20"/>
          <w:szCs w:val="20"/>
          <w:color w:val="auto"/>
        </w:rPr>
      </w:pPr>
    </w:p>
    <w:p>
      <w:pPr>
        <w:ind w:left="660" w:right="140" w:hanging="328"/>
        <w:spacing w:after="0" w:line="22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continued payment of the participant’s then-current base salary for a number of months (12 months for Mr. Beals and nine months for Mr. Dean) (such period, the “Severance Period”);</w:t>
      </w:r>
    </w:p>
    <w:p>
      <w:pPr>
        <w:ind w:left="660" w:right="14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a percentage of the participant’s target incentive bonus for the year in which the termination occurs (100% for Mr. Beals and 75% for Mr. Dean), with such amount paid made in equal installments over the Severance Period; and</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12 months for Mr. Beals and up to nine months for Mr. Dean).</w:t>
      </w:r>
    </w:p>
    <w:p>
      <w:pPr>
        <w:spacing w:after="0" w:line="2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All payments and benefits under the Plan are subject to the participant’s timely execution of an effective release of claims against the Company.</w:t>
      </w:r>
    </w:p>
    <w:p>
      <w:pPr>
        <w:spacing w:after="0" w:line="248"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foregoing description of the Plan does not purport to be complete and is qualified in its entirety by reference to the Plan, a copy of which is attached hereto and filed herewith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302" w:lineRule="exact"/>
        <w:rPr>
          <w:sz w:val="20"/>
          <w:szCs w:val="20"/>
          <w:color w:val="auto"/>
        </w:rPr>
      </w:pPr>
    </w:p>
    <w:p>
      <w:pPr>
        <w:ind w:left="160"/>
        <w:spacing w:after="0"/>
        <w:tabs>
          <w:tab w:leader="none" w:pos="49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WM Technology, Inc. Severance and Change in Control Plan</w:t>
        </w:r>
      </w:hyperlink>
    </w:p>
    <w:p>
      <w:pPr>
        <w:sectPr>
          <w:pgSz w:w="11900" w:h="16838" w:orient="portrait"/>
          <w:cols w:equalWidth="0" w:num="1">
            <w:col w:w="11200"/>
          </w:cols>
          <w:pgMar w:left="320" w:top="1026" w:right="3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2021</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s://www.sec.gov/Archives/edgar/data/0001779474/000177947421000033/exhibit991-wmtechnology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2021-12-16T15:33:39Z</dcterms:created>
  <dcterms:modified xsi:type="dcterms:W3CDTF">2021-12-16T15:33:39Z</dcterms:modified>
</cp:coreProperties>
</file>