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_______________________________________________________________________________</w:t>
      </w:r>
    </w:p>
    <w:p>
      <w:pPr>
        <w:pStyle w:val="TextBody"/>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_______________________________________________________________________________</w:t>
      </w:r>
    </w:p>
    <w:tbl>
      <w:tblPr>
        <w:tblW w:w="9761" w:type="dxa"/>
        <w:jc w:val="left"/>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2023</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center"/>
        <w:tblInd w:w="0" w:type="dxa"/>
        <w:tblCellMar>
          <w:top w:w="28" w:type="dxa"/>
          <w:left w:w="28" w:type="dxa"/>
          <w:bottom w:w="28" w:type="dxa"/>
          <w:right w:w="28" w:type="dxa"/>
        </w:tblCellMar>
      </w:tblPr>
      <w:tblGrid>
        <w:gridCol w:w="124"/>
        <w:gridCol w:w="109"/>
        <w:gridCol w:w="109"/>
        <w:gridCol w:w="2759"/>
        <w:gridCol w:w="2759"/>
        <w:gridCol w:w="390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2759" w:type="dxa"/>
            <w:tcBorders/>
            <w:shd w:fill="auto" w:val="clear"/>
            <w:vAlign w:val="center"/>
          </w:tcPr>
          <w:p>
            <w:pPr>
              <w:pStyle w:val="TableContents"/>
              <w:spacing w:before="0" w:after="283"/>
              <w:rPr>
                <w:sz w:val="4"/>
                <w:szCs w:val="4"/>
              </w:rPr>
            </w:pPr>
            <w:r>
              <w:rPr>
                <w:sz w:val="4"/>
                <w:szCs w:val="4"/>
              </w:rPr>
            </w:r>
          </w:p>
        </w:tc>
        <w:tc>
          <w:tcPr>
            <w:tcW w:w="390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4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spacing w:lineRule="auto" w:line="288" w:before="0" w:after="0"/>
        <w:jc w:val="center"/>
        <w:rPr/>
      </w:pPr>
      <w:r>
        <w:rPr>
          <w:rFonts w:ascii="Times New Roman;sans-serif" w:hAnsi="Times New Roman;sans-serif"/>
          <w:b/>
          <w:color w:val="000000"/>
          <w:sz w:val="16"/>
        </w:rPr>
        <w:t>For the transition period from ____</w:t>
      </w:r>
      <w:r>
        <w:rPr>
          <w:color w:val="000000"/>
          <w:highlight w:val="white"/>
        </w:rPr>
        <w:t xml:space="preserve"> </w:t>
      </w:r>
      <w:r>
        <w:rPr>
          <w:rFonts w:ascii="Times New Roman;sans-serif" w:hAnsi="Times New Roman;sans-serif"/>
          <w:b/>
          <w:color w:val="000000"/>
          <w:sz w:val="16"/>
          <w:highlight w:val="white"/>
        </w:rPr>
        <w:t>to ____</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001-39021</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_______________________________________________________________________________</w:t>
      </w:r>
    </w:p>
    <w:p>
      <w:pPr>
        <w:pStyle w:val="TextBody"/>
        <w:spacing w:lineRule="auto" w:line="288" w:before="200" w:after="283"/>
        <w:jc w:val="center"/>
        <w:rPr>
          <w:rFonts w:ascii="Times New Roman;sans-serif" w:hAnsi="Times New Roman;sans-serif"/>
          <w:b/>
          <w:color w:val="000000"/>
          <w:sz w:val="44"/>
        </w:rPr>
      </w:pPr>
      <w:r>
        <w:rPr>
          <w:rFonts w:ascii="Times New Roman;sans-serif" w:hAnsi="Times New Roman;sans-serif"/>
          <w:b/>
          <w:color w:val="000000"/>
          <w:sz w:val="44"/>
        </w:rPr>
        <w:t>WM TECHNOLOGY, INC.</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_______________________________________________________________________________</w:t>
      </w:r>
    </w:p>
    <w:tbl>
      <w:tblPr>
        <w:tblW w:w="7286" w:type="dxa"/>
        <w:jc w:val="center"/>
        <w:tblInd w:w="0" w:type="dxa"/>
        <w:tblCellMar>
          <w:top w:w="28" w:type="dxa"/>
          <w:left w:w="28" w:type="dxa"/>
          <w:bottom w:w="28" w:type="dxa"/>
          <w:right w:w="28" w:type="dxa"/>
        </w:tblCellMar>
      </w:tblPr>
      <w:tblGrid>
        <w:gridCol w:w="1553"/>
        <w:gridCol w:w="1364"/>
        <w:gridCol w:w="1372"/>
        <w:gridCol w:w="109"/>
        <w:gridCol w:w="109"/>
        <w:gridCol w:w="109"/>
        <w:gridCol w:w="736"/>
        <w:gridCol w:w="736"/>
        <w:gridCol w:w="1198"/>
      </w:tblGrid>
      <w:tr>
        <w:trPr/>
        <w:tc>
          <w:tcPr>
            <w:tcW w:w="1553"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ind w:left="0" w:right="0" w:firstLine="45"/>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98-1605615</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firstLine="45"/>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61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41 Discovery</w:t>
            </w:r>
          </w:p>
          <w:p>
            <w:pPr>
              <w:pStyle w:val="TableContents"/>
              <w:spacing w:lineRule="auto" w:line="268" w:before="0" w:after="0"/>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Irvine, 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0"/>
              <w:ind w:left="0" w:right="0" w:firstLine="45"/>
              <w:jc w:val="center"/>
              <w:rPr/>
            </w:pPr>
            <w:r>
              <w:rPr/>
            </w:r>
          </w:p>
        </w:tc>
        <w:tc>
          <w:tcPr>
            <w:tcW w:w="2670" w:type="dxa"/>
            <w:gridSpan w:val="3"/>
            <w:tcBorders/>
            <w:shd w:fill="auto" w:val="clear"/>
            <w:tcMar>
              <w:top w:w="0" w:type="dxa"/>
              <w:left w:w="0" w:type="dxa"/>
              <w:bottom w:w="0" w:type="dxa"/>
              <w:right w:w="0" w:type="dxa"/>
            </w:tcMar>
            <w:vAlign w:val="center"/>
          </w:tcPr>
          <w:p>
            <w:pPr>
              <w:pStyle w:val="TableContents"/>
              <w:spacing w:lineRule="auto" w:line="268" w:before="0" w:after="283"/>
              <w:ind w:left="0" w:right="0" w:firstLine="45"/>
              <w:jc w:val="center"/>
              <w:rPr>
                <w:rFonts w:ascii="Times New Roman;sans-serif" w:hAnsi="Times New Roman;sans-serif"/>
                <w:b/>
                <w:color w:val="000000"/>
                <w:sz w:val="16"/>
              </w:rPr>
            </w:pPr>
            <w:r>
              <w:rPr>
                <w:rFonts w:ascii="Times New Roman;sans-serif" w:hAnsi="Times New Roman;sans-serif"/>
                <w:b/>
                <w:color w:val="000000"/>
                <w:sz w:val="16"/>
              </w:rPr>
              <w:t>92618</w:t>
            </w:r>
          </w:p>
        </w:tc>
      </w:tr>
      <w:tr>
        <w:trPr/>
        <w:tc>
          <w:tcPr>
            <w:tcW w:w="4289"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firstLine="45"/>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(844) 933-3627</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 telephone number, including area code)</w:t>
      </w:r>
    </w:p>
    <w:p>
      <w:pPr>
        <w:pStyle w:val="TextBody"/>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Securities registered pursuant to Section 12(b) of the Act: </w:t>
      </w:r>
    </w:p>
    <w:tbl>
      <w:tblPr>
        <w:tblW w:w="10539" w:type="dxa"/>
        <w:jc w:val="left"/>
        <w:tblInd w:w="0" w:type="dxa"/>
        <w:tblCellMar>
          <w:top w:w="28" w:type="dxa"/>
          <w:left w:w="28" w:type="dxa"/>
          <w:bottom w:w="28" w:type="dxa"/>
          <w:right w:w="28" w:type="dxa"/>
        </w:tblCellMar>
      </w:tblPr>
      <w:tblGrid>
        <w:gridCol w:w="2463"/>
        <w:gridCol w:w="2061"/>
        <w:gridCol w:w="2088"/>
        <w:gridCol w:w="415"/>
        <w:gridCol w:w="411"/>
        <w:gridCol w:w="413"/>
        <w:gridCol w:w="786"/>
        <w:gridCol w:w="786"/>
        <w:gridCol w:w="1116"/>
      </w:tblGrid>
      <w:tr>
        <w:trPr/>
        <w:tc>
          <w:tcPr>
            <w:tcW w:w="2463" w:type="dxa"/>
            <w:tcBorders/>
            <w:shd w:fill="auto" w:val="clear"/>
            <w:vAlign w:val="center"/>
          </w:tcPr>
          <w:p>
            <w:pPr>
              <w:pStyle w:val="TableContents"/>
              <w:spacing w:before="0" w:after="283"/>
              <w:rPr>
                <w:sz w:val="4"/>
                <w:szCs w:val="4"/>
              </w:rPr>
            </w:pPr>
            <w:r>
              <w:rPr>
                <w:sz w:val="4"/>
                <w:szCs w:val="4"/>
              </w:rPr>
            </w:r>
          </w:p>
        </w:tc>
        <w:tc>
          <w:tcPr>
            <w:tcW w:w="2061" w:type="dxa"/>
            <w:tcBorders/>
            <w:shd w:fill="auto" w:val="clear"/>
            <w:vAlign w:val="center"/>
          </w:tcPr>
          <w:p>
            <w:pPr>
              <w:pStyle w:val="TableContents"/>
              <w:spacing w:before="0" w:after="283"/>
              <w:rPr>
                <w:sz w:val="4"/>
                <w:szCs w:val="4"/>
              </w:rPr>
            </w:pPr>
            <w:r>
              <w:rPr>
                <w:sz w:val="4"/>
                <w:szCs w:val="4"/>
              </w:rPr>
            </w:r>
          </w:p>
        </w:tc>
        <w:tc>
          <w:tcPr>
            <w:tcW w:w="2088"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6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26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66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$0.0001 par value per share</w:t>
            </w:r>
          </w:p>
        </w:tc>
        <w:tc>
          <w:tcPr>
            <w:tcW w:w="12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MAPS</w:t>
            </w:r>
          </w:p>
        </w:tc>
        <w:tc>
          <w:tcPr>
            <w:tcW w:w="26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r>
        <w:trPr/>
        <w:tc>
          <w:tcPr>
            <w:tcW w:w="6612"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Warrants, each whole warrant exercisable for one share of Class A Common Stock at an exercise price of $11.50 per share</w:t>
            </w:r>
          </w:p>
        </w:tc>
        <w:tc>
          <w:tcPr>
            <w:tcW w:w="1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MAPSW</w:t>
            </w:r>
          </w:p>
        </w:tc>
        <w:tc>
          <w:tcPr>
            <w:tcW w:w="26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Select Market</w:t>
            </w:r>
          </w:p>
        </w:tc>
      </w:tr>
    </w:tbl>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 None</w:t>
      </w:r>
    </w:p>
    <w:p>
      <w:pPr>
        <w:pStyle w:val="TextBody"/>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 No ☐</w:t>
      </w:r>
    </w:p>
    <w:p>
      <w:pPr>
        <w:pStyle w:val="TextBody"/>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26" w:type="dxa"/>
        <w:jc w:val="left"/>
        <w:tblInd w:w="0" w:type="dxa"/>
        <w:tblCellMar>
          <w:top w:w="28" w:type="dxa"/>
          <w:left w:w="28" w:type="dxa"/>
          <w:bottom w:w="28" w:type="dxa"/>
          <w:right w:w="28" w:type="dxa"/>
        </w:tblCellMar>
      </w:tblPr>
      <w:tblGrid>
        <w:gridCol w:w="603"/>
        <w:gridCol w:w="530"/>
        <w:gridCol w:w="532"/>
        <w:gridCol w:w="109"/>
        <w:gridCol w:w="109"/>
        <w:gridCol w:w="109"/>
        <w:gridCol w:w="669"/>
        <w:gridCol w:w="669"/>
        <w:gridCol w:w="672"/>
        <w:gridCol w:w="109"/>
        <w:gridCol w:w="109"/>
        <w:gridCol w:w="109"/>
        <w:gridCol w:w="674"/>
        <w:gridCol w:w="674"/>
        <w:gridCol w:w="677"/>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0"/>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Act).     Yes   ☐     No  ☒</w:t>
      </w:r>
    </w:p>
    <w:p>
      <w:pPr>
        <w:pStyle w:val="TextBody"/>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As of May 5, 2023, there were 92,573,466 shares of the registrant’s Class A common stock outstanding and 55,486,361 shares of Class V common stock outstanding.</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251460"/>
                <wp:effectExtent l="0" t="0" r="0" b="0"/>
                <wp:wrapNone/>
                <wp:docPr id="1" name="Frame1"/>
                <a:graphic xmlns:a="http://schemas.openxmlformats.org/drawingml/2006/main">
                  <a:graphicData uri="http://schemas.microsoft.com/office/word/2010/wordprocessingShape">
                    <wps:wsp>
                      <wps:cNvSpPr txBox="1"/>
                      <wps:spPr>
                        <a:xfrm>
                          <a:off x="0" y="0"/>
                          <a:ext cx="6692265" cy="251460"/>
                        </a:xfrm>
                        <a:prstGeom prst="rect"/>
                      </wps:spPr>
                      <wps:txbx>
                        <w:txbxContent>
                          <w:p>
                            <w:pPr>
                              <w:pStyle w:val="TextBody"/>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jc w:val="center"/>
                        <w:rPr/>
                      </w:pPr>
                      <w:r>
                        <w:rPr/>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WM TECHNOLOGY, INC.</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126" w:type="dxa"/>
        <w:jc w:val="left"/>
        <w:tblInd w:w="0" w:type="dxa"/>
        <w:tblCellMar>
          <w:top w:w="28" w:type="dxa"/>
          <w:left w:w="28" w:type="dxa"/>
          <w:bottom w:w="28" w:type="dxa"/>
          <w:right w:w="28" w:type="dxa"/>
        </w:tblCellMar>
      </w:tblPr>
      <w:tblGrid>
        <w:gridCol w:w="293"/>
        <w:gridCol w:w="258"/>
        <w:gridCol w:w="259"/>
        <w:gridCol w:w="2912"/>
        <w:gridCol w:w="2912"/>
        <w:gridCol w:w="2921"/>
        <w:gridCol w:w="167"/>
        <w:gridCol w:w="167"/>
        <w:gridCol w:w="237"/>
      </w:tblGrid>
      <w:tr>
        <w:trPr/>
        <w:tc>
          <w:tcPr>
            <w:tcW w:w="293"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912" w:type="dxa"/>
            <w:tcBorders/>
            <w:shd w:fill="auto" w:val="clear"/>
            <w:vAlign w:val="center"/>
          </w:tcPr>
          <w:p>
            <w:pPr>
              <w:pStyle w:val="TableContents"/>
              <w:spacing w:before="0" w:after="283"/>
              <w:rPr>
                <w:sz w:val="4"/>
                <w:szCs w:val="4"/>
              </w:rPr>
            </w:pPr>
            <w:r>
              <w:rPr>
                <w:sz w:val="4"/>
                <w:szCs w:val="4"/>
              </w:rPr>
            </w:r>
          </w:p>
        </w:tc>
        <w:tc>
          <w:tcPr>
            <w:tcW w:w="2912" w:type="dxa"/>
            <w:tcBorders/>
            <w:shd w:fill="auto" w:val="clear"/>
            <w:vAlign w:val="center"/>
          </w:tcPr>
          <w:p>
            <w:pPr>
              <w:pStyle w:val="TableContents"/>
              <w:spacing w:before="0" w:after="283"/>
              <w:rPr>
                <w:sz w:val="4"/>
                <w:szCs w:val="4"/>
              </w:rPr>
            </w:pPr>
            <w:r>
              <w:rPr>
                <w:sz w:val="4"/>
                <w:szCs w:val="4"/>
              </w:rPr>
            </w:r>
          </w:p>
        </w:tc>
        <w:tc>
          <w:tcPr>
            <w:tcW w:w="292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0">
              <w:r>
                <w:rPr>
                  <w:rStyle w:val="InternetLink"/>
                  <w:rFonts w:ascii="Times New Roman;sans-serif" w:hAnsi="Times New Roman;sans-serif"/>
                  <w:b w:val="false"/>
                  <w:color w:val="0000FF"/>
                  <w:sz w:val="20"/>
                  <w:u w:val="single"/>
                </w:rPr>
                <w:t>Forward-Looking Statements</w:t>
              </w:r>
            </w:hyperlink>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5"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3">
              <w:r>
                <w:rPr>
                  <w:rStyle w:val="InternetLink"/>
                  <w:rFonts w:ascii="Times New Roman;sans-serif" w:hAnsi="Times New Roman;sans-serif"/>
                  <w:b/>
                  <w:strike w:val="false"/>
                  <w:dstrike w:val="false"/>
                  <w:color w:val="000000"/>
                  <w:sz w:val="20"/>
                  <w:u w:val="none"/>
                  <w:effect w:val="none"/>
                </w:rPr>
                <w:t>Part I - Financial Information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EE"/>
                <w:sz w:val="20"/>
                <w:u w:val="single"/>
              </w:rPr>
            </w:pPr>
            <w:r>
              <w:rPr>
                <w:rFonts w:ascii="Times New Roman;sans-serif" w:hAnsi="Times New Roman;sans-serif"/>
                <w:b w:val="false"/>
                <w:color w:val="0000EE"/>
                <w:sz w:val="20"/>
                <w:u w:val="single"/>
              </w:rPr>
              <w:t>2</w:t>
            </w:r>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6">
              <w:r>
                <w:rPr>
                  <w:rStyle w:val="InternetLink"/>
                  <w:rFonts w:ascii="Times New Roman;sans-serif" w:hAnsi="Times New Roman;sans-serif"/>
                  <w:b w:val="false"/>
                  <w:color w:val="0000EE"/>
                  <w:sz w:val="20"/>
                  <w:u w:val="single"/>
                </w:rPr>
                <w:t>Item 1.</w:t>
              </w:r>
            </w:hyperlink>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r>
              <w:rPr>
                <w:rFonts w:ascii="Times New Roman;sans-serif" w:hAnsi="Times New Roman;sans-serif"/>
                <w:b w:val="false"/>
                <w:color w:val="0000EE"/>
                <w:sz w:val="20"/>
                <w:u w:val="single"/>
              </w:rPr>
              <w:t xml:space="preserve">Condensed Consolidated </w:t>
            </w:r>
            <w:hyperlink w:anchor="i8e6a5e0535044e11901f1dc53b9e3d4b_16">
              <w:r>
                <w:rPr>
                  <w:rStyle w:val="InternetLink"/>
                </w:rPr>
                <w:t>Financial Statements</w:t>
              </w:r>
            </w:hyperlink>
            <w:r>
              <w:rPr>
                <w:rFonts w:ascii="Times New Roman;sans-serif" w:hAnsi="Times New Roman;sans-serif"/>
                <w:b w:val="false"/>
                <w:color w:val="0000EE"/>
                <w:sz w:val="20"/>
                <w:u w:val="single"/>
              </w:rPr>
              <w:t xml:space="preserve"> (Unaudited)</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16">
              <w:r>
                <w:rPr>
                  <w:rStyle w:val="InternetLink"/>
                  <w:rFonts w:ascii="Times New Roman;sans-serif" w:hAnsi="Times New Roman;sans-serif"/>
                  <w:b w:val="false"/>
                  <w:color w:val="0000EE"/>
                  <w:sz w:val="20"/>
                  <w:u w:val="single"/>
                </w:rPr>
                <w:t>2</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e6a5e0535044e11901f1dc53b9e3d4b_19">
              <w:r>
                <w:rPr>
                  <w:rStyle w:val="InternetLink"/>
                </w:rPr>
                <w:t>Condensed Consolidated Balance Sheet</w:t>
              </w:r>
            </w:hyperlink>
            <w:r>
              <w:rPr>
                <w:rFonts w:ascii="Times New Roman;sans-serif" w:hAnsi="Times New Roman;sans-serif"/>
                <w:b w:val="false"/>
                <w:color w:val="0000EE"/>
                <w:sz w:val="20"/>
                <w:u w:val="single"/>
              </w:rPr>
              <w:t>s as of March 31, 2023 and December 31, 2022</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19">
              <w:r>
                <w:rPr>
                  <w:rStyle w:val="InternetLink"/>
                  <w:rFonts w:ascii="Times New Roman;sans-serif" w:hAnsi="Times New Roman;sans-serif"/>
                  <w:b w:val="false"/>
                  <w:color w:val="0000EE"/>
                  <w:sz w:val="20"/>
                  <w:u w:val="single"/>
                </w:rPr>
                <w:t>2</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22">
              <w:r>
                <w:rPr>
                  <w:rStyle w:val="InternetLink"/>
                </w:rPr>
                <w:t>Condensed Consolidated Statements of Operations f</w:t>
              </w:r>
            </w:hyperlink>
            <w:r>
              <w:rPr>
                <w:rFonts w:ascii="Times New Roman;sans-serif" w:hAnsi="Times New Roman;sans-serif"/>
                <w:b w:val="false"/>
                <w:color w:val="0000EE"/>
                <w:sz w:val="20"/>
                <w:u w:val="single"/>
              </w:rPr>
              <w:t>or the Three Months Ended March 31, 2023 and 2022</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22">
              <w:r>
                <w:rPr>
                  <w:rStyle w:val="InternetLink"/>
                  <w:rFonts w:ascii="Times New Roman;sans-serif" w:hAnsi="Times New Roman;sans-serif"/>
                  <w:b w:val="false"/>
                  <w:color w:val="0000EE"/>
                  <w:sz w:val="20"/>
                  <w:u w:val="single"/>
                </w:rPr>
                <w:t>3</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25">
              <w:r>
                <w:rPr>
                  <w:rStyle w:val="InternetLink"/>
                </w:rPr>
                <w:t>Condensed Consolidated Statements of Equit</w:t>
              </w:r>
            </w:hyperlink>
            <w:r>
              <w:rPr>
                <w:rFonts w:ascii="Times New Roman;sans-serif" w:hAnsi="Times New Roman;sans-serif"/>
                <w:b w:val="false"/>
                <w:color w:val="0000EE"/>
                <w:sz w:val="20"/>
                <w:u w:val="single"/>
              </w:rPr>
              <w:t xml:space="preserve">y </w:t>
            </w:r>
            <w:hyperlink w:anchor="i8e6a5e0535044e11901f1dc53b9e3d4b_22">
              <w:r>
                <w:rPr>
                  <w:rStyle w:val="InternetLink"/>
                </w:rPr>
                <w:t>f</w:t>
              </w:r>
            </w:hyperlink>
            <w:r>
              <w:rPr>
                <w:rFonts w:ascii="Times New Roman;sans-serif" w:hAnsi="Times New Roman;sans-serif"/>
                <w:b w:val="false"/>
                <w:color w:val="0000EE"/>
                <w:sz w:val="20"/>
                <w:u w:val="single"/>
              </w:rPr>
              <w:t>or the Three Months Ended March 31, 2023 and 2022</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25">
              <w:r>
                <w:rPr>
                  <w:rStyle w:val="InternetLink"/>
                  <w:rFonts w:ascii="Times New Roman;sans-serif" w:hAnsi="Times New Roman;sans-serif"/>
                  <w:b w:val="false"/>
                  <w:color w:val="0000EE"/>
                  <w:sz w:val="20"/>
                  <w:u w:val="single"/>
                </w:rPr>
                <w:t>4</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28">
              <w:r>
                <w:rPr>
                  <w:rStyle w:val="InternetLink"/>
                </w:rPr>
                <w:t xml:space="preserve">Condensed Consolidated Statements of Cash Flows </w:t>
              </w:r>
            </w:hyperlink>
            <w:r>
              <w:rPr>
                <w:rFonts w:ascii="Times New Roman;sans-serif" w:hAnsi="Times New Roman;sans-serif"/>
                <w:b w:val="false"/>
                <w:color w:val="0000EE"/>
                <w:sz w:val="20"/>
                <w:u w:val="single"/>
              </w:rPr>
              <w:t>for the Three Months Ended March 31, 2023 and 2022</w:t>
            </w:r>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28">
              <w:r>
                <w:rPr>
                  <w:rStyle w:val="InternetLink"/>
                  <w:rFonts w:ascii="Times New Roman;sans-serif" w:hAnsi="Times New Roman;sans-serif"/>
                  <w:b w:val="false"/>
                  <w:color w:val="0000EE"/>
                  <w:sz w:val="20"/>
                  <w:u w:val="single"/>
                </w:rPr>
                <w:t>5</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31">
              <w:r>
                <w:rPr>
                  <w:rStyle w:val="InternetLink"/>
                  <w:rFonts w:ascii="Times New Roman;sans-serif" w:hAnsi="Times New Roman;sans-serif"/>
                  <w:b w:val="false"/>
                  <w:color w:val="0000EE"/>
                  <w:sz w:val="20"/>
                  <w:u w:val="single"/>
                </w:rPr>
                <w:t>Notes to Condensed Consolidated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31">
              <w:r>
                <w:rPr>
                  <w:rStyle w:val="InternetLink"/>
                  <w:rFonts w:ascii="Times New Roman;sans-serif" w:hAnsi="Times New Roman;sans-serif"/>
                  <w:b w:val="false"/>
                  <w:color w:val="0000EE"/>
                  <w:sz w:val="20"/>
                  <w:u w:val="single"/>
                </w:rPr>
                <w:t>7</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79">
              <w:r>
                <w:rPr>
                  <w:rStyle w:val="InternetLink"/>
                  <w:rFonts w:ascii="Times New Roman;sans-serif" w:hAnsi="Times New Roman;sans-serif"/>
                  <w:b w:val="false"/>
                  <w:color w:val="0000EE"/>
                  <w:sz w:val="20"/>
                  <w:u w:val="single"/>
                </w:rPr>
                <w:t>Item 2.</w:t>
              </w:r>
            </w:hyperlink>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79">
              <w:r>
                <w:rPr>
                  <w:rStyle w:val="InternetLink"/>
                  <w:rFonts w:ascii="Times New Roman;sans-serif" w:hAnsi="Times New Roman;sans-serif"/>
                  <w:b w:val="false"/>
                  <w:color w:val="0000EE"/>
                  <w:sz w:val="20"/>
                  <w:u w:val="single"/>
                </w:rPr>
                <w:t>Management's Discussion and Analysis of Financial Condition and Results of Operations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79">
              <w:r>
                <w:rPr>
                  <w:rStyle w:val="InternetLink"/>
                  <w:rFonts w:ascii="Times New Roman;sans-serif" w:hAnsi="Times New Roman;sans-serif"/>
                  <w:b w:val="false"/>
                  <w:color w:val="0000EE"/>
                  <w:sz w:val="20"/>
                  <w:u w:val="single"/>
                </w:rPr>
                <w:t>29</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e6a5e0535044e11901f1dc53b9e3d4b_115">
              <w:r>
                <w:rPr>
                  <w:rStyle w:val="InternetLink"/>
                  <w:rFonts w:ascii="Times New Roman;sans-serif" w:hAnsi="Times New Roman;sans-serif"/>
                  <w:b w:val="false"/>
                  <w:color w:val="0000EE"/>
                  <w:sz w:val="20"/>
                  <w:u w:val="single"/>
                </w:rPr>
                <w:t>Item 3.</w:t>
              </w:r>
            </w:hyperlink>
          </w:p>
        </w:tc>
        <w:tc>
          <w:tcPr>
            <w:tcW w:w="874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e6a5e0535044e11901f1dc53b9e3d4b_115">
              <w:r>
                <w:rPr>
                  <w:rStyle w:val="InternetLink"/>
                  <w:rFonts w:ascii="Times New Roman;sans-serif" w:hAnsi="Times New Roman;sans-serif"/>
                  <w:b w:val="false"/>
                  <w:color w:val="0000EE"/>
                  <w:sz w:val="20"/>
                  <w:u w:val="single"/>
                </w:rPr>
                <w:t>Quantitative and Qualitative Disclosures About Market Risk</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115">
              <w:r>
                <w:rPr>
                  <w:rStyle w:val="InternetLink"/>
                  <w:rFonts w:ascii="Times New Roman;sans-serif" w:hAnsi="Times New Roman;sans-serif"/>
                  <w:b w:val="false"/>
                  <w:color w:val="0000EE"/>
                  <w:sz w:val="20"/>
                  <w:u w:val="single"/>
                </w:rPr>
                <w:t>44</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18">
              <w:r>
                <w:rPr>
                  <w:rStyle w:val="InternetLink"/>
                  <w:rFonts w:ascii="Times New Roman;sans-serif" w:hAnsi="Times New Roman;sans-serif"/>
                  <w:b w:val="false"/>
                  <w:color w:val="0000EE"/>
                  <w:sz w:val="20"/>
                  <w:u w:val="single"/>
                </w:rPr>
                <w:t>Item 4.</w:t>
              </w:r>
            </w:hyperlink>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18">
              <w:r>
                <w:rPr>
                  <w:rStyle w:val="InternetLink"/>
                  <w:rFonts w:ascii="Times New Roman;sans-serif" w:hAnsi="Times New Roman;sans-serif"/>
                  <w:b w:val="false"/>
                  <w:color w:val="0000EE"/>
                  <w:sz w:val="20"/>
                  <w:u w:val="single"/>
                </w:rPr>
                <w:t>Controls and Procedures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118">
              <w:r>
                <w:rPr>
                  <w:rStyle w:val="InternetLink"/>
                  <w:rFonts w:ascii="Times New Roman;sans-serif" w:hAnsi="Times New Roman;sans-serif"/>
                  <w:b w:val="false"/>
                  <w:color w:val="0000EE"/>
                  <w:sz w:val="20"/>
                  <w:u w:val="single"/>
                </w:rPr>
                <w:t>44</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55"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21">
              <w:r>
                <w:rPr>
                  <w:rStyle w:val="InternetLink"/>
                  <w:rFonts w:ascii="Times New Roman;sans-serif" w:hAnsi="Times New Roman;sans-serif"/>
                  <w:b/>
                  <w:strike w:val="false"/>
                  <w:dstrike w:val="false"/>
                  <w:color w:val="000000"/>
                  <w:sz w:val="20"/>
                  <w:u w:val="none"/>
                  <w:effect w:val="none"/>
                </w:rPr>
                <w:t>Part II - Other Information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121">
              <w:r>
                <w:rPr>
                  <w:rStyle w:val="InternetLink"/>
                  <w:rFonts w:ascii="Times New Roman;sans-serif" w:hAnsi="Times New Roman;sans-serif"/>
                  <w:b w:val="false"/>
                  <w:color w:val="0000EE"/>
                  <w:sz w:val="20"/>
                  <w:u w:val="single"/>
                </w:rPr>
                <w:t>46</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24">
              <w:r>
                <w:rPr>
                  <w:rStyle w:val="InternetLink"/>
                  <w:rFonts w:ascii="Times New Roman;sans-serif" w:hAnsi="Times New Roman;sans-serif"/>
                  <w:b w:val="false"/>
                  <w:color w:val="0000EE"/>
                  <w:sz w:val="20"/>
                  <w:u w:val="single"/>
                </w:rPr>
                <w:t>Item 1.</w:t>
              </w:r>
            </w:hyperlink>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24">
              <w:r>
                <w:rPr>
                  <w:rStyle w:val="InternetLink"/>
                  <w:rFonts w:ascii="Times New Roman;sans-serif" w:hAnsi="Times New Roman;sans-serif"/>
                  <w:b w:val="false"/>
                  <w:color w:val="0000EE"/>
                  <w:sz w:val="20"/>
                  <w:u w:val="single"/>
                </w:rPr>
                <w:t>Legal Proceedings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124">
              <w:r>
                <w:rPr>
                  <w:rStyle w:val="InternetLink"/>
                  <w:rFonts w:ascii="Times New Roman;sans-serif" w:hAnsi="Times New Roman;sans-serif"/>
                  <w:b w:val="false"/>
                  <w:color w:val="0000EE"/>
                  <w:sz w:val="20"/>
                  <w:u w:val="single"/>
                </w:rPr>
                <w:t>46</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27">
              <w:r>
                <w:rPr>
                  <w:rStyle w:val="InternetLink"/>
                  <w:rFonts w:ascii="Times New Roman;sans-serif" w:hAnsi="Times New Roman;sans-serif"/>
                  <w:b w:val="false"/>
                  <w:color w:val="0000EE"/>
                  <w:sz w:val="20"/>
                  <w:u w:val="single"/>
                </w:rPr>
                <w:t>Item 1A.</w:t>
              </w:r>
            </w:hyperlink>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27">
              <w:r>
                <w:rPr>
                  <w:rStyle w:val="InternetLink"/>
                  <w:rFonts w:ascii="Times New Roman;sans-serif" w:hAnsi="Times New Roman;sans-serif"/>
                  <w:b w:val="false"/>
                  <w:color w:val="0000EE"/>
                  <w:sz w:val="20"/>
                  <w:u w:val="single"/>
                </w:rPr>
                <w:t>Risk Factors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127">
              <w:r>
                <w:rPr>
                  <w:rStyle w:val="InternetLink"/>
                  <w:rFonts w:ascii="Times New Roman;sans-serif" w:hAnsi="Times New Roman;sans-serif"/>
                  <w:b w:val="false"/>
                  <w:color w:val="0000EE"/>
                  <w:sz w:val="20"/>
                  <w:u w:val="single"/>
                </w:rPr>
                <w:t>46</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30">
              <w:r>
                <w:rPr>
                  <w:rStyle w:val="InternetLink"/>
                  <w:rFonts w:ascii="Times New Roman;sans-serif" w:hAnsi="Times New Roman;sans-serif"/>
                  <w:b w:val="false"/>
                  <w:color w:val="0000EE"/>
                  <w:sz w:val="20"/>
                  <w:u w:val="single"/>
                </w:rPr>
                <w:t>Item 2.</w:t>
              </w:r>
            </w:hyperlink>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30">
              <w:r>
                <w:rPr>
                  <w:rStyle w:val="InternetLink"/>
                  <w:rFonts w:ascii="Times New Roman;sans-serif" w:hAnsi="Times New Roman;sans-serif"/>
                  <w:b w:val="false"/>
                  <w:color w:val="0000EE"/>
                  <w:sz w:val="20"/>
                  <w:u w:val="single"/>
                </w:rPr>
                <w:t>Unregistered Sales of Equity Securities and Use of Proceeds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130">
              <w:r>
                <w:rPr>
                  <w:rStyle w:val="InternetLink"/>
                  <w:rFonts w:ascii="Times New Roman;sans-serif" w:hAnsi="Times New Roman;sans-serif"/>
                  <w:b w:val="false"/>
                  <w:color w:val="0000EE"/>
                  <w:sz w:val="20"/>
                  <w:u w:val="single"/>
                </w:rPr>
                <w:t>46</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33">
              <w:r>
                <w:rPr>
                  <w:rStyle w:val="InternetLink"/>
                  <w:rFonts w:ascii="Times New Roman;sans-serif" w:hAnsi="Times New Roman;sans-serif"/>
                  <w:b w:val="false"/>
                  <w:color w:val="0000EE"/>
                  <w:sz w:val="20"/>
                  <w:u w:val="single"/>
                </w:rPr>
                <w:t>Item 3.</w:t>
              </w:r>
            </w:hyperlink>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33">
              <w:r>
                <w:rPr>
                  <w:rStyle w:val="InternetLink"/>
                  <w:rFonts w:ascii="Times New Roman;sans-serif" w:hAnsi="Times New Roman;sans-serif"/>
                  <w:b w:val="false"/>
                  <w:color w:val="0000EE"/>
                  <w:sz w:val="20"/>
                  <w:u w:val="single"/>
                </w:rPr>
                <w:t>Defaults Upon Senior Securities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133">
              <w:r>
                <w:rPr>
                  <w:rStyle w:val="InternetLink"/>
                  <w:rFonts w:ascii="Times New Roman;sans-serif" w:hAnsi="Times New Roman;sans-serif"/>
                  <w:b w:val="false"/>
                  <w:color w:val="0000EE"/>
                  <w:sz w:val="20"/>
                  <w:u w:val="single"/>
                </w:rPr>
                <w:t>46</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36">
              <w:r>
                <w:rPr>
                  <w:rStyle w:val="InternetLink"/>
                  <w:rFonts w:ascii="Times New Roman;sans-serif" w:hAnsi="Times New Roman;sans-serif"/>
                  <w:b w:val="false"/>
                  <w:color w:val="0000EE"/>
                  <w:sz w:val="20"/>
                  <w:u w:val="single"/>
                </w:rPr>
                <w:t>Item 4.</w:t>
              </w:r>
            </w:hyperlink>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36">
              <w:r>
                <w:rPr>
                  <w:rStyle w:val="InternetLink"/>
                  <w:rFonts w:ascii="Times New Roman;sans-serif" w:hAnsi="Times New Roman;sans-serif"/>
                  <w:b w:val="false"/>
                  <w:color w:val="0000EE"/>
                  <w:sz w:val="20"/>
                  <w:u w:val="single"/>
                </w:rPr>
                <w:t>Mine Safety Disclosures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136">
              <w:r>
                <w:rPr>
                  <w:rStyle w:val="InternetLink"/>
                  <w:rFonts w:ascii="Times New Roman;sans-serif" w:hAnsi="Times New Roman;sans-serif"/>
                  <w:b w:val="false"/>
                  <w:color w:val="0000EE"/>
                  <w:sz w:val="20"/>
                  <w:u w:val="single"/>
                </w:rPr>
                <w:t>46</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39">
              <w:r>
                <w:rPr>
                  <w:rStyle w:val="InternetLink"/>
                  <w:rFonts w:ascii="Times New Roman;sans-serif" w:hAnsi="Times New Roman;sans-serif"/>
                  <w:b w:val="false"/>
                  <w:color w:val="0000EE"/>
                  <w:sz w:val="20"/>
                  <w:u w:val="single"/>
                </w:rPr>
                <w:t>Item 5.</w:t>
              </w:r>
            </w:hyperlink>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39">
              <w:r>
                <w:rPr>
                  <w:rStyle w:val="InternetLink"/>
                  <w:rFonts w:ascii="Times New Roman;sans-serif" w:hAnsi="Times New Roman;sans-serif"/>
                  <w:b w:val="false"/>
                  <w:color w:val="0000EE"/>
                  <w:sz w:val="20"/>
                  <w:u w:val="single"/>
                </w:rPr>
                <w:t>Other Information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139">
              <w:r>
                <w:rPr>
                  <w:rStyle w:val="InternetLink"/>
                  <w:rFonts w:ascii="Times New Roman;sans-serif" w:hAnsi="Times New Roman;sans-serif"/>
                  <w:b w:val="false"/>
                  <w:color w:val="0000EE"/>
                  <w:sz w:val="20"/>
                  <w:u w:val="single"/>
                </w:rPr>
                <w:t>46</w:t>
              </w:r>
            </w:hyperlink>
          </w:p>
        </w:tc>
      </w:tr>
      <w:tr>
        <w:trPr/>
        <w:tc>
          <w:tcPr>
            <w:tcW w:w="810"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42">
              <w:r>
                <w:rPr>
                  <w:rStyle w:val="InternetLink"/>
                  <w:rFonts w:ascii="Times New Roman;sans-serif" w:hAnsi="Times New Roman;sans-serif"/>
                  <w:b w:val="false"/>
                  <w:color w:val="0000EE"/>
                  <w:sz w:val="20"/>
                  <w:u w:val="single"/>
                </w:rPr>
                <w:t>Item 6.</w:t>
              </w:r>
            </w:hyperlink>
          </w:p>
        </w:tc>
        <w:tc>
          <w:tcPr>
            <w:tcW w:w="8745"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42">
              <w:r>
                <w:rPr>
                  <w:rStyle w:val="InternetLink"/>
                  <w:rFonts w:ascii="Times New Roman;sans-serif" w:hAnsi="Times New Roman;sans-serif"/>
                  <w:b w:val="false"/>
                  <w:color w:val="0000EE"/>
                  <w:sz w:val="20"/>
                  <w:u w:val="single"/>
                </w:rPr>
                <w:t>Exhibits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142">
              <w:r>
                <w:rPr>
                  <w:rStyle w:val="InternetLink"/>
                  <w:rFonts w:ascii="Times New Roman;sans-serif" w:hAnsi="Times New Roman;sans-serif"/>
                  <w:b w:val="false"/>
                  <w:color w:val="0000EE"/>
                  <w:sz w:val="20"/>
                  <w:u w:val="single"/>
                </w:rPr>
                <w:t>47</w:t>
              </w:r>
            </w:hyperlink>
          </w:p>
        </w:tc>
      </w:tr>
      <w:tr>
        <w:trPr/>
        <w:tc>
          <w:tcPr>
            <w:tcW w:w="9555"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pPr>
            <w:hyperlink w:anchor="i8e6a5e0535044e11901f1dc53b9e3d4b_145">
              <w:r>
                <w:rPr>
                  <w:rStyle w:val="InternetLink"/>
                  <w:rFonts w:ascii="Times New Roman;sans-serif" w:hAnsi="Times New Roman;sans-serif"/>
                  <w:b w:val="false"/>
                  <w:color w:val="0000EE"/>
                  <w:sz w:val="20"/>
                  <w:u w:val="single"/>
                </w:rPr>
                <w:t>Signatures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68" w:before="0" w:after="0"/>
              <w:jc w:val="center"/>
              <w:rPr/>
            </w:pPr>
            <w:hyperlink w:anchor="i8e6a5e0535044e11901f1dc53b9e3d4b_145">
              <w:r>
                <w:rPr>
                  <w:rStyle w:val="InternetLink"/>
                  <w:rFonts w:ascii="Times New Roman;sans-serif" w:hAnsi="Times New Roman;sans-serif"/>
                  <w:b w:val="false"/>
                  <w:color w:val="0000EE"/>
                  <w:sz w:val="20"/>
                  <w:u w:val="single"/>
                </w:rPr>
                <w:t>48</w:t>
              </w:r>
            </w:hyperlink>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251460"/>
                <wp:effectExtent l="0" t="0" r="0" b="0"/>
                <wp:wrapNone/>
                <wp:docPr id="2" name="Frame2"/>
                <a:graphic xmlns:a="http://schemas.openxmlformats.org/drawingml/2006/main">
                  <a:graphicData uri="http://schemas.microsoft.com/office/word/2010/wordprocessingShape">
                    <wps:wsp>
                      <wps:cNvSpPr txBox="1"/>
                      <wps:spPr>
                        <a:xfrm>
                          <a:off x="0" y="0"/>
                          <a:ext cx="6692265" cy="251460"/>
                        </a:xfrm>
                        <a:prstGeom prst="rect"/>
                      </wps:spPr>
                      <wps:txbx>
                        <w:txbxContent>
                          <w:p>
                            <w:pPr>
                              <w:pStyle w:val="TextBody"/>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jc w:val="center"/>
                        <w:rPr/>
                      </w:pPr>
                      <w:r>
                        <w:rPr/>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before="0" w:after="120"/>
        <w:jc w:val="both"/>
        <w:rPr/>
      </w:pPr>
      <w:r>
        <w:rPr/>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financial and business performance, including key business metrics and any underlying assumptions thereunder;</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market opportunity and our ability to acquire new clients and retain existing clients;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expectations and timing related to commercial product launches;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success of our go-to-market strategy;</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scale our business and expand our offerings;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competitive advantages and growth strategies;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future capital requirements and sources and uses of cash;</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obtain funding for our future operations;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impact of the material weakness in our internal controls and our ability to remediate this material weakness on the timing we anticipate, or at all;</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the outcome of any known and unknown litigation and regulatory proceedings;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changes in domestic and foreign business, market, financial, political and legal conditions;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 of macroeconomic conditions, including but not limited to the COVID-19 pandemic, inflation, uncertain credit and global financial markets, recent and potential future disruptions in access to bank deposits or lending commitments due to bank failures and geopolitical events, including the military conflict between Russia and Ukraine;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future global, regional or local economic and market conditions affecting the cannabis industry;</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development, effects and enforcement of and changes to laws and regulations, including with respect to the cannabis industry;</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successfully capitalize on new and existing cannabis markets, including our ability to successfully monetize our solutions in those markets;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manage future growth;</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effectively anticipate and address changes in the end-user market in the cannabis industry;</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ability to develop new products and solutions, bring them to market in a timely manner and make enhancements to our platform and our ability to maintain and grow our two-sided digital network, including our ability to acquire and retain paying clients;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the effects of competition on our future business;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our success in retaining or recruiting, or changes required in, officers, key employees or directors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cyber-attacks and security vulnerabilities; and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the possibility that we may be adversely affected by other economic, business or competitive factors.</w:t>
      </w:r>
    </w:p>
    <w:p>
      <w:pPr>
        <w:pStyle w:val="TextBody"/>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Annual Report on Form 10-K for the year ended December 31, 2022, filed with the SEC on March 16, 2023.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251460"/>
                <wp:effectExtent l="0" t="0" r="0" b="0"/>
                <wp:wrapNone/>
                <wp:docPr id="3" name="Frame3"/>
                <a:graphic xmlns:a="http://schemas.openxmlformats.org/drawingml/2006/main">
                  <a:graphicData uri="http://schemas.microsoft.com/office/word/2010/wordprocessingShape">
                    <wps:wsp>
                      <wps:cNvSpPr txBox="1"/>
                      <wps:spPr>
                        <a:xfrm>
                          <a:off x="0" y="0"/>
                          <a:ext cx="6692265" cy="251460"/>
                        </a:xfrm>
                        <a:prstGeom prst="rect"/>
                      </wps:spPr>
                      <wps:txbx>
                        <w:txbxContent>
                          <w:p>
                            <w:pPr>
                              <w:pStyle w:val="TextBody"/>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jc w:val="center"/>
                        <w:rPr/>
                      </w:pPr>
                      <w:r>
                        <w:rPr/>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the forward-looking statements may not be achieved or occur, and actual results, events, or circumstances could differ materially from those described in the forward-looking statements.</w:t>
      </w:r>
    </w:p>
    <w:p>
      <w:pPr>
        <w:pStyle w:val="TextBody"/>
        <w:spacing w:before="0" w:after="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spacing w:before="0" w:after="0"/>
        <w:jc w:val="both"/>
        <w:rPr/>
      </w:pPr>
      <w:r>
        <w:rPr/>
      </w:r>
    </w:p>
    <w:p>
      <w:pPr>
        <w:pStyle w:val="TextBody"/>
        <w:spacing w:lineRule="auto" w:line="288" w:before="0" w:after="0"/>
        <w:ind w:left="0" w:right="0" w:firstLine="40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251460"/>
                <wp:effectExtent l="0" t="0" r="0" b="0"/>
                <wp:wrapNone/>
                <wp:docPr id="4" name="Frame4"/>
                <a:graphic xmlns:a="http://schemas.openxmlformats.org/drawingml/2006/main">
                  <a:graphicData uri="http://schemas.microsoft.com/office/word/2010/wordprocessingShape">
                    <wps:wsp>
                      <wps:cNvSpPr txBox="1"/>
                      <wps:spPr>
                        <a:xfrm>
                          <a:off x="0" y="0"/>
                          <a:ext cx="6692265" cy="251460"/>
                        </a:xfrm>
                        <a:prstGeom prst="rect"/>
                      </wps:spPr>
                      <wps:txbx>
                        <w:txbxContent>
                          <w:p>
                            <w:pPr>
                              <w:pStyle w:val="TextBody"/>
                              <w:spacing w:before="12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jc w:val="center"/>
                        <w:rPr/>
                      </w:pPr>
                      <w:r>
                        <w:rPr/>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tbl>
      <w:tblPr>
        <w:tblW w:w="10539" w:type="dxa"/>
        <w:jc w:val="left"/>
        <w:tblInd w:w="0" w:type="dxa"/>
        <w:tblCellMar>
          <w:top w:w="28" w:type="dxa"/>
          <w:left w:w="28" w:type="dxa"/>
          <w:bottom w:w="28" w:type="dxa"/>
          <w:right w:w="28" w:type="dxa"/>
        </w:tblCellMar>
      </w:tblPr>
      <w:tblGrid>
        <w:gridCol w:w="2802"/>
        <w:gridCol w:w="2223"/>
        <w:gridCol w:w="2195"/>
        <w:gridCol w:w="109"/>
        <w:gridCol w:w="109"/>
        <w:gridCol w:w="109"/>
        <w:gridCol w:w="231"/>
        <w:gridCol w:w="905"/>
        <w:gridCol w:w="119"/>
        <w:gridCol w:w="109"/>
        <w:gridCol w:w="109"/>
        <w:gridCol w:w="109"/>
        <w:gridCol w:w="249"/>
        <w:gridCol w:w="976"/>
        <w:gridCol w:w="185"/>
      </w:tblGrid>
      <w:tr>
        <w:trPr/>
        <w:tc>
          <w:tcPr>
            <w:tcW w:w="2802" w:type="dxa"/>
            <w:tcBorders/>
            <w:shd w:fill="auto" w:val="clear"/>
            <w:vAlign w:val="center"/>
          </w:tcPr>
          <w:p>
            <w:pPr>
              <w:pStyle w:val="TableContents"/>
              <w:spacing w:before="0" w:after="283"/>
              <w:rPr>
                <w:sz w:val="4"/>
                <w:szCs w:val="4"/>
              </w:rPr>
            </w:pPr>
            <w:r>
              <w:rPr>
                <w:sz w:val="4"/>
                <w:szCs w:val="4"/>
              </w:rPr>
            </w:r>
          </w:p>
        </w:tc>
        <w:tc>
          <w:tcPr>
            <w:tcW w:w="2223" w:type="dxa"/>
            <w:tcBorders/>
            <w:shd w:fill="auto" w:val="clear"/>
            <w:vAlign w:val="center"/>
          </w:tcPr>
          <w:p>
            <w:pPr>
              <w:pStyle w:val="TableContents"/>
              <w:spacing w:before="0" w:after="283"/>
              <w:rPr>
                <w:sz w:val="4"/>
                <w:szCs w:val="4"/>
              </w:rPr>
            </w:pPr>
            <w:r>
              <w:rPr>
                <w:sz w:val="4"/>
                <w:szCs w:val="4"/>
              </w:rPr>
            </w:r>
          </w:p>
        </w:tc>
        <w:tc>
          <w:tcPr>
            <w:tcW w:w="2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7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17,438 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8,962 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54,983 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25,556 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68,368 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31,447 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190,626 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199,035 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33,635 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6,256 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 liability, 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46,323 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33,043 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agreement liability, non-current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2,302 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75,387 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84,258 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 $0.0001 par value; 75,000,000 shares authorized; no shares issued and outstanding at March 31, 2023 and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 $0.0001 par value; 1,500,000,000 shares authorized; 92,573,466 shares issued and outstanding at March 31, 2023 and 92,062,468 shares issued and outstanding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V Common Stock - $0.0001 par value; 500,000,000 shares authorized, 55,486,361 shares issued and outstanding at March 31, 2023 and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72,444 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67,986 </w:t>
            </w:r>
          </w:p>
        </w:tc>
        <w:tc>
          <w:tcPr>
            <w:tcW w:w="1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(57,095)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(54,620)</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WM Technology, Inc.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99,876 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101,397 </w:t>
            </w:r>
          </w:p>
        </w:tc>
        <w:tc>
          <w:tcPr>
            <w:tcW w:w="18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0" w:type="dxa"/>
            <w:gridSpan w:val="3"/>
            <w:tcBorders/>
            <w:shd w:fill="auto" w:val="clear"/>
            <w:vAlign w:val="center"/>
          </w:tcPr>
          <w:p>
            <w:pPr>
              <w:pStyle w:val="TableContents"/>
              <w:spacing w:before="0" w:after="283"/>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115,239 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114,777 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190,626 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199,035 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rPr/>
      </w:pPr>
      <w:r>
        <w:rPr/>
      </w:r>
    </w:p>
    <w:p>
      <w:pPr>
        <w:pStyle w:val="TextBody"/>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222885"/>
                <wp:effectExtent l="0" t="0" r="0" b="0"/>
                <wp:wrapNone/>
                <wp:docPr id="5" name="Frame5"/>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tbl>
      <w:tblPr>
        <w:tblW w:w="9964" w:type="dxa"/>
        <w:jc w:val="left"/>
        <w:tblInd w:w="0" w:type="dxa"/>
        <w:tblCellMar>
          <w:top w:w="28" w:type="dxa"/>
          <w:left w:w="28" w:type="dxa"/>
          <w:bottom w:w="28" w:type="dxa"/>
          <w:right w:w="28" w:type="dxa"/>
        </w:tblCellMar>
      </w:tblPr>
      <w:tblGrid>
        <w:gridCol w:w="2568"/>
        <w:gridCol w:w="2249"/>
        <w:gridCol w:w="2278"/>
        <w:gridCol w:w="244"/>
        <w:gridCol w:w="837"/>
        <w:gridCol w:w="122"/>
        <w:gridCol w:w="122"/>
        <w:gridCol w:w="122"/>
        <w:gridCol w:w="122"/>
        <w:gridCol w:w="236"/>
        <w:gridCol w:w="892"/>
        <w:gridCol w:w="172"/>
      </w:tblGrid>
      <w:tr>
        <w:trPr/>
        <w:tc>
          <w:tcPr>
            <w:tcW w:w="2568"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c>
          <w:tcPr>
            <w:tcW w:w="227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shown separately below)</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21,882 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29,055 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loss </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(expenses)</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(18,219)</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7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(17,340)</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WM Technology, Inc.</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loss per share</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basic and diluted shares outstanding</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92,323,757 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72,450,204 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95"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66" w:type="dxa"/>
            <w:gridSpan w:val="3"/>
            <w:tcBorders/>
            <w:shd w:fill="auto" w:val="clear"/>
            <w:vAlign w:val="center"/>
          </w:tcPr>
          <w:p>
            <w:pPr>
              <w:pStyle w:val="TableContents"/>
              <w:spacing w:before="0" w:after="283"/>
              <w:rPr>
                <w:sz w:val="4"/>
                <w:szCs w:val="4"/>
              </w:rPr>
            </w:pPr>
            <w:r>
              <w:rPr>
                <w:sz w:val="4"/>
                <w:szCs w:val="4"/>
              </w:rPr>
            </w:r>
          </w:p>
        </w:tc>
        <w:tc>
          <w:tcPr>
            <w:tcW w:w="130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120"/>
        <w:rPr/>
      </w:pPr>
      <w:r>
        <w:rPr/>
      </w:r>
    </w:p>
    <w:p>
      <w:pPr>
        <w:pStyle w:val="TextBody"/>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222885"/>
                <wp:effectExtent l="0" t="0" r="0" b="0"/>
                <wp:wrapNone/>
                <wp:docPr id="6" name="Frame6"/>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10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data)</w:t>
      </w:r>
    </w:p>
    <w:tbl>
      <w:tblPr>
        <w:tblW w:w="11660" w:type="dxa"/>
        <w:jc w:val="center"/>
        <w:tblInd w:w="0" w:type="dxa"/>
        <w:tblCellMar>
          <w:top w:w="28" w:type="dxa"/>
          <w:left w:w="28" w:type="dxa"/>
          <w:bottom w:w="28" w:type="dxa"/>
          <w:right w:w="28" w:type="dxa"/>
        </w:tblCellMar>
      </w:tblPr>
      <w:tblGrid>
        <w:gridCol w:w="402"/>
        <w:gridCol w:w="354"/>
        <w:gridCol w:w="355"/>
        <w:gridCol w:w="304"/>
        <w:gridCol w:w="304"/>
        <w:gridCol w:w="308"/>
        <w:gridCol w:w="196"/>
        <w:gridCol w:w="241"/>
        <w:gridCol w:w="109"/>
        <w:gridCol w:w="109"/>
        <w:gridCol w:w="109"/>
        <w:gridCol w:w="109"/>
        <w:gridCol w:w="304"/>
        <w:gridCol w:w="304"/>
        <w:gridCol w:w="308"/>
        <w:gridCol w:w="196"/>
        <w:gridCol w:w="241"/>
        <w:gridCol w:w="109"/>
        <w:gridCol w:w="109"/>
        <w:gridCol w:w="109"/>
        <w:gridCol w:w="109"/>
        <w:gridCol w:w="196"/>
        <w:gridCol w:w="646"/>
        <w:gridCol w:w="109"/>
        <w:gridCol w:w="109"/>
        <w:gridCol w:w="109"/>
        <w:gridCol w:w="109"/>
        <w:gridCol w:w="213"/>
        <w:gridCol w:w="719"/>
        <w:gridCol w:w="119"/>
        <w:gridCol w:w="109"/>
        <w:gridCol w:w="109"/>
        <w:gridCol w:w="109"/>
        <w:gridCol w:w="225"/>
        <w:gridCol w:w="744"/>
        <w:gridCol w:w="127"/>
        <w:gridCol w:w="109"/>
        <w:gridCol w:w="109"/>
        <w:gridCol w:w="109"/>
        <w:gridCol w:w="237"/>
        <w:gridCol w:w="891"/>
        <w:gridCol w:w="133"/>
        <w:gridCol w:w="109"/>
        <w:gridCol w:w="109"/>
        <w:gridCol w:w="109"/>
        <w:gridCol w:w="109"/>
        <w:gridCol w:w="109"/>
        <w:gridCol w:w="196"/>
        <w:gridCol w:w="736"/>
        <w:gridCol w:w="154"/>
      </w:tblGrid>
      <w:tr>
        <w:trPr/>
        <w:tc>
          <w:tcPr>
            <w:tcW w:w="40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41"/>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1413" w:type="dxa"/>
            <w:gridSpan w:val="6"/>
            <w:tcBorders/>
            <w:shd w:fill="auto" w:val="clea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br/>
              <w:t>Class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br/>
              <w:t>Class 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WM Technology, Inc.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As of December 31, 2022</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92,062,468</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55,486,361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(54,620)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101,397 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114,777 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4,681 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vesting of restricted stock units, net of shares withheld for taxes</w:t>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475,510</w:t>
            </w:r>
          </w:p>
        </w:tc>
        <w:tc>
          <w:tcPr>
            <w:tcW w:w="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Class P Unit exchange</w:t>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35,488</w:t>
            </w:r>
          </w:p>
        </w:tc>
        <w:tc>
          <w:tcPr>
            <w:tcW w:w="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5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(2,475)</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(1,494)</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As of March 31, 2023</w:t>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92,573,466</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55,486,361</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(57,095)</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15,363 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99,876 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115,239 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jc w:val="center"/>
        <w:rPr/>
      </w:pPr>
      <w:r>
        <w:rPr/>
      </w:r>
    </w:p>
    <w:tbl>
      <w:tblPr>
        <w:tblW w:w="11801" w:type="dxa"/>
        <w:jc w:val="center"/>
        <w:tblInd w:w="0" w:type="dxa"/>
        <w:tblCellMar>
          <w:top w:w="28" w:type="dxa"/>
          <w:left w:w="28" w:type="dxa"/>
          <w:bottom w:w="28" w:type="dxa"/>
          <w:right w:w="28" w:type="dxa"/>
        </w:tblCellMar>
      </w:tblPr>
      <w:tblGrid>
        <w:gridCol w:w="402"/>
        <w:gridCol w:w="354"/>
        <w:gridCol w:w="355"/>
        <w:gridCol w:w="304"/>
        <w:gridCol w:w="304"/>
        <w:gridCol w:w="308"/>
        <w:gridCol w:w="196"/>
        <w:gridCol w:w="241"/>
        <w:gridCol w:w="109"/>
        <w:gridCol w:w="109"/>
        <w:gridCol w:w="109"/>
        <w:gridCol w:w="109"/>
        <w:gridCol w:w="480"/>
        <w:gridCol w:w="481"/>
        <w:gridCol w:w="196"/>
        <w:gridCol w:w="196"/>
        <w:gridCol w:w="241"/>
        <w:gridCol w:w="109"/>
        <w:gridCol w:w="109"/>
        <w:gridCol w:w="109"/>
        <w:gridCol w:w="109"/>
        <w:gridCol w:w="196"/>
        <w:gridCol w:w="646"/>
        <w:gridCol w:w="109"/>
        <w:gridCol w:w="109"/>
        <w:gridCol w:w="109"/>
        <w:gridCol w:w="109"/>
        <w:gridCol w:w="196"/>
        <w:gridCol w:w="646"/>
        <w:gridCol w:w="109"/>
        <w:gridCol w:w="109"/>
        <w:gridCol w:w="109"/>
        <w:gridCol w:w="109"/>
        <w:gridCol w:w="225"/>
        <w:gridCol w:w="744"/>
        <w:gridCol w:w="127"/>
        <w:gridCol w:w="109"/>
        <w:gridCol w:w="109"/>
        <w:gridCol w:w="109"/>
        <w:gridCol w:w="259"/>
        <w:gridCol w:w="856"/>
        <w:gridCol w:w="146"/>
        <w:gridCol w:w="109"/>
        <w:gridCol w:w="109"/>
        <w:gridCol w:w="109"/>
        <w:gridCol w:w="109"/>
        <w:gridCol w:w="109"/>
        <w:gridCol w:w="196"/>
        <w:gridCol w:w="736"/>
        <w:gridCol w:w="154"/>
      </w:tblGrid>
      <w:tr>
        <w:trPr/>
        <w:tc>
          <w:tcPr>
            <w:tcW w:w="40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77" w:type="dxa"/>
            <w:gridSpan w:val="41"/>
            <w:tcBorders/>
            <w:shd w:fill="FFFFFF"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2022</w:t>
            </w:r>
          </w:p>
        </w:tc>
        <w:tc>
          <w:tcPr>
            <w:tcW w:w="1413" w:type="dxa"/>
            <w:gridSpan w:val="6"/>
            <w:tcBorders/>
            <w:shd w:fill="auto" w:val="clea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2"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br/>
              <w:t>Class 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br/>
              <w:t>Class V</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WM Technology, Inc.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 Equity</w:t>
            </w:r>
          </w:p>
        </w:tc>
      </w:tr>
      <w:tr>
        <w:trPr/>
        <w:tc>
          <w:tcPr>
            <w:tcW w:w="11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5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1"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8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As of December 31, 2021 </w:t>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65,677,361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65,502,347 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63,556 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68,384 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7,246 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vesting of restricted stock units, net of shares withheld for taxes</w:t>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879,284</w:t>
            </w:r>
          </w:p>
        </w:tc>
        <w:tc>
          <w:tcPr>
            <w:tcW w:w="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acquisitions</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4,721,706</w:t>
            </w:r>
          </w:p>
        </w:tc>
        <w:tc>
          <w:tcPr>
            <w:tcW w:w="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12,836 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15,889 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Class A Unit exchange</w:t>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4,295,574</w:t>
            </w:r>
          </w:p>
        </w:tc>
        <w:tc>
          <w:tcPr>
            <w:tcW w:w="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(4,295,574)</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(3,669)</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Class P Unit exchange</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7,525,045</w:t>
            </w:r>
          </w:p>
        </w:tc>
        <w:tc>
          <w:tcPr>
            <w:tcW w:w="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(6,427)</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 warrants exercised</w:t>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Impact of Tax Receivable Agreement due</w:t>
              <w:br/>
              <w:t>to exchanges of Units</w:t>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11,625 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(13,893)</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(17,340)</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(31,233)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As of March 31, 2022</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83,098,990</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61,206,773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91,460 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57,511 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148,971 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jc w:val="center"/>
        <w:rPr/>
      </w:pPr>
      <w:r>
        <w:rPr/>
      </w:r>
    </w:p>
    <w:p>
      <w:pPr>
        <w:pStyle w:val="TextBody"/>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222885"/>
                <wp:effectExtent l="0" t="0" r="0" b="0"/>
                <wp:wrapNone/>
                <wp:docPr id="7" name="Frame7"/>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8861" w:type="dxa"/>
        <w:jc w:val="center"/>
        <w:tblInd w:w="0" w:type="dxa"/>
        <w:tblCellMar>
          <w:top w:w="28" w:type="dxa"/>
          <w:left w:w="28" w:type="dxa"/>
          <w:bottom w:w="28" w:type="dxa"/>
          <w:right w:w="28" w:type="dxa"/>
        </w:tblCellMar>
      </w:tblPr>
      <w:tblGrid>
        <w:gridCol w:w="2260"/>
        <w:gridCol w:w="1982"/>
        <w:gridCol w:w="1997"/>
        <w:gridCol w:w="219"/>
        <w:gridCol w:w="722"/>
        <w:gridCol w:w="121"/>
        <w:gridCol w:w="121"/>
        <w:gridCol w:w="121"/>
        <w:gridCol w:w="121"/>
        <w:gridCol w:w="219"/>
        <w:gridCol w:w="806"/>
        <w:gridCol w:w="172"/>
      </w:tblGrid>
      <w:tr>
        <w:trPr/>
        <w:tc>
          <w:tcPr>
            <w:tcW w:w="2260" w:type="dxa"/>
            <w:tcBorders/>
            <w:shd w:fill="auto" w:val="clear"/>
            <w:vAlign w:val="center"/>
          </w:tcPr>
          <w:p>
            <w:pPr>
              <w:pStyle w:val="TableContents"/>
              <w:spacing w:before="0" w:after="283"/>
              <w:rPr>
                <w:sz w:val="4"/>
                <w:szCs w:val="4"/>
              </w:rPr>
            </w:pPr>
            <w:r>
              <w:rPr>
                <w:sz w:val="4"/>
                <w:szCs w:val="4"/>
              </w:rPr>
            </w:r>
          </w:p>
        </w:tc>
        <w:tc>
          <w:tcPr>
            <w:tcW w:w="1982" w:type="dxa"/>
            <w:tcBorders/>
            <w:shd w:fill="auto" w:val="clear"/>
            <w:vAlign w:val="center"/>
          </w:tcPr>
          <w:p>
            <w:pPr>
              <w:pStyle w:val="TableContents"/>
              <w:spacing w:before="0" w:after="283"/>
              <w:rPr>
                <w:sz w:val="4"/>
                <w:szCs w:val="4"/>
              </w:rPr>
            </w:pPr>
            <w:r>
              <w:rPr>
                <w:sz w:val="4"/>
                <w:szCs w:val="4"/>
              </w:rPr>
            </w:r>
          </w:p>
        </w:tc>
        <w:tc>
          <w:tcPr>
            <w:tcW w:w="1997"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2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(3,969)</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(31,233)</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provided by (used in) operating activities:</w:t>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warrant liability</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tax receivable agreement liability</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doubtful accounts</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(7,802)</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(5,417)</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3,132 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(4,201)</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acquisitions, net of cash acquired</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(713)</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auto" w:val="clear"/>
            <w:vAlign w:val="center"/>
          </w:tcPr>
          <w:p>
            <w:pPr>
              <w:pStyle w:val="TableContents"/>
              <w:spacing w:before="0" w:after="283"/>
              <w:rPr>
                <w:sz w:val="4"/>
                <w:szCs w:val="4"/>
              </w:rPr>
            </w:pPr>
            <w:r>
              <w:rPr>
                <w:sz w:val="4"/>
                <w:szCs w:val="4"/>
              </w:rPr>
            </w:r>
          </w:p>
        </w:tc>
        <w:tc>
          <w:tcPr>
            <w:tcW w:w="1062" w:type="dxa"/>
            <w:gridSpan w:val="3"/>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insurance premium financing</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(3,143)</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repayment of related party note</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paid related to net share settlement of equity awards</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w:t>
            </w:r>
          </w:p>
        </w:tc>
        <w:tc>
          <w:tcPr>
            <w:tcW w:w="9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(11,920)</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 beginning of period</w:t>
            </w:r>
          </w:p>
        </w:tc>
        <w:tc>
          <w:tcPr>
            <w:tcW w:w="9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67,777 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 end of period</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55,857 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120"/>
        <w:jc w:val="center"/>
        <w:rPr/>
      </w:pPr>
      <w:r>
        <w:rPr/>
      </w:r>
    </w:p>
    <w:p>
      <w:pPr>
        <w:pStyle w:val="TextBody"/>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120" w:after="120"/>
        <w:rPr/>
      </w:pPr>
      <w:r>
        <w:rPr/>
      </w:r>
    </w:p>
    <w:p>
      <w:pPr>
        <w:pStyle w:val="TextBody"/>
        <w:spacing w:before="120" w:after="120"/>
        <w:jc w:val="center"/>
        <w:rPr/>
      </w:pPr>
      <w:r>
        <w:rPr/>
      </w:r>
    </w:p>
    <w:p>
      <w:pPr>
        <w:pStyle w:val="TextBody"/>
        <w:spacing w:before="120" w:after="120"/>
        <w:jc w:val="center"/>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222885"/>
                <wp:effectExtent l="0" t="0" r="0" b="0"/>
                <wp:wrapNone/>
                <wp:docPr id="8" name="Frame8"/>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tbl>
      <w:tblPr>
        <w:tblW w:w="8126" w:type="dxa"/>
        <w:jc w:val="center"/>
        <w:tblInd w:w="0" w:type="dxa"/>
        <w:tblCellMar>
          <w:top w:w="28" w:type="dxa"/>
          <w:left w:w="28" w:type="dxa"/>
          <w:bottom w:w="28" w:type="dxa"/>
          <w:right w:w="28" w:type="dxa"/>
        </w:tblCellMar>
      </w:tblPr>
      <w:tblGrid>
        <w:gridCol w:w="1996"/>
        <w:gridCol w:w="1750"/>
        <w:gridCol w:w="1759"/>
        <w:gridCol w:w="251"/>
        <w:gridCol w:w="539"/>
        <w:gridCol w:w="139"/>
        <w:gridCol w:w="139"/>
        <w:gridCol w:w="139"/>
        <w:gridCol w:w="139"/>
        <w:gridCol w:w="251"/>
        <w:gridCol w:w="827"/>
        <w:gridCol w:w="197"/>
      </w:tblGrid>
      <w:tr>
        <w:trPr/>
        <w:tc>
          <w:tcPr>
            <w:tcW w:w="1996" w:type="dxa"/>
            <w:tcBorders/>
            <w:shd w:fill="auto" w:val="clear"/>
            <w:vAlign w:val="center"/>
          </w:tcPr>
          <w:p>
            <w:pPr>
              <w:pStyle w:val="TableContents"/>
              <w:spacing w:before="0" w:after="283"/>
              <w:rPr>
                <w:sz w:val="4"/>
                <w:szCs w:val="4"/>
              </w:rPr>
            </w:pPr>
            <w:r>
              <w:rPr>
                <w:sz w:val="4"/>
                <w:szCs w:val="4"/>
              </w:rPr>
            </w:r>
          </w:p>
        </w:tc>
        <w:tc>
          <w:tcPr>
            <w:tcW w:w="1750" w:type="dxa"/>
            <w:tcBorders/>
            <w:shd w:fill="auto" w:val="clear"/>
            <w:vAlign w:val="center"/>
          </w:tcPr>
          <w:p>
            <w:pPr>
              <w:pStyle w:val="TableContents"/>
              <w:spacing w:before="0" w:after="283"/>
              <w:rPr>
                <w:sz w:val="4"/>
                <w:szCs w:val="4"/>
              </w:rPr>
            </w:pPr>
            <w:r>
              <w:rPr>
                <w:sz w:val="4"/>
                <w:szCs w:val="4"/>
              </w:rPr>
            </w:r>
          </w:p>
        </w:tc>
        <w:tc>
          <w:tcPr>
            <w:tcW w:w="175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929"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929"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929"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noncash investing and financing activities</w:t>
            </w:r>
          </w:p>
        </w:tc>
        <w:tc>
          <w:tcPr>
            <w:tcW w:w="9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capitalized for software development</w:t>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premium financing</w:t>
            </w:r>
          </w:p>
        </w:tc>
        <w:tc>
          <w:tcPr>
            <w:tcW w:w="2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equity for acquisitions</w:t>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28,725 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Holdback liability recognized in connection with the acquisition</w:t>
            </w:r>
          </w:p>
        </w:tc>
        <w:tc>
          <w:tcPr>
            <w:tcW w:w="2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9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 assumed in connection with acquisition</w:t>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929"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r>
      <w:tr>
        <w:trPr/>
        <w:tc>
          <w:tcPr>
            <w:tcW w:w="5505" w:type="dxa"/>
            <w:gridSpan w:val="3"/>
            <w:tcBorders/>
            <w:shd w:fill="auto" w:val="clear"/>
            <w:vAlign w:val="center"/>
          </w:tcPr>
          <w:p>
            <w:pPr>
              <w:pStyle w:val="TableContents"/>
              <w:spacing w:before="0" w:after="283"/>
              <w:rPr>
                <w:sz w:val="4"/>
                <w:szCs w:val="4"/>
              </w:rPr>
            </w:pPr>
            <w:r>
              <w:rPr>
                <w:sz w:val="4"/>
                <w:szCs w:val="4"/>
              </w:rPr>
            </w:r>
          </w:p>
        </w:tc>
        <w:tc>
          <w:tcPr>
            <w:tcW w:w="929" w:type="dxa"/>
            <w:gridSpan w:val="3"/>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27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222885"/>
                <wp:effectExtent l="0" t="0" r="0" b="0"/>
                <wp:wrapNone/>
                <wp:docPr id="9" name="Frame9"/>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before="120" w:after="283"/>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1.    Business and Organization</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Founded in 2008, and headquartered in Irvine, California, WM Technology, Inc. (the “Company”) operates a leading online cannabis marketplace for consumers together with a comprehensive set of eCommerce and compliance software solutions for cannabis businesses, which are sold to both storefront locations and delivery operators (“retailers”) and brands in the U.S. states, U.S. territories and Canadian legalized cannabis markets. The Company’s comprehensive business-to-consumer (“B2C”) and business-to-business (“B2B”) suite of products afford cannabis retailers and brands of all sizes integrated tools to compliantly run their businesses and to reach, convert, and retain consumers. </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business primarily consists of its commerce-driven marketplace (“Weedmaps”), and its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to provide consumers with the ability to browse by strain, price, cannabinoids and other information regarding locally available cannabis products, through the Company’s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The Company believes the size, loyalty and engagement of its user base and the frequency of consumption of cannabis of its user base is highly valuable to the Company’s clients and results in clients paying for its services.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Weedmaps for Business, the Company’s SaaS offering, is a comprehensive set of eCommerce and compliance software solutions catered towards cannabis retailers, delivery services and brands that streamline front and back-end operations and help manage compliance needs. These tools support cannabis businesses at every stage in the consumer funnel, enabling them to:</w:t>
      </w:r>
    </w:p>
    <w:p>
      <w:pPr>
        <w:pStyle w:val="TextBody"/>
        <w:spacing w:lineRule="auto" w:line="288" w:before="120" w:after="60"/>
        <w:ind w:left="0" w:right="0" w:hanging="360"/>
        <w:jc w:val="both"/>
        <w:rPr/>
      </w:pPr>
      <w:r>
        <w:rPr>
          <w:color w:val="000000"/>
        </w:rPr>
        <w:t>•</w:t>
      </w:r>
      <w:r>
        <w:rPr>
          <w:rFonts w:ascii="Times New Roman;sans-serif" w:hAnsi="Times New Roman;sans-serif"/>
          <w:b w:val="false"/>
          <w:color w:val="000000"/>
          <w:sz w:val="20"/>
        </w:rPr>
        <w:t>Strategically reach prospective cannabis consumers;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Manage pickup, delivery and inventory in compliance with local regulations;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Help improve the customer experience by creating online browsing and ordering functionality on a brand or retailer (including delivery) operator’s website and by extending that functionality in-store with kiosks;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Foster customer loyalty and re-engage with segments of consumers;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Leverage the Weedmaps for Business products in conjunction with any other preferred software solutions via integrations and application programming interfaces (“APIs”); and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Make informed marketing and merchandising decisions using performance analytics and consumer and brand insights to promote products to specific consumer groups.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the Company offers an end-to-end platform for licensed cannabis retailers to comply with state law. The Company sells a monthly subscription offering to storefront, delivery and brand clients as well as upsell and add-on offerings to licensed clients. The Company’s current subscription package includes: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WM Listings: A listing page with product menu for a retailer or brand on the Weedmaps marketplace, enabling the Company’s clients to be discovered by the marketplace’s users. This also allows clients to disclose their license information, hours of operation, contact information, discount policies and other information that may be required under applicable state law;</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222885"/>
                <wp:effectExtent l="0" t="0" r="0" b="0"/>
                <wp:wrapNone/>
                <wp:docPr id="10" name="Frame10"/>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WM Store: Customizable online store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 and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offers other add-on products for additional fees, including:</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WM Ads: Ad solutions on the Weedmaps marketplace designed for clients to amplify their businesses and reach more highly engaged cannabis consumers throughout their buying journey including:</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Featured Listings: Premium placement ad solutions on high visibility locations on the Weedmaps marketplace (desktop and mobile) to amplify the Company’s clients’ businesses and maximize clients’ listings and deal presence.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WM Deals: Discount and promotion pricing tools that let clients strategically reach prospective price-conscious cannabis customers with deals or discounts to drive conversion. In some jurisdictions, it is required by applicable law to showcase discounts.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Other WM Ads solutions:</w:t>
      </w:r>
      <w:r>
        <w:rPr>
          <w:color w:val="000000"/>
        </w:rPr>
        <w:t xml:space="preserve"> </w:t>
      </w:r>
      <w:r>
        <w:rPr>
          <w:rFonts w:ascii="Times New Roman;sans-serif" w:hAnsi="Times New Roman;sans-serif"/>
          <w:b w:val="false"/>
          <w:color w:val="000000"/>
          <w:sz w:val="20"/>
        </w:rPr>
        <w:t>Includes banner ads and promotion tiles on our marketplace as well as banner ads that can be tied to keyword searches. These products provide clients with targeted ad solutions in highly visible slots across our digital surfaces.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WM AdSuite: Omni-channel (on and off platform) marketing solution with access to the Weedmaps marketplace and cannabis-friendly off marketplace outlets including certain publishers, out-of-home units in addition to other media solutions. These campaigns leverage proprietary first-party Weedmaps data to target verified cannabis consumers.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WM CRM: Customer relationship management software allowing clients to reach new consumers, build loyalty, and grow revenue with our compliant app, text and marketing tools. The tools also allow for retargeting and re-engagement of cannabis consumers.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WM Dispatch: Compliant, automated and optimized logistics and fulfillment last-mile delivery software (including driver apps) that helps clients manage their delivery fleets. This product streamlines the delivery experience from in-store to front-door.</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WM Screens: In-store digital menu signage and kiosk solution and media management tool enabling clients to enhance the in-store experience, impact omnichannel retail and centralize operations with revenue-driving and customizable digital signage. </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charges a monthly fee to retailer, delivery and brand clients for access to its subscription package, which includes WM Listings, WM Orders, WM Store, WM Connectors and WM Insights. Depending on the market, the other add-on products are available for additional fees.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sells its Weedmaps for Business suite in the United States, and currently offers some of its Weedmaps for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national law. As of March 31, 2023, the Company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222885"/>
                <wp:effectExtent l="0" t="0" r="0" b="0"/>
                <wp:wrapNone/>
                <wp:docPr id="11" name="Frame11"/>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actively operated in over 30 U.S. states and territories that have adult-use and/or medical-use regulations in place. The Company defines actively operated markets as those U.S. states or territories with greater than $1,000 monthly revenue.</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mission is to power a transparent and inclusive global cannabis economy. The Company’s technology addresses the challenges facing both consumers seeking to understand cannabis products and businesses who serve cannabis users in a legally compliant fashion. Over the past 14 years,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holds a strong belief in the importance of enabling safe, legal access to cannabis for consumers worldwide. The Company believes it offers the only comprehensive software platform that allows cannabis retailers to reach their target audience, quickly and cost effectively, addressing a wide range of needs. The Company is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 </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the Closing Date, 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pStyle w:val="TextBody"/>
        <w:spacing w:before="0" w:after="0"/>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222885"/>
                <wp:effectExtent l="0" t="0" r="0" b="0"/>
                <wp:wrapNone/>
                <wp:docPr id="12" name="Frame12"/>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240" w:after="12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 statements have been omitted or condensed and these interim financial statements should be read in conjunction with the audited consolidated financial statements and notes thereto included in the Company’s Annual Report on Form 10-K for the year ended December 31, 2022, filed with the SEC on March 16, 2023. The condensed financial statements of the Company include all adjustments of a normal recurring nature which, in the opinion of management, are necessary for a fair statement of the Company’s financial position as of March 31, 2023, and results of its operations and its cash flows for the interim periods presented. The results of operations for the three months ended March 31, 2023 are not necessarily indicative of the results to be expected for the entire year. There have been no significant changes in the Company’s accounting policies from those described in the Company’s audited consolidated financial statements and the related notes to those statements.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WM Technology, Inc. and WM Holding Company, LLC, including their wholly and majority owned subsidiaries. In conformity with GAAP, all significant intercompany accounts and transactions have been eliminated.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months ended March 31, 2023 and 2022.</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estimates made by management include, among others, the allowance for expected credit losses, the useful lives of long-lived assets, income taxes, website and internal-use software development costs, leases, valuation of goodwill and other intangible assets, valuation of warrant liability, deferred tax assets and the related valuation allowance, tax receivable agreement liability, revenue recognition, stock-based compensation and the recognition and disclosure of contingent liabilities.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Risks and Uncertainties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operates in a relatively new industry where laws and regulations vary significantly by jurisdiction. Currently, thirty-nine states, the District of Columbia, Puerto Rico, the Virgin Islands, and Guam have legalized some form of cannabis use for certain medical purposes. Twenty-two of those states, the District of Columbia, Guam, and Northern Mariana have legalized cannabis for adults for non-medical purposes as well (sometimes referred to as adult or recreational use). Eight additional states have legalized forms of low-potency cannabis, for select medical conditions. Only three states continue to prohibit cannabis entirely.. Additionally, while a number of U.S. legislators have introduced various bills to legalize cannabis at the federal level, none of these bills has become law. Currently, under federal law, cannabis, other than hemp (defined by the U.S. government as Cannabis sativa L. with a THC concentration of not more than 0.3% on a dry weight basis), is still a Schedule I controlled substance under the Controlled Substances Act (“CSA”). Even in states or territories that have legalized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222885"/>
                <wp:effectExtent l="0" t="0" r="0" b="0"/>
                <wp:wrapNone/>
                <wp:docPr id="13" name="Frame13"/>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If any of the states that permit use of cannabis were to change their laws or the federal government was to actively enforce the CSA or other laws related to the federal prohibition on cannabis, the Company’s business could be adversely affected.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Company’s ability to grow and meet its operating objectives depends largely on the continued legalization and regulation of cannabis on a widespread basis. There can be no assurance that such legalization will occur on a timely basis, or at all.</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geographic concentration of the Company’s clients makes the Company vulnerable to a downturn in the local market area. Historically, the Company’s business operations have been located primarily in the State of California, and for the three months ended March 31, 2023, approximately 55% of the Company’s revenue originated in California.</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The Company follows the guidance in Accounting Standards Codification (“ASC”) 820 - </w:t>
      </w:r>
      <w:r>
        <w:rPr>
          <w:rFonts w:ascii="Times New Roman;sans-serif" w:hAnsi="Times New Roman;sans-serif"/>
          <w:b w:val="false"/>
          <w:i/>
          <w:color w:val="000000"/>
          <w:sz w:val="20"/>
        </w:rPr>
        <w:t>Fair Value Measurements</w:t>
      </w:r>
      <w:r>
        <w:rPr>
          <w:color w:val="000000"/>
        </w:rPr>
        <w:t xml:space="preserve"> </w:t>
      </w:r>
      <w:r>
        <w:rPr>
          <w:rFonts w:ascii="Times New Roman;sans-serif" w:hAnsi="Times New Roman;sans-serif"/>
          <w:b w:val="false"/>
          <w:color w:val="000000"/>
          <w:sz w:val="20"/>
        </w:rPr>
        <w:t>for its financial assets and liabilities that are re-measured and reported at fair value at each reporting period. See Note 4 for additional information on liabilities measured at fair value.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Level 2: Observable inputs other than Level 1 inputs. Examples of Level 2 inputs include quoted prices in active markets for similar assets or liabilities and quoted prices for identical assets or liabilities in markets that are not active.</w:t>
      </w:r>
    </w:p>
    <w:p>
      <w:pPr>
        <w:pStyle w:val="TextBody"/>
        <w:spacing w:lineRule="auto" w:line="288" w:before="60" w:after="120"/>
        <w:ind w:left="0" w:right="0" w:hanging="360"/>
        <w:jc w:val="both"/>
        <w:rPr/>
      </w:pPr>
      <w:r>
        <w:rPr>
          <w:color w:val="000000"/>
        </w:rPr>
        <w:t>•</w:t>
      </w:r>
      <w:r>
        <w:rPr>
          <w:rFonts w:ascii="Times New Roman;sans-serif" w:hAnsi="Times New Roman;sans-serif"/>
          <w:b w:val="false"/>
          <w:color w:val="000000"/>
          <w:sz w:val="20"/>
        </w:rPr>
        <w:t>Level 3: Unobservable inputs based on the Company assessment of the assumptions that market participants would use in pricing the asset or liability.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is recorded at the invoiced amount and does not bear interest. </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Effective January 1, 2021, the Company adopted the new accounting guidance on measuring credit losses on its trade accounts receivable using the modified retrospective approach. The new credit loss guidance replaces the old model for measuring the allowance for credit losses with a model that is based on the expected losses rather than incurred losses. Under the new accounting guidance, the Company measures credit losses on its trade accounts receivable using the current expected credit loss model under ASC 326 </w:t>
      </w:r>
      <w:r>
        <w:rPr>
          <w:rFonts w:ascii="Times New Roman;sans-serif" w:hAnsi="Times New Roman;sans-serif"/>
          <w:b w:val="false"/>
          <w:i/>
          <w:color w:val="000000"/>
          <w:sz w:val="20"/>
        </w:rPr>
        <w:t>Financial Instruments – Credit Losses</w:t>
      </w:r>
      <w:r>
        <w:rPr>
          <w:rFonts w:ascii="Times New Roman;sans-serif" w:hAnsi="Times New Roman;sans-serif"/>
          <w:b w:val="false"/>
          <w:color w:val="000000"/>
          <w:sz w:val="20"/>
        </w:rPr>
        <w:t xml:space="preserv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Account balances are written off against the allowance when it is determined that it is probable that the receivable will not be recovered. The Company had allowance for doubtful account balances of $13.4 million and $12.2 million as of March 31, 2023 and December 31, 2022, respectively.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 receivable due from one single customer accounted for approximately 11% of the total gross accounts receivable outstanding.</w:t>
      </w:r>
    </w:p>
    <w:p>
      <w:pPr>
        <w:pStyle w:val="TextBody"/>
        <w:spacing w:before="0" w:after="0"/>
        <w:ind w:left="0" w:right="0" w:firstLine="54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222885"/>
                <wp:effectExtent l="0" t="0" r="0" b="0"/>
                <wp:wrapNone/>
                <wp:docPr id="14" name="Frame14"/>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allowance for doubtful accounts:</w:t>
      </w:r>
    </w:p>
    <w:p>
      <w:pPr>
        <w:pStyle w:val="TextBody"/>
        <w:spacing w:before="0" w:after="0"/>
        <w:ind w:left="0" w:right="0" w:firstLine="540"/>
        <w:jc w:val="both"/>
        <w:rPr/>
      </w:pPr>
      <w:r>
        <w:rPr/>
      </w:r>
    </w:p>
    <w:tbl>
      <w:tblPr>
        <w:tblW w:w="5642" w:type="dxa"/>
        <w:jc w:val="left"/>
        <w:tblInd w:w="0" w:type="dxa"/>
        <w:tblCellMar>
          <w:top w:w="28" w:type="dxa"/>
          <w:left w:w="28" w:type="dxa"/>
          <w:bottom w:w="28" w:type="dxa"/>
          <w:right w:w="28" w:type="dxa"/>
        </w:tblCellMar>
      </w:tblPr>
      <w:tblGrid>
        <w:gridCol w:w="977"/>
        <w:gridCol w:w="860"/>
        <w:gridCol w:w="862"/>
        <w:gridCol w:w="255"/>
        <w:gridCol w:w="873"/>
        <w:gridCol w:w="132"/>
        <w:gridCol w:w="132"/>
        <w:gridCol w:w="132"/>
        <w:gridCol w:w="132"/>
        <w:gridCol w:w="255"/>
        <w:gridCol w:w="746"/>
        <w:gridCol w:w="132"/>
        <w:gridCol w:w="154"/>
      </w:tblGrid>
      <w:tr>
        <w:trPr/>
        <w:tc>
          <w:tcPr>
            <w:tcW w:w="977"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beginning of period</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to allowance</w:t>
            </w:r>
          </w:p>
        </w:tc>
        <w:tc>
          <w:tcPr>
            <w:tcW w:w="11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 net of recoveries</w:t>
            </w:r>
          </w:p>
        </w:tc>
        <w:tc>
          <w:tcPr>
            <w:tcW w:w="11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end of period</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13,413 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Equity Securities</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Investments in equity securities that do not have a readily determinable fair value and qualify for the measurement alternative for equity investments provided in ASC 321, </w:t>
      </w:r>
      <w:r>
        <w:rPr>
          <w:rFonts w:ascii="Times New Roman;sans-serif" w:hAnsi="Times New Roman;sans-serif"/>
          <w:b w:val="false"/>
          <w:i/>
          <w:color w:val="000000"/>
          <w:sz w:val="20"/>
        </w:rPr>
        <w:t>Investments – Equity Securities</w:t>
      </w:r>
      <w:r>
        <w:rPr>
          <w:color w:val="000000"/>
        </w:rPr>
        <w:t xml:space="preserve"> </w:t>
      </w:r>
      <w:r>
        <w:rPr>
          <w:rFonts w:ascii="Times New Roman;sans-serif" w:hAnsi="Times New Roman;sans-serif"/>
          <w:b w:val="false"/>
          <w:color w:val="000000"/>
          <w:sz w:val="20"/>
        </w:rPr>
        <w:t>are accounted for at cost, less any impairment, plus or minus changes resulting from observable price changes in orderly transactions for an identical or similar investment of the same issuer. As of March 31, 2023 and December 31, 2022, the carrying value of the Company’s investments in equity securities without a readily determinable fair value was $3.5 million, which is recorded within other assets on the Company’s condensed consolidated balance sheets.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performs a qualitative assessment at each reporting date to evaluate whether the investments in equity securities are impaired. When a qualitative assessment indicates that an investment is impaired, the investment is written down to its fair value and the impairment charge is included in general and administrative expenses in the accompanying condensed consolidated statements of operations. No impairments to investments in equity securities were recorded during the three months ended March 31, 2023 and 2022.</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three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condensed consolidated statements of operations.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Capitalized website and internal-use software development costs are included in property and equipment in the accompanying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 No impairments to property and equipment were recorded during the three months ended March 31, 2023 and 2022.</w:t>
      </w:r>
    </w:p>
    <w:p>
      <w:pPr>
        <w:pStyle w:val="TextBody"/>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consists of the excess of the purchase price over the fair value of identifiable net assets of businesses acquired. Goodwill is reviewed for impairment each year using a qualitative or quantitative process that is performed at least annually or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222885"/>
                <wp:effectExtent l="0" t="0" r="0" b="0"/>
                <wp:wrapNone/>
                <wp:docPr id="15" name="Frame15"/>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whenever events or circumstances indicate a likely reduction in the fair value of a reporting unit below its carrying amount. The Company has concluded that it has one reporting unit.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performs the annual impairment analysis on December 31 in order to provide management time to complete the analysis prior to year-end. Prior to performing the quantitative evaluation, an assessment of qualitative factors may be performed to determine whether it is more likely than not that the fair value of a reporting unit exceeds the carrying value. If it is determined that it is unlikely that the carrying value exceeds the fair value, the Company is not required to complete the quantitative goodwill impairment evaluation. If it is determined that the carrying value may exceed fair value when considering qualitative factors, a quantitative goodwill impairment evaluation is performed. When performing the quantitative evaluation, if the carrying value of the reporting unit exceeds its fair value, an impairment loss equal to the difference will be recorded. </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recorded at cost less accumulated amortization. Intangible assets are reviewed for impairment whenever events or changes in circumstances may affect the recoverability of the net assets. Such reviews may include an analysis of current results and take into consideration the undiscounted value of projected operating cash flows. No goodwill or intangible asset impairment charges were recorded for the three months ended March 31, 2023 and 2022.</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arrangements meeting the definition of a lease as operating or financing leases, and leases are recorded on the condensed consolidated balance sheets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lease costs, net for the three months ended March 31, 2023 and 2022 were $2.2 million and $2.5 million, respectively. Sublease rental income is recognized as a reduction to the related lease expense on a straight-line basis over the sublease term. For the three months ended March 31, 2023 and 2022, the Company recorded contra rent expense related to its subleases of $0.5 million and $0.4 million, respectively.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Warrant Liability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assumed 12,499,993 Public Warrants originally issued in the initial public offering of Silver Spike (the “Public Warrants”) and 7,000,000 Private Placement Warrants that were originally issued in a private placement by Silver Spike (the “Private Placement Warrants” and together with the Public Warrants, the “Warrants”) upon the Closing, all of which were issued in connection with Silver Spike’s initial public offering and entitle the holder to purchase one share of Class A Common Stock at an exercise price of at $11.50 per share. As of March 31, 2023, 12,499,973 Public Warrants and 7,000,000 Private Placement Warrants remained outstanding.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pStyle w:val="TextBody"/>
        <w:spacing w:lineRule="auto" w:line="288" w:before="120" w:after="120"/>
        <w:ind w:left="0" w:right="0" w:firstLine="540"/>
        <w:jc w:val="both"/>
        <w:rPr/>
      </w:pPr>
      <w:r>
        <w:rPr>
          <w:rFonts w:ascii="Times New Roman;sans-serif" w:hAnsi="Times New Roman;sans-serif"/>
          <w:b w:val="false"/>
          <w:color w:val="000000"/>
          <w:sz w:val="20"/>
        </w:rPr>
        <w:t>The Company evaluated the Warrants under ASC 815-40</w:t>
      </w:r>
      <w:r>
        <w:rPr>
          <w:color w:val="000000"/>
        </w:rPr>
        <w:t xml:space="preserve"> </w:t>
      </w:r>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i/>
          <w:color w:val="000000"/>
          <w:sz w:val="20"/>
        </w:rPr>
        <w:t>Derivatives and Hedging - Contracts in Entity’s Own Equity</w:t>
      </w:r>
      <w:r>
        <w:rPr>
          <w:rFonts w:ascii="Times New Roman;sans-serif" w:hAnsi="Times New Roman;sans-serif"/>
          <w:b w:val="false"/>
          <w:color w:val="000000"/>
          <w:sz w:val="20"/>
        </w:rPr>
        <w:t xml:space="preserve">, and concluded they do not meet the criteria to be classified in stockholders’ equity. Specifically, the exercise of the Warrants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222885"/>
                <wp:effectExtent l="0" t="0" r="0" b="0"/>
                <wp:wrapNone/>
                <wp:docPr id="16" name="Frame16"/>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operations at each reporting date.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Tax Receivable Agreement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the Company entered into a tax receivable agreement (the “TRA”)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pStyle w:val="TextBody"/>
        <w:spacing w:lineRule="auto" w:line="288" w:before="120" w:after="120"/>
        <w:ind w:left="0" w:right="0" w:firstLine="540"/>
        <w:jc w:val="both"/>
        <w:rPr/>
      </w:pPr>
      <w:r>
        <w:rPr>
          <w:rFonts w:ascii="Times New Roman;sans-serif" w:hAnsi="Times New Roman;sans-serif"/>
          <w:b w:val="false"/>
          <w:color w:val="000000"/>
          <w:sz w:val="20"/>
        </w:rPr>
        <w:t xml:space="preserve">The TRA liability is subject to remeasurement each reporting period, due to various factors, including changes in federal and state income tax rates and assessment of the probability of payment. As these remeasurement changes are subsequent to the initial measurement, the impact of the remeasurement is recorded in other income (loss) on the condensed consolidated statements of operations. As of March 31, 2023, tax receivable agreement liability was $0.6 million. During the three months ended March 31, 2023, the Company recognized a loss of $0.1 million related to the remeasurement of its TRA liability. See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 xml:space="preserve">below for information related to the Company’s allowance against its net deferred tax assets.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revenues are derived primarily from monthly subscriptions and additional offerings for access to the Company’s Weedmaps marketplace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 The Company excludes sales taxes and other similar taxes from the measurement of the transaction price. For clients that pay in advance for listing and other services, the Company records deferred revenue and recognizes revenue over the applicable subscription term.</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offers Weedmaps for Business subscriptions, which include access to the Weedmaps marketplace and certain SaaS solutions. As add-ons for additional fees, the Company offers other products, including featured listings, placements, promoted deals, nearby listings, other display advertising, client relationship management, digital menu, and delivery and logistics services. The Company’s Weedmaps for Business subscriptions generally have one-month terms that automatically renew unless notice of cancellation is provided in advance. The Company has a fixed inventory of featured listing and display advertising in each market, and price is generally determined through a competitive auction process that reflects local market demand. Revenues for these arrangements are recognized over-time, generally during a month-to-month subscription period as the products are provided.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service contracts that the Company assesses are not probable of collection is not recognized until the contract is completed and payment is received. Collectability is reassessed when there is a significant change in facts or circumstances. The assessment of collectability considers whether the Company may limit its exposure to credit risk through its right to stop transferring additional service in the event the customer is delinquent.</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Weedmaps for Business and other SaaS subscriptions include the Company's WM Pages subscription package as well as subscriptions to the Company's other SaaS products. The WM Pages subscription package includes access to WM Listings, WM Orders, WM Store, WM Connectors and WM Insights. Additional SaaS subscriptions include WM CRM, WM Dispatch and WM Screens. These subscriptions are typically monthly in nature. Featured and deal listings include the Featured Listings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222885"/>
                <wp:effectExtent l="0" t="0" r="0" b="0"/>
                <wp:wrapNone/>
                <wp:docPr id="17" name="Frame17"/>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WM Deals products. Other ad solutions include certain advertising products on and off the Weedmaps marketplace, including WM AdSuite. For a description of these solutions, see the "Business and Organization" section.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disaggregated net revenues information (in thousands):</w:t>
      </w:r>
    </w:p>
    <w:tbl>
      <w:tblPr>
        <w:tblW w:w="6909" w:type="dxa"/>
        <w:jc w:val="left"/>
        <w:tblInd w:w="0" w:type="dxa"/>
        <w:tblCellMar>
          <w:top w:w="28" w:type="dxa"/>
          <w:left w:w="28" w:type="dxa"/>
          <w:bottom w:w="28" w:type="dxa"/>
          <w:right w:w="28" w:type="dxa"/>
        </w:tblCellMar>
      </w:tblPr>
      <w:tblGrid>
        <w:gridCol w:w="1476"/>
        <w:gridCol w:w="1298"/>
        <w:gridCol w:w="1306"/>
        <w:gridCol w:w="243"/>
        <w:gridCol w:w="833"/>
        <w:gridCol w:w="125"/>
        <w:gridCol w:w="125"/>
        <w:gridCol w:w="125"/>
        <w:gridCol w:w="125"/>
        <w:gridCol w:w="243"/>
        <w:gridCol w:w="833"/>
        <w:gridCol w:w="177"/>
      </w:tblGrid>
      <w:tr>
        <w:trPr/>
        <w:tc>
          <w:tcPr>
            <w:tcW w:w="1476" w:type="dxa"/>
            <w:tcBorders/>
            <w:shd w:fill="auto" w:val="clear"/>
            <w:vAlign w:val="center"/>
          </w:tcPr>
          <w:p>
            <w:pPr>
              <w:pStyle w:val="TableContents"/>
              <w:spacing w:before="0" w:after="283"/>
              <w:rPr>
                <w:sz w:val="4"/>
                <w:szCs w:val="4"/>
              </w:rPr>
            </w:pPr>
            <w:r>
              <w:rPr>
                <w:sz w:val="4"/>
                <w:szCs w:val="4"/>
              </w:rPr>
            </w:r>
          </w:p>
        </w:tc>
        <w:tc>
          <w:tcPr>
            <w:tcW w:w="1298"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1628" w:type="dxa"/>
            <w:gridSpan w:val="6"/>
            <w:tcBorders/>
            <w:shd w:fill="auto" w:val="clea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Weedmaps for Business and other SaaS solutions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Featured and deal listings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ad solutions</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Deferred revenue primarily consists of billings or payments received in advance of revenue recognition from subscription offerings, as described above, and is recognized as the revenue recognition criteria are met. Deferred revenue balance as of March 31, 2023 and December 31, 2022 were $6.4 million and $6.3 million, respectively, and the balance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revenues during the periods presented were recognized over time, as opposed to at a point in time.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U.S. and foreign revenues (in thousands):</w:t>
      </w:r>
    </w:p>
    <w:tbl>
      <w:tblPr>
        <w:tblW w:w="4344" w:type="dxa"/>
        <w:jc w:val="left"/>
        <w:tblInd w:w="0" w:type="dxa"/>
        <w:tblCellMar>
          <w:top w:w="28" w:type="dxa"/>
          <w:left w:w="28" w:type="dxa"/>
          <w:bottom w:w="28" w:type="dxa"/>
          <w:right w:w="28" w:type="dxa"/>
        </w:tblCellMar>
      </w:tblPr>
      <w:tblGrid>
        <w:gridCol w:w="548"/>
        <w:gridCol w:w="483"/>
        <w:gridCol w:w="484"/>
        <w:gridCol w:w="243"/>
        <w:gridCol w:w="833"/>
        <w:gridCol w:w="125"/>
        <w:gridCol w:w="125"/>
        <w:gridCol w:w="125"/>
        <w:gridCol w:w="125"/>
        <w:gridCol w:w="243"/>
        <w:gridCol w:w="833"/>
        <w:gridCol w:w="177"/>
      </w:tblGrid>
      <w:tr>
        <w:trPr/>
        <w:tc>
          <w:tcPr>
            <w:tcW w:w="548"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515"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1628" w:type="dxa"/>
            <w:gridSpan w:val="6"/>
            <w:tcBorders/>
            <w:shd w:fill="auto" w:val="clear"/>
          </w:tcPr>
          <w:p>
            <w:pPr>
              <w:pStyle w:val="TableContents"/>
              <w:spacing w:before="0" w:after="283"/>
              <w:rPr>
                <w:sz w:val="4"/>
                <w:szCs w:val="4"/>
              </w:rPr>
            </w:pPr>
            <w:r>
              <w:rPr>
                <w:sz w:val="4"/>
                <w:szCs w:val="4"/>
              </w:rPr>
            </w:r>
          </w:p>
        </w:tc>
      </w:tr>
      <w:tr>
        <w:trPr/>
        <w:tc>
          <w:tcPr>
            <w:tcW w:w="1515"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revenues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57,436 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revenues</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48,007 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Revenues (Exclusive of Depreciation and Amortization)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cost of revenue primarily consists of web hosting, internet service costs, credit card processing costs and inventory costs related to multi-media offerings.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Product Development Costs</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costs include salaries and benefits for employees, including engineering and technical teams who are responsible for building new products, as well as maintaining and improving existing products. Product development costs that do not meet the criteria for capitalization are expensed as incurred.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Advertising</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expenses the cost of advertising in the period incurred. Advertising expense totaled $1.0 million and $4.9 million for the three months ended March 31, 2023 and 2022, respectively, and are included in sales and marketing expense in the accompanying condensed consolidated statements of operations.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The expected volatility is based on the historical volatility and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222885"/>
                <wp:effectExtent l="0" t="0" r="0" b="0"/>
                <wp:wrapNone/>
                <wp:docPr id="18" name="Frame18"/>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implied volatilities for comparable companies, the expected life of the award is based on the simplified method. When awards include a performance condition that impacts the vesting of the award, the Company records compensation cost when it becomes probable that the performance condition will be met and the expense will be attributed over the performance period.</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non-employee stock-based transactions using the fair value of the consideration received (i.e., the value of the goods or services) or the fair value of the equity instruments issued, whichever is more reliably measurable.</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Employee Benefit Plan</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401(k) saving plan is a tax-qualified deferred compensation arrangement under Section 401(k) of the Internal Revenue Code. Under the 401(k) Plan, participating U.S. employees may contribute a portion of their eligible earnings, subject to applicable U.S. Internal Revenue Service and plan limits. The Company matches up to 3.5% of the employee’s eligible compensation, vested upon two years of service. For the three months ended March 31, 2023 and 2022, the Company recognized $0.6 million of expenses in each period related to employer contributions for the 401(k) saving plan.</w:t>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consists primarily of change in fair value of warrant liability and tax receivable agreement liability remeasurement. Other expense, net consists primarily of political contributions, interest expense, financing fees and other tax related expenses.</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asset and liability method of accounting for income taxes under ASC 740 - Income Taxes. Under the guidance, deferred tax assets and liabilities are recognized for the future tax consequences of (i) temporary differences between the financial statement carrying amounts and the tax basis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assesses whether it is “more-likely-than-not” that it will realize its deferred tax assets. The Company establishes a valuation allowance when available evidence indicates that it is more-likely-than-not that the deferred tax asset will not be realized. In assessing the need for a valuation allowance, the Company considers the amounts and timing of expected future deductions or carry forwards and sources of taxable income that may enable utilization. This includes an analysis of the Company’s current financial position, results of operations for the current and prior years and all currently available information about future years. This assessment and estimates require significant management judgment. The Company maintains an existing valuation allowance until enough positive evidence exists to support its reversal. Change in the amount or timing of expected future deductions or taxable income may have a material impact on the level of income tax valuation allowances.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weight of all available evidence, both positive and negative, the Company determined during the fourth quarter of 2022 that a full valuation allowance was required against its net deferred tax assets. Management assessed the available positive and negative evidence to estimate whether sufficient future taxable income will be generated to permit use of the existing deferred tax assets. Significant pieces of negative evidence evaluated were the book operating loss incurred during the year ended December 31, 2022 and lowered forecasts. Payment under the tax receivable agreement liability was not probable resulting from the full valuation allowance and accordingly, substantially all of the tax receivable agreement liability was reversed. As of March 31, 2023 and December 31, 2022, tax receivable agreement liability $0.6 million and $0.5 million, respectively.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valuation allowances and tax law developments.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222885"/>
                <wp:effectExtent l="0" t="0" r="0" b="0"/>
                <wp:wrapNone/>
                <wp:docPr id="19" name="Frame19"/>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WMH LLC will generally be required from time to time to make pro rata distributions in cash to the Company and the other holders of WMH Units at certain assumed tax rates in amounts that are intended to be sufficient to cover the taxes on the Company’s and the other WMH equity holders’ respective allocable shares of the taxable income of WMH LLC</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the Company recorded zero income tax provision due to the impact of the full valuation allowance on its net deferred assets. For the three months ended March 31, 2022, the Company recorded an income tax benefit of 1.7 million and the income tax benefit was the result of the tax benefit of the Company's pro rata share of losses and tax credits flowing through from WM Holding LLC. The effective tax rates differ from the federal statutory rate of 21% primarily due to the impact of valuation allowances, warrant valuations, non-controlling interests represented by the portion of the flow-through income not subject to tax, permanent stock-based compensation and state taxes.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operate in one business segment.</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Earnings (Loss) Per Share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 is computed by dividing net income (loss) attributable to WM Technology, Inc. by the weighted-average number of shares of Class A Common Stock outstanding during the period.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Potential common shares are excluded from the calculation of diluted EPS in the event they are antidilutive or subject to performance conditions for which the necessary conditions have not been satisfied by the end of the reporting period. See Note 12 for additional information on dilutive securities.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As of March 31, 2023, the Company had cash balances that exceeded the FDIC limit with four financial institutions. Management believes that the risk of loss is not significant and has not experienced any losses in such accounts.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Repayments of insurance premium financing in the amount of $3.1 million for the three months ended March 31, 2022 was previously classified on the condensed consolidated statements of cash flows under operating activities. The Company reclassified the repayments to financing activities in accordance with ASC 230 - Statement of Cash Flows. There is no impact to the total cash flow activities from this reclassification.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222885"/>
                <wp:effectExtent l="0" t="0" r="0" b="0"/>
                <wp:wrapNone/>
                <wp:docPr id="20" name="Frame20"/>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240" w:after="283"/>
        <w:jc w:val="both"/>
        <w:rPr>
          <w:rFonts w:ascii="Times New Roman;sans-serif" w:hAnsi="Times New Roman;sans-serif"/>
          <w:b/>
          <w:color w:val="000000"/>
          <w:sz w:val="20"/>
          <w:highlight w:val="white"/>
        </w:rPr>
      </w:pPr>
      <w:r>
        <w:rPr>
          <w:rFonts w:ascii="Times New Roman;sans-serif" w:hAnsi="Times New Roman;sans-serif"/>
          <w:b/>
          <w:color w:val="000000"/>
          <w:sz w:val="20"/>
          <w:highlight w:val="white"/>
        </w:rPr>
        <w:t>3.    Commitments and Contingencies</w:t>
      </w:r>
    </w:p>
    <w:p>
      <w:pPr>
        <w:pStyle w:val="TextBody"/>
        <w:spacing w:lineRule="auto" w:line="288" w:before="120" w:after="283"/>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Litigation</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pStyle w:val="TextBody"/>
        <w:spacing w:before="120" w:after="283"/>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Employee Termination Costs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2022, the Company approved plans to reduce the workforce based on cost-reduction initiatives intended to reduce operating expenses and sharpen the Company’s focus on key growth priorities. The Company also incurred termination costs related to the departures of the Company’s former executives.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roll forward of employee termination costs: </w:t>
      </w:r>
    </w:p>
    <w:tbl>
      <w:tblPr>
        <w:tblW w:w="8622" w:type="dxa"/>
        <w:jc w:val="left"/>
        <w:tblInd w:w="0" w:type="dxa"/>
        <w:tblCellMar>
          <w:top w:w="28" w:type="dxa"/>
          <w:left w:w="28" w:type="dxa"/>
          <w:bottom w:w="28" w:type="dxa"/>
          <w:right w:w="28" w:type="dxa"/>
        </w:tblCellMar>
      </w:tblPr>
      <w:tblGrid>
        <w:gridCol w:w="1809"/>
        <w:gridCol w:w="1588"/>
        <w:gridCol w:w="1598"/>
        <w:gridCol w:w="109"/>
        <w:gridCol w:w="109"/>
        <w:gridCol w:w="109"/>
        <w:gridCol w:w="710"/>
        <w:gridCol w:w="2072"/>
        <w:gridCol w:w="518"/>
      </w:tblGrid>
      <w:tr>
        <w:trPr/>
        <w:tc>
          <w:tcPr>
            <w:tcW w:w="1809"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2072"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r>
      <w:tr>
        <w:trPr/>
        <w:tc>
          <w:tcPr>
            <w:tcW w:w="49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r>
      <w:tr>
        <w:trPr/>
        <w:tc>
          <w:tcPr>
            <w:tcW w:w="4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employee termination costs,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3,646 </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termination costs - severance and other cash costs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5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w:t>
            </w:r>
          </w:p>
        </w:tc>
        <w:tc>
          <w:tcPr>
            <w:tcW w:w="5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employee termination costs,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5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unpaid employee termination costs are included in accounts payable and accrued expenses on the condensed consolidated balance sheets. Employee termination costs are included in general and administrative expenses on the condensed consolidated statements of operations.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liabilities that are measured at fair value on a recurring basis at March 31, 2023 and December 31, 2022, and indicates the fair value hierarchy of the valuation inputs the Company utilized to determine such fair value (in thousands):</w:t>
      </w:r>
    </w:p>
    <w:p>
      <w:pPr>
        <w:pStyle w:val="TextBody"/>
        <w:spacing w:before="0" w:after="0"/>
        <w:jc w:val="both"/>
        <w:rPr/>
      </w:pPr>
      <w:r>
        <w:rPr/>
      </w:r>
    </w:p>
    <w:tbl>
      <w:tblPr>
        <w:tblW w:w="8659" w:type="dxa"/>
        <w:jc w:val="left"/>
        <w:tblInd w:w="0" w:type="dxa"/>
        <w:tblCellMar>
          <w:top w:w="28" w:type="dxa"/>
          <w:left w:w="28" w:type="dxa"/>
          <w:bottom w:w="28" w:type="dxa"/>
          <w:right w:w="28" w:type="dxa"/>
        </w:tblCellMar>
      </w:tblPr>
      <w:tblGrid>
        <w:gridCol w:w="1406"/>
        <w:gridCol w:w="1237"/>
        <w:gridCol w:w="1241"/>
        <w:gridCol w:w="109"/>
        <w:gridCol w:w="109"/>
        <w:gridCol w:w="109"/>
        <w:gridCol w:w="195"/>
        <w:gridCol w:w="195"/>
        <w:gridCol w:w="196"/>
        <w:gridCol w:w="109"/>
        <w:gridCol w:w="109"/>
        <w:gridCol w:w="109"/>
        <w:gridCol w:w="324"/>
        <w:gridCol w:w="948"/>
        <w:gridCol w:w="167"/>
        <w:gridCol w:w="109"/>
        <w:gridCol w:w="109"/>
        <w:gridCol w:w="109"/>
        <w:gridCol w:w="380"/>
        <w:gridCol w:w="1110"/>
        <w:gridCol w:w="279"/>
      </w:tblGrid>
      <w:tr>
        <w:trPr/>
        <w:tc>
          <w:tcPr>
            <w:tcW w:w="1406"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8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 Public Warrants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 liability – Private Placement Warrants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 liability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changes in the fair value of the warrant liabilities (in thousands):</w:t>
      </w:r>
    </w:p>
    <w:tbl>
      <w:tblPr>
        <w:tblW w:w="10539" w:type="dxa"/>
        <w:jc w:val="left"/>
        <w:tblInd w:w="0" w:type="dxa"/>
        <w:tblCellMar>
          <w:top w:w="28" w:type="dxa"/>
          <w:left w:w="28" w:type="dxa"/>
          <w:bottom w:w="28" w:type="dxa"/>
          <w:right w:w="28" w:type="dxa"/>
        </w:tblCellMar>
      </w:tblPr>
      <w:tblGrid>
        <w:gridCol w:w="1424"/>
        <w:gridCol w:w="1221"/>
        <w:gridCol w:w="1232"/>
        <w:gridCol w:w="109"/>
        <w:gridCol w:w="109"/>
        <w:gridCol w:w="109"/>
        <w:gridCol w:w="332"/>
        <w:gridCol w:w="972"/>
        <w:gridCol w:w="171"/>
        <w:gridCol w:w="109"/>
        <w:gridCol w:w="109"/>
        <w:gridCol w:w="109"/>
        <w:gridCol w:w="653"/>
        <w:gridCol w:w="1444"/>
        <w:gridCol w:w="339"/>
        <w:gridCol w:w="109"/>
        <w:gridCol w:w="109"/>
        <w:gridCol w:w="109"/>
        <w:gridCol w:w="378"/>
        <w:gridCol w:w="1108"/>
        <w:gridCol w:w="284"/>
      </w:tblGrid>
      <w:tr>
        <w:trPr/>
        <w:tc>
          <w:tcPr>
            <w:tcW w:w="1424"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1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53" w:type="dxa"/>
            <w:tcBorders/>
            <w:shd w:fill="auto" w:val="clear"/>
            <w:vAlign w:val="center"/>
          </w:tcPr>
          <w:p>
            <w:pPr>
              <w:pStyle w:val="TableContents"/>
              <w:spacing w:before="0" w:after="283"/>
              <w:rPr>
                <w:sz w:val="4"/>
                <w:szCs w:val="4"/>
              </w:rPr>
            </w:pPr>
            <w:r>
              <w:rPr>
                <w:sz w:val="4"/>
                <w:szCs w:val="4"/>
              </w:rPr>
            </w:r>
          </w:p>
        </w:tc>
        <w:tc>
          <w:tcPr>
            <w:tcW w:w="144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38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2023</w:t>
            </w:r>
          </w:p>
        </w:tc>
      </w:tr>
      <w:tr>
        <w:trPr/>
        <w:tc>
          <w:tcPr>
            <w:tcW w:w="38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Public Warrants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Private Placement Warrants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Warrant Liabilities</w:t>
            </w:r>
          </w:p>
        </w:tc>
      </w:tr>
      <w:tr>
        <w:trPr/>
        <w:tc>
          <w:tcPr>
            <w:tcW w:w="38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2,090 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4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r>
        <w:trPr/>
        <w:tc>
          <w:tcPr>
            <w:tcW w:w="38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inputs or other assumptions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3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both"/>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222885"/>
                <wp:effectExtent l="0" t="0" r="0" b="0"/>
                <wp:wrapNone/>
                <wp:docPr id="21" name="Frame21"/>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tbl>
      <w:tblPr>
        <w:tblW w:w="10539" w:type="dxa"/>
        <w:jc w:val="left"/>
        <w:tblInd w:w="0" w:type="dxa"/>
        <w:tblCellMar>
          <w:top w:w="28" w:type="dxa"/>
          <w:left w:w="28" w:type="dxa"/>
          <w:bottom w:w="28" w:type="dxa"/>
          <w:right w:w="28" w:type="dxa"/>
        </w:tblCellMar>
      </w:tblPr>
      <w:tblGrid>
        <w:gridCol w:w="1422"/>
        <w:gridCol w:w="1218"/>
        <w:gridCol w:w="1230"/>
        <w:gridCol w:w="109"/>
        <w:gridCol w:w="109"/>
        <w:gridCol w:w="109"/>
        <w:gridCol w:w="300"/>
        <w:gridCol w:w="1027"/>
        <w:gridCol w:w="154"/>
        <w:gridCol w:w="109"/>
        <w:gridCol w:w="109"/>
        <w:gridCol w:w="109"/>
        <w:gridCol w:w="494"/>
        <w:gridCol w:w="1688"/>
        <w:gridCol w:w="254"/>
        <w:gridCol w:w="109"/>
        <w:gridCol w:w="109"/>
        <w:gridCol w:w="109"/>
        <w:gridCol w:w="342"/>
        <w:gridCol w:w="1173"/>
        <w:gridCol w:w="256"/>
      </w:tblGrid>
      <w:tr>
        <w:trPr/>
        <w:tc>
          <w:tcPr>
            <w:tcW w:w="1422"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688"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 2022</w:t>
            </w:r>
          </w:p>
        </w:tc>
      </w:tr>
      <w:tr>
        <w:trPr/>
        <w:tc>
          <w:tcPr>
            <w:tcW w:w="3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Public Warrants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Private Placement Warrants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Warrant Liabilities</w:t>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beginning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10,710 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27,460 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inputs or other assumptions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7,469 </w:t>
            </w:r>
          </w:p>
        </w:tc>
        <w:tc>
          <w:tcPr>
            <w:tcW w:w="2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18,219 </w:t>
            </w:r>
          </w:p>
        </w:tc>
        <w:tc>
          <w:tcPr>
            <w:tcW w:w="2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18,179 </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45,679 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Public Warrants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fair value of the Public Warrants, based on the publicly listed trading price of such warrants as of the valuation date. Accordingly, the Public Warrants are classified as Level 1 financial instruments. The fair value of the Public Warrants was $0.9 million and $1.3 million as of March 31, 2023 and December 31, 2022, respectively.</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Private Placement Warrants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Private Placement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quantitative information regarding Level 3 fair value measurements inputs at their measurement dates:</w:t>
      </w:r>
    </w:p>
    <w:tbl>
      <w:tblPr>
        <w:tblW w:w="5706" w:type="dxa"/>
        <w:jc w:val="left"/>
        <w:tblInd w:w="0" w:type="dxa"/>
        <w:tblCellMar>
          <w:top w:w="28" w:type="dxa"/>
          <w:left w:w="28" w:type="dxa"/>
          <w:bottom w:w="28" w:type="dxa"/>
          <w:right w:w="28" w:type="dxa"/>
        </w:tblCellMar>
      </w:tblPr>
      <w:tblGrid>
        <w:gridCol w:w="669"/>
        <w:gridCol w:w="587"/>
        <w:gridCol w:w="588"/>
        <w:gridCol w:w="109"/>
        <w:gridCol w:w="109"/>
        <w:gridCol w:w="109"/>
        <w:gridCol w:w="276"/>
        <w:gridCol w:w="808"/>
        <w:gridCol w:w="355"/>
        <w:gridCol w:w="109"/>
        <w:gridCol w:w="109"/>
        <w:gridCol w:w="109"/>
        <w:gridCol w:w="326"/>
        <w:gridCol w:w="954"/>
        <w:gridCol w:w="489"/>
      </w:tblGrid>
      <w:tr>
        <w:trPr/>
        <w:tc>
          <w:tcPr>
            <w:tcW w:w="66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0.85 </w:t>
            </w:r>
          </w:p>
        </w:tc>
        <w:tc>
          <w:tcPr>
            <w:tcW w:w="3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4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4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r>
      <w:tr>
        <w:trPr/>
        <w:tc>
          <w:tcPr>
            <w:tcW w:w="18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3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48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changes in the volatility would result in a significant lower or higher fair value measurement, respectively.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Private Placement Warrants was $0.5 million and $0.8 million as of March 31, 2023 and December 31, 2022, respectively.</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The Warrants were accounted for as liabilities in accordance with ASC 815 - </w:t>
      </w:r>
      <w:r>
        <w:rPr>
          <w:rFonts w:ascii="Times New Roman;sans-serif" w:hAnsi="Times New Roman;sans-serif"/>
          <w:b w:val="false"/>
          <w:i/>
          <w:color w:val="000000"/>
          <w:sz w:val="20"/>
        </w:rPr>
        <w:t xml:space="preserve">Derivatives and Hedging </w:t>
      </w:r>
      <w:r>
        <w:rPr>
          <w:rFonts w:ascii="Times New Roman;sans-serif" w:hAnsi="Times New Roman;sans-serif"/>
          <w:b w:val="false"/>
          <w:color w:val="000000"/>
          <w:sz w:val="20"/>
        </w:rPr>
        <w:t>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operations.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 or out of Level 3 from other levels in the fair value hierarchy.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5.     Acquisitions</w:t>
      </w:r>
    </w:p>
    <w:p>
      <w:pPr>
        <w:pStyle w:val="TextBody"/>
        <w:spacing w:lineRule="auto" w:line="288"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Eyechronic</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14, 2022, the Company acquired all the equity interests of Eyechronic LLC (“Eyechronic”) d/b/a Enlighten and rebranded as WM Screens, a Delaware limited liability company and a provider of software, digital signage services and multi-media offerings to dispensaries and brands, for total consideration of approximately $29.4 million. The Company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222885"/>
                <wp:effectExtent l="0" t="0" r="0" b="0"/>
                <wp:wrapNone/>
                <wp:docPr id="22" name="Frame22"/>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0" w:after="120"/>
        <w:jc w:val="both"/>
        <w:rPr/>
      </w:pPr>
      <w:r>
        <w:rPr>
          <w:rFonts w:ascii="Times New Roman;sans-serif" w:hAnsi="Times New Roman;sans-serif"/>
          <w:b w:val="false"/>
          <w:color w:val="000000"/>
          <w:sz w:val="20"/>
        </w:rPr>
        <w:t xml:space="preserve">accounted for the Eyechronic acquisition as an acquisition of a business under ASC 805, </w:t>
      </w:r>
      <w:r>
        <w:rPr>
          <w:rFonts w:ascii="Times New Roman;sans-serif" w:hAnsi="Times New Roman;sans-serif"/>
          <w:b w:val="false"/>
          <w:i/>
          <w:color w:val="000000"/>
          <w:sz w:val="20"/>
        </w:rPr>
        <w:t xml:space="preserve">Business Combinations </w:t>
      </w:r>
      <w:r>
        <w:rPr>
          <w:rFonts w:ascii="Times New Roman;sans-serif" w:hAnsi="Times New Roman;sans-serif"/>
          <w:b w:val="false"/>
          <w:color w:val="000000"/>
          <w:sz w:val="20"/>
        </w:rPr>
        <w:t>(“ASC 805”). The acquired assets and liabilities of Eyechronic were recorded at their acquisition date fair values.</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consideration and the estimated fair value of assets acquired (in thousands):</w:t>
      </w:r>
    </w:p>
    <w:tbl>
      <w:tblPr>
        <w:tblW w:w="3873" w:type="dxa"/>
        <w:jc w:val="left"/>
        <w:tblInd w:w="0" w:type="dxa"/>
        <w:tblCellMar>
          <w:top w:w="28" w:type="dxa"/>
          <w:left w:w="28" w:type="dxa"/>
          <w:bottom w:w="28" w:type="dxa"/>
          <w:right w:w="28" w:type="dxa"/>
        </w:tblCellMar>
      </w:tblPr>
      <w:tblGrid>
        <w:gridCol w:w="890"/>
        <w:gridCol w:w="784"/>
        <w:gridCol w:w="786"/>
        <w:gridCol w:w="109"/>
        <w:gridCol w:w="109"/>
        <w:gridCol w:w="109"/>
        <w:gridCol w:w="211"/>
        <w:gridCol w:w="721"/>
        <w:gridCol w:w="154"/>
      </w:tblGrid>
      <w:tr>
        <w:trPr/>
        <w:tc>
          <w:tcPr>
            <w:tcW w:w="890"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Consideration Transferred: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Cash consideration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Share consideration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w:t>
      </w:r>
    </w:p>
    <w:p>
      <w:pPr>
        <w:pStyle w:val="TextBody"/>
        <w:spacing w:lineRule="auto" w:line="26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(1)Includes $0.2 million settlement of pre-existing accounts payable with Eyechronic and holdback of $0.1 million recorded within other current liabilities on the Company’s condensed consolidated balance sheets. </w:t>
      </w:r>
    </w:p>
    <w:p>
      <w:pPr>
        <w:pStyle w:val="TextBody"/>
        <w:spacing w:lineRule="auto" w:line="26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(2)The fair value of share consideration was calculated based on 5,399,553 shares of Class A common stock multiplied by the share price on the closing date of $5.32. This includes 677,847 of holdback shares to be issued subject to customary indemnification obligations.</w:t>
      </w:r>
    </w:p>
    <w:p>
      <w:pPr>
        <w:pStyle w:val="TextBody"/>
        <w:spacing w:before="0" w:after="0"/>
        <w:jc w:val="both"/>
        <w:rPr/>
      </w:pPr>
      <w:r>
        <w:rPr/>
      </w:r>
    </w:p>
    <w:tbl>
      <w:tblPr>
        <w:tblW w:w="5897" w:type="dxa"/>
        <w:jc w:val="center"/>
        <w:tblInd w:w="0" w:type="dxa"/>
        <w:tblCellMar>
          <w:top w:w="28" w:type="dxa"/>
          <w:left w:w="28" w:type="dxa"/>
          <w:bottom w:w="28" w:type="dxa"/>
          <w:right w:w="28" w:type="dxa"/>
        </w:tblCellMar>
      </w:tblPr>
      <w:tblGrid>
        <w:gridCol w:w="1625"/>
        <w:gridCol w:w="1425"/>
        <w:gridCol w:w="1434"/>
        <w:gridCol w:w="109"/>
        <w:gridCol w:w="109"/>
        <w:gridCol w:w="109"/>
        <w:gridCol w:w="211"/>
        <w:gridCol w:w="721"/>
        <w:gridCol w:w="154"/>
      </w:tblGrid>
      <w:tr>
        <w:trPr/>
        <w:tc>
          <w:tcPr>
            <w:tcW w:w="1625" w:type="dxa"/>
            <w:tcBorders/>
            <w:shd w:fill="auto" w:val="clear"/>
            <w:vAlign w:val="center"/>
          </w:tcPr>
          <w:p>
            <w:pPr>
              <w:pStyle w:val="TableContents"/>
              <w:spacing w:before="0" w:after="283"/>
              <w:rPr>
                <w:sz w:val="4"/>
                <w:szCs w:val="4"/>
              </w:rPr>
            </w:pPr>
            <w:r>
              <w:rPr>
                <w:sz w:val="4"/>
                <w:szCs w:val="4"/>
              </w:rPr>
            </w:r>
          </w:p>
        </w:tc>
        <w:tc>
          <w:tcPr>
            <w:tcW w:w="1425" w:type="dxa"/>
            <w:tcBorders/>
            <w:shd w:fill="auto" w:val="clear"/>
            <w:vAlign w:val="center"/>
          </w:tcPr>
          <w:p>
            <w:pPr>
              <w:pStyle w:val="TableContents"/>
              <w:spacing w:before="0" w:after="283"/>
              <w:rPr>
                <w:sz w:val="4"/>
                <w:szCs w:val="4"/>
              </w:rPr>
            </w:pPr>
            <w:r>
              <w:rPr>
                <w:sz w:val="4"/>
                <w:szCs w:val="4"/>
              </w:rPr>
            </w:r>
          </w:p>
        </w:tc>
        <w:tc>
          <w:tcPr>
            <w:tcW w:w="14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Estimated Assets Acquired and Liabilities Assumed: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Order Backlog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assets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color w:val="000000"/>
        </w:rPr>
      </w:pPr>
      <w:r>
        <w:rPr>
          <w:color w:val="000000"/>
        </w:rPr>
        <w:t>    </w:t>
      </w:r>
    </w:p>
    <w:p>
      <w:pPr>
        <w:pStyle w:val="TextBody"/>
        <w:spacing w:lineRule="auto" w:line="276"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acquisitions, 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values of the trade name and software technology intangible assets are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these assets. Owning these intangible assets means that the underlying entity wouldn’t have to pay for the privilege of deploying those assets. Therefore, a portion of the acquired entity’s earnings, equal to the after-tax royalty that would have been paid for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222885"/>
                <wp:effectExtent l="0" t="0" r="0" b="0"/>
                <wp:wrapNone/>
                <wp:docPr id="23" name="Frame23"/>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use of the assets, can be attributed to the firm’s ownership. The fair values of the customer relationships and customer backlog assets were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6.     Intangible Assets</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 March 31, 2023 and December 31, 2022 (in thousands):</w:t>
      </w:r>
    </w:p>
    <w:tbl>
      <w:tblPr>
        <w:tblW w:w="10539" w:type="dxa"/>
        <w:jc w:val="center"/>
        <w:tblInd w:w="0" w:type="dxa"/>
        <w:tblCellMar>
          <w:top w:w="28" w:type="dxa"/>
          <w:left w:w="28" w:type="dxa"/>
          <w:bottom w:w="28" w:type="dxa"/>
          <w:right w:w="28" w:type="dxa"/>
        </w:tblCellMar>
      </w:tblPr>
      <w:tblGrid>
        <w:gridCol w:w="741"/>
        <w:gridCol w:w="481"/>
        <w:gridCol w:w="485"/>
        <w:gridCol w:w="948"/>
        <w:gridCol w:w="948"/>
        <w:gridCol w:w="950"/>
        <w:gridCol w:w="109"/>
        <w:gridCol w:w="109"/>
        <w:gridCol w:w="109"/>
        <w:gridCol w:w="326"/>
        <w:gridCol w:w="1115"/>
        <w:gridCol w:w="168"/>
        <w:gridCol w:w="109"/>
        <w:gridCol w:w="109"/>
        <w:gridCol w:w="109"/>
        <w:gridCol w:w="374"/>
        <w:gridCol w:w="1312"/>
        <w:gridCol w:w="196"/>
        <w:gridCol w:w="109"/>
        <w:gridCol w:w="109"/>
        <w:gridCol w:w="109"/>
        <w:gridCol w:w="323"/>
        <w:gridCol w:w="947"/>
        <w:gridCol w:w="244"/>
      </w:tblGrid>
      <w:tr>
        <w:trPr/>
        <w:tc>
          <w:tcPr>
            <w:tcW w:w="74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2"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Amortization Period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Intangible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Intangible Assets</w:t>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domain names</w:t>
            </w:r>
          </w:p>
        </w:tc>
        <w:tc>
          <w:tcPr>
            <w:tcW w:w="28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technology</w:t>
            </w:r>
          </w:p>
        </w:tc>
        <w:tc>
          <w:tcPr>
            <w:tcW w:w="28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8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Order backlog</w:t>
            </w:r>
          </w:p>
        </w:tc>
        <w:tc>
          <w:tcPr>
            <w:tcW w:w="28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8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9,784 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539" w:type="dxa"/>
        <w:jc w:val="center"/>
        <w:tblInd w:w="0" w:type="dxa"/>
        <w:tblCellMar>
          <w:top w:w="28" w:type="dxa"/>
          <w:left w:w="28" w:type="dxa"/>
          <w:bottom w:w="28" w:type="dxa"/>
          <w:right w:w="28" w:type="dxa"/>
        </w:tblCellMar>
      </w:tblPr>
      <w:tblGrid>
        <w:gridCol w:w="741"/>
        <w:gridCol w:w="479"/>
        <w:gridCol w:w="483"/>
        <w:gridCol w:w="943"/>
        <w:gridCol w:w="943"/>
        <w:gridCol w:w="945"/>
        <w:gridCol w:w="109"/>
        <w:gridCol w:w="109"/>
        <w:gridCol w:w="109"/>
        <w:gridCol w:w="325"/>
        <w:gridCol w:w="1112"/>
        <w:gridCol w:w="167"/>
        <w:gridCol w:w="109"/>
        <w:gridCol w:w="109"/>
        <w:gridCol w:w="109"/>
        <w:gridCol w:w="373"/>
        <w:gridCol w:w="1309"/>
        <w:gridCol w:w="195"/>
        <w:gridCol w:w="109"/>
        <w:gridCol w:w="109"/>
        <w:gridCol w:w="109"/>
        <w:gridCol w:w="298"/>
        <w:gridCol w:w="1019"/>
        <w:gridCol w:w="226"/>
      </w:tblGrid>
      <w:tr>
        <w:trPr/>
        <w:tc>
          <w:tcPr>
            <w:tcW w:w="741"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1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3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Amortization Period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Intangible Assets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Intangible Assets</w:t>
            </w:r>
          </w:p>
        </w:tc>
      </w:tr>
      <w:tr>
        <w:trPr/>
        <w:tc>
          <w:tcPr>
            <w:tcW w:w="1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domain names</w:t>
            </w:r>
          </w:p>
        </w:tc>
        <w:tc>
          <w:tcPr>
            <w:tcW w:w="28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 technology</w:t>
            </w:r>
          </w:p>
        </w:tc>
        <w:tc>
          <w:tcPr>
            <w:tcW w:w="28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(4,413)</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28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5,211 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4,290 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Order backlog</w:t>
            </w:r>
          </w:p>
        </w:tc>
        <w:tc>
          <w:tcPr>
            <w:tcW w:w="28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28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20,572 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(10,233)</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center"/>
        <w:rPr/>
      </w:pPr>
      <w:r>
        <w:rPr/>
      </w:r>
    </w:p>
    <w:p>
      <w:pPr>
        <w:pStyle w:val="TextBody"/>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intangible assets was $0.6 million for the three months ended March 31, 2023 and 2022. </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future amortization expense of intangible assets as of March 31, 2023 is as follows (in thousands): </w:t>
      </w:r>
    </w:p>
    <w:p>
      <w:pPr>
        <w:pStyle w:val="TextBody"/>
        <w:spacing w:before="0" w:after="0"/>
        <w:ind w:left="0" w:right="0" w:firstLine="720"/>
        <w:rPr/>
      </w:pPr>
      <w:r>
        <w:rPr/>
      </w:r>
    </w:p>
    <w:tbl>
      <w:tblPr>
        <w:tblW w:w="4743" w:type="dxa"/>
        <w:jc w:val="center"/>
        <w:tblInd w:w="0" w:type="dxa"/>
        <w:tblCellMar>
          <w:top w:w="28" w:type="dxa"/>
          <w:left w:w="28" w:type="dxa"/>
          <w:bottom w:w="28" w:type="dxa"/>
          <w:right w:w="28" w:type="dxa"/>
        </w:tblCellMar>
      </w:tblPr>
      <w:tblGrid>
        <w:gridCol w:w="1245"/>
        <w:gridCol w:w="1093"/>
        <w:gridCol w:w="1097"/>
        <w:gridCol w:w="109"/>
        <w:gridCol w:w="109"/>
        <w:gridCol w:w="109"/>
        <w:gridCol w:w="211"/>
        <w:gridCol w:w="616"/>
        <w:gridCol w:w="154"/>
      </w:tblGrid>
      <w:tr>
        <w:trPr/>
        <w:tc>
          <w:tcPr>
            <w:tcW w:w="1245"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period in 2023 (nine months)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 ended December 31, 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222885"/>
                <wp:effectExtent l="0" t="0" r="0" b="0"/>
                <wp:wrapNone/>
                <wp:docPr id="24" name="Frame24"/>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7.     Prepaid Expenses and Other Current Assets</w:t>
      </w:r>
    </w:p>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as of March 31, 2023 and December 31, 2022 consisted of the following (in thousands):</w:t>
      </w:r>
    </w:p>
    <w:tbl>
      <w:tblPr>
        <w:tblW w:w="7807" w:type="dxa"/>
        <w:jc w:val="center"/>
        <w:tblInd w:w="0" w:type="dxa"/>
        <w:tblCellMar>
          <w:top w:w="28" w:type="dxa"/>
          <w:left w:w="28" w:type="dxa"/>
          <w:bottom w:w="28" w:type="dxa"/>
          <w:right w:w="28" w:type="dxa"/>
        </w:tblCellMar>
      </w:tblPr>
      <w:tblGrid>
        <w:gridCol w:w="1428"/>
        <w:gridCol w:w="1256"/>
        <w:gridCol w:w="1261"/>
        <w:gridCol w:w="109"/>
        <w:gridCol w:w="109"/>
        <w:gridCol w:w="109"/>
        <w:gridCol w:w="324"/>
        <w:gridCol w:w="948"/>
        <w:gridCol w:w="167"/>
        <w:gridCol w:w="109"/>
        <w:gridCol w:w="109"/>
        <w:gridCol w:w="109"/>
        <w:gridCol w:w="380"/>
        <w:gridCol w:w="1110"/>
        <w:gridCol w:w="279"/>
      </w:tblGrid>
      <w:tr>
        <w:trPr/>
        <w:tc>
          <w:tcPr>
            <w:tcW w:w="1428"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39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8,962 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540"/>
        <w:jc w:val="both"/>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capitalizes implementation costs incurred in cloud computing arrangements that are service contracts if they meet certain requirements. Those requirements are similar to the requirements for capitalizing implementation costs incurred to develop internal-use software. Amortization is computed using the straight-line method over the term of the associated hosting arrangement. These implementation costs are classified on the balance sheet in prepaid and other current assets, and the related cash flows are presented as cash outflows from operations. Impairment is recognized and measured when it is no longer probable that the computer software project will be completed and placed in service.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8.     Accounts Payable and Accrued Expenses</w:t>
      </w:r>
    </w:p>
    <w:p>
      <w:pPr>
        <w:pStyle w:val="TextBody"/>
        <w:spacing w:lineRule="auto" w:line="288" w:before="24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as of March 31, 2023 and December 31, 2022 consisted of the following (in thousands):</w:t>
      </w:r>
    </w:p>
    <w:tbl>
      <w:tblPr>
        <w:tblW w:w="6279" w:type="dxa"/>
        <w:jc w:val="center"/>
        <w:tblInd w:w="0" w:type="dxa"/>
        <w:tblCellMar>
          <w:top w:w="28" w:type="dxa"/>
          <w:left w:w="28" w:type="dxa"/>
          <w:bottom w:w="28" w:type="dxa"/>
          <w:right w:w="28" w:type="dxa"/>
        </w:tblCellMar>
      </w:tblPr>
      <w:tblGrid>
        <w:gridCol w:w="874"/>
        <w:gridCol w:w="769"/>
        <w:gridCol w:w="772"/>
        <w:gridCol w:w="109"/>
        <w:gridCol w:w="109"/>
        <w:gridCol w:w="109"/>
        <w:gridCol w:w="292"/>
        <w:gridCol w:w="998"/>
        <w:gridCol w:w="150"/>
        <w:gridCol w:w="109"/>
        <w:gridCol w:w="109"/>
        <w:gridCol w:w="109"/>
        <w:gridCol w:w="344"/>
        <w:gridCol w:w="1175"/>
        <w:gridCol w:w="251"/>
      </w:tblGrid>
      <w:tr>
        <w:trPr/>
        <w:tc>
          <w:tcPr>
            <w:tcW w:w="87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2,731 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19,047 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24,074 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33,635 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accrued employee expenses included unpaid employee termination cost of $1.5 million and $3.6 million, respectively. See Note 3 for additional information. Accrued employee expenses also included accrued bonuses of $11.0 million and $9.9 million as of March 31, 2023 and December 31, 2022, respectively, related to certain employment agreements entered into in connection with prior acquisitions.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9.     Warrant Liability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there were 12,499,973 Public Warrants outstanding and 7,000,000 Private Placement Warrants outstanding.</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Simultaneously with Silver Spike’s initial public offering, Silver Spike consummated a private placement of 7,000,000 Private Placement Warrants with Silver Spike’s sponsor (“Silver Spike Sponsor”). Each Private Placement Warrant is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222885"/>
                <wp:effectExtent l="0" t="0" r="0" b="0"/>
                <wp:wrapNone/>
                <wp:docPr id="25" name="Frame25"/>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exercise its redemption right even if it is unable to register or qualify the underlying securities for sale under all applicable state securities laws.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concluded the Public Warrants and Private Placement Warrants, or the Warrants, meet the definition of a derivative under ASC 815- Derivatives and Hedging (as described in Note 2) and are recorded as liabilities. Upon the Closing, the fair value of the Warrants was recorded on the balance sheet. The fair value of the Warrants are remeasured as of each balance sheet date, which resulted in a non-cash gain of $0.7 million and non-cash loss of $18.2 million on the condensed consolidated statements of operations for the three months ended March 31, 2023 and 2022, respectively.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10.     Equity</w:t>
      </w:r>
    </w:p>
    <w:p>
      <w:pPr>
        <w:pStyle w:val="TextBody"/>
        <w:spacing w:before="0" w:after="0"/>
        <w:rPr/>
      </w:pPr>
      <w:r>
        <w:rPr/>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Class A Common Stock</w:t>
      </w:r>
    </w:p>
    <w:p>
      <w:pPr>
        <w:pStyle w:val="TextBody"/>
        <w:spacing w:lineRule="auto" w:line="268" w:before="0" w:after="120"/>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Voting Rights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pStyle w:val="TextBody"/>
        <w:spacing w:lineRule="auto" w:line="268" w:before="0" w:after="120"/>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Dividend Rights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pStyle w:val="TextBody"/>
        <w:spacing w:lineRule="auto" w:line="276" w:before="0" w:after="120"/>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Rights upon Liquidation, Dissolution and Winding-Up</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any voluntary or involuntary liquidation, dissolution or winding up of our affairs, the holders of the shares of Class A Common Stock are entitled to share ratably in all assets remaining after payment of the Company’s debts and other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222885"/>
                <wp:effectExtent l="0" t="0" r="0" b="0"/>
                <wp:wrapNone/>
                <wp:docPr id="26" name="Frame26"/>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liabilities, subject to prior distribution rights of preferred stock or any class or series of stock having a preference over the shares of Class A Common Stock, then outstanding, if any.</w:t>
      </w:r>
    </w:p>
    <w:p>
      <w:pPr>
        <w:pStyle w:val="TextBody"/>
        <w:spacing w:lineRule="auto" w:line="268" w:before="0" w:after="120"/>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Preemptive or Other Rights</w:t>
      </w:r>
    </w:p>
    <w:p>
      <w:pPr>
        <w:pStyle w:val="TextBody"/>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pStyle w:val="TextBody"/>
        <w:spacing w:before="0" w:after="0"/>
        <w:ind w:left="0" w:right="0" w:firstLine="720"/>
        <w:jc w:val="both"/>
        <w:rPr/>
      </w:pPr>
      <w:r>
        <w:rPr/>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Class V Common Stock</w:t>
      </w:r>
    </w:p>
    <w:p>
      <w:pPr>
        <w:pStyle w:val="TextBody"/>
        <w:spacing w:lineRule="auto" w:line="288" w:before="0" w:after="12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Voting Rights</w:t>
      </w:r>
    </w:p>
    <w:p>
      <w:pPr>
        <w:pStyle w:val="TextBody"/>
        <w:spacing w:lineRule="auto" w:line="26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pStyle w:val="TextBody"/>
        <w:spacing w:lineRule="auto" w:line="268" w:before="0" w:after="120"/>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Dividend Rights</w:t>
      </w:r>
    </w:p>
    <w:p>
      <w:pPr>
        <w:pStyle w:val="TextBody"/>
        <w:spacing w:lineRule="auto" w:line="276"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the Class V Common Stock will not participate in any dividends declared by the Company’s board of directors.</w:t>
      </w:r>
    </w:p>
    <w:p>
      <w:pPr>
        <w:pStyle w:val="TextBody"/>
        <w:spacing w:lineRule="auto" w:line="276" w:before="0" w:after="120"/>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Rights upon Liquidation, Dissolution and Winding-Up</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any voluntary or involuntary liquidation, dissolution or winding up of our affairs, the holders of Class V Common Stock are not entitled to receive any of the Company’s assets.</w:t>
      </w:r>
    </w:p>
    <w:p>
      <w:pPr>
        <w:pStyle w:val="TextBody"/>
        <w:spacing w:lineRule="auto" w:line="268" w:before="0" w:after="120"/>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Preemptive or Other Rights</w:t>
      </w:r>
    </w:p>
    <w:p>
      <w:pPr>
        <w:pStyle w:val="TextBody"/>
        <w:spacing w:lineRule="auto" w:line="26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Class V Common Stock do not have preemptive, subscription, redemption or conversion rights. There will be no redemption or sinking fund provisions applicable to the Class V Common Stock.</w:t>
      </w:r>
    </w:p>
    <w:p>
      <w:pPr>
        <w:pStyle w:val="TextBody"/>
        <w:spacing w:lineRule="auto" w:line="268" w:before="0" w:after="120"/>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Issuance and Retirement of Class V Common Stock</w:t>
      </w:r>
    </w:p>
    <w:p>
      <w:pPr>
        <w:pStyle w:val="TextBody"/>
        <w:spacing w:lineRule="auto" w:line="26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pStyle w:val="TextBody"/>
        <w:spacing w:before="0" w:after="0"/>
        <w:ind w:left="0" w:right="0" w:firstLine="720"/>
        <w:jc w:val="both"/>
        <w:rPr/>
      </w:pPr>
      <w:r>
        <w:rPr/>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March 31, 2023, there were no shares of preferred stock issued or outstanding.</w:t>
      </w:r>
    </w:p>
    <w:p>
      <w:pPr>
        <w:pStyle w:val="TextBody"/>
        <w:spacing w:before="0" w:after="0"/>
        <w:rPr/>
      </w:pPr>
      <w:r>
        <w:rPr/>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noncontrolling interest represents the Units held by holders other than the Company. As of March 31, 2023, the noncontrolling interests owned 38.1%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222885"/>
                <wp:effectExtent l="0" t="0" r="0" b="0"/>
                <wp:wrapNone/>
                <wp:docPr id="27" name="Frame27"/>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11.     Stock-based Compensation</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WM Holding Company, LLC Equity Incentive Plan</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The Company has accounted for the issuance of Class A-3 and Class B Units issued under WM Holding Company, LLC’s Equity Incentive Plan in accordance with ASC 718 - </w:t>
      </w:r>
      <w:r>
        <w:rPr>
          <w:rFonts w:ascii="Times New Roman;sans-serif" w:hAnsi="Times New Roman;sans-serif"/>
          <w:b w:val="false"/>
          <w:i/>
          <w:color w:val="000000"/>
          <w:sz w:val="20"/>
        </w:rPr>
        <w:t>Stock Based Compensation</w:t>
      </w:r>
      <w:r>
        <w:rPr>
          <w:rFonts w:ascii="Times New Roman;sans-serif" w:hAnsi="Times New Roman;sans-serif"/>
          <w:b w:val="false"/>
          <w:color w:val="000000"/>
          <w:sz w:val="20"/>
        </w:rPr>
        <w:t xml:space="preserve">. The Company considers the limitation on the exercisability of the Class A-3 and Class B Units to be a performance condition and records compensation cost when it becomes probable that the performance condition will be met.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Class P Unit activity for the three months ended March 31, 2023 is as follows:</w:t>
      </w:r>
    </w:p>
    <w:tbl>
      <w:tblPr>
        <w:tblW w:w="5943" w:type="dxa"/>
        <w:jc w:val="left"/>
        <w:tblInd w:w="0" w:type="dxa"/>
        <w:tblCellMar>
          <w:top w:w="28" w:type="dxa"/>
          <w:left w:w="28" w:type="dxa"/>
          <w:bottom w:w="28" w:type="dxa"/>
          <w:right w:w="28" w:type="dxa"/>
        </w:tblCellMar>
      </w:tblPr>
      <w:tblGrid>
        <w:gridCol w:w="1413"/>
        <w:gridCol w:w="1240"/>
        <w:gridCol w:w="1247"/>
        <w:gridCol w:w="109"/>
        <w:gridCol w:w="109"/>
        <w:gridCol w:w="109"/>
        <w:gridCol w:w="540"/>
        <w:gridCol w:w="541"/>
        <w:gridCol w:w="635"/>
      </w:tblGrid>
      <w:tr>
        <w:trPr/>
        <w:tc>
          <w:tcPr>
            <w:tcW w:w="1413"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r>
      <w:tr>
        <w:trPr/>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Units</w:t>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Class P Units,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15,125,429 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(25,567)</w:t>
            </w:r>
          </w:p>
        </w:tc>
        <w:tc>
          <w:tcPr>
            <w:tcW w:w="6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Exchanged for Class A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w:t>
            </w:r>
          </w:p>
        </w:tc>
        <w:tc>
          <w:tcPr>
            <w:tcW w:w="6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Class P Units,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15,024,862 </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14,791,675</w:t>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unrecognized stock-based compensation expense for non-vested Class P Units was $0.6 million, which is expected to be recognized over a weighted-average period of 1.5 years. For the three months ended March 31, 2023 and 2022, the Company recorded stock-based compensation expense for the Class P Units of $0.3 million and $0.7 million, respectively. </w:t>
      </w:r>
    </w:p>
    <w:p>
      <w:pPr>
        <w:pStyle w:val="TextBody"/>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WM Technology, Inc. Equity Incentive Plan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March 31, 2023, 33,146,412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March 31, 2023, 22,446,927 shares of Class A Common Stock are available for future issuance.</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222885"/>
                <wp:effectExtent l="0" t="0" r="0" b="0"/>
                <wp:wrapNone/>
                <wp:docPr id="28" name="Frame28"/>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restricted stock unit (“RSU”) activity for the three months ended March 31, 2023 is as follows:</w:t>
      </w:r>
    </w:p>
    <w:tbl>
      <w:tblPr>
        <w:tblW w:w="8677" w:type="dxa"/>
        <w:jc w:val="left"/>
        <w:tblInd w:w="0" w:type="dxa"/>
        <w:tblCellMar>
          <w:top w:w="28" w:type="dxa"/>
          <w:left w:w="28" w:type="dxa"/>
          <w:bottom w:w="28" w:type="dxa"/>
          <w:right w:w="28" w:type="dxa"/>
        </w:tblCellMar>
      </w:tblPr>
      <w:tblGrid>
        <w:gridCol w:w="1038"/>
        <w:gridCol w:w="912"/>
        <w:gridCol w:w="914"/>
        <w:gridCol w:w="109"/>
        <w:gridCol w:w="109"/>
        <w:gridCol w:w="109"/>
        <w:gridCol w:w="499"/>
        <w:gridCol w:w="499"/>
        <w:gridCol w:w="501"/>
        <w:gridCol w:w="109"/>
        <w:gridCol w:w="109"/>
        <w:gridCol w:w="109"/>
        <w:gridCol w:w="881"/>
        <w:gridCol w:w="2135"/>
        <w:gridCol w:w="644"/>
      </w:tblGrid>
      <w:tr>
        <w:trPr/>
        <w:tc>
          <w:tcPr>
            <w:tcW w:w="1038" w:type="dxa"/>
            <w:tcBorders/>
            <w:shd w:fill="auto" w:val="clear"/>
            <w:vAlign w:val="center"/>
          </w:tcPr>
          <w:p>
            <w:pPr>
              <w:pStyle w:val="TableContents"/>
              <w:spacing w:before="0" w:after="283"/>
              <w:rPr>
                <w:sz w:val="4"/>
                <w:szCs w:val="4"/>
              </w:rPr>
            </w:pPr>
            <w:r>
              <w:rPr>
                <w:sz w:val="4"/>
                <w:szCs w:val="4"/>
              </w:rPr>
            </w:r>
          </w:p>
        </w:tc>
        <w:tc>
          <w:tcPr>
            <w:tcW w:w="912" w:type="dxa"/>
            <w:tcBorders/>
            <w:shd w:fill="auto" w:val="clear"/>
            <w:vAlign w:val="center"/>
          </w:tcPr>
          <w:p>
            <w:pPr>
              <w:pStyle w:val="TableContents"/>
              <w:spacing w:before="0" w:after="283"/>
              <w:rPr>
                <w:sz w:val="4"/>
                <w:szCs w:val="4"/>
              </w:rPr>
            </w:pPr>
            <w:r>
              <w:rPr>
                <w:sz w:val="4"/>
                <w:szCs w:val="4"/>
              </w:rPr>
            </w:r>
          </w:p>
        </w:tc>
        <w:tc>
          <w:tcPr>
            <w:tcW w:w="9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2135"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w:t>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6,269,868 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573,553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6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(478,097)</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6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(455,860)</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8.36 </w:t>
            </w:r>
          </w:p>
        </w:tc>
        <w:tc>
          <w:tcPr>
            <w:tcW w:w="6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5,909,464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6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unrecognized stock-based compensation expense for non-vested RSUs was $34.2 million, which is expected to be recognized over a weighted-average period of 2.4 years. For the three months ended March 31, 2023 and 2022, the Company recorded stock-based compensation expense for the RSUs of $4.0 million and $5.0 million, respectively.</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5, 2023, the compensation committee of the Company’s board of directors granted the Company’s Executive Chair, Douglas Francis, an award of 481,927 RSU with an approximate value of $800,000, based on the average closing price of the Company’s Class A common stock for the 90-day period prior to the grant date (the “RSU Grant”), in recognition of his leadership of the Company’s executive team since August 2022. The shares subject to the RSU Grant will vest in two equal quarterly increments on May 15, 2023 and August 15, 2023, subject to Mr. Francis’ continuous service (as defined in the 2021 Plan (as defined above) or award agreement) on each such vesting date. On May 8, 2023, Mr. Francis declined the RSU Grant and the RSUs were forfeited.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grants performance-based restricted stock units (“PRSUs”) with performance and service-based vesting conditions. The level of achievement of such goals may cause the actual number of units that ultimately vest to range from 0% to 200% of the original units granted. The Company recognizes expense ratably over the vesting period for the PRSUs when it is probable that the performance criteria specified will be achieved. The fair value is equal to the market price of the Company’s common stock on the date of grant.</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activities occurred during the three months ended March 31, 2023 related to the PRSUs. The number of non-vested PRSUs as of March 31, 2023 was 859,375 and weighted average grant date fair value was $6.40.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probability of attainment as of March 31, 2023, the unrecognized stock-based compensation expense for non-vested PRSUs was $0.3 million, which is expected to be recognized over a period of 0.8 years. For the three months ended March 31, 2023 and 2022, the Company recorded stock-based compensation expense for the PRSUs of $0.1 million and $1.9 million, respectively.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stock-based compensation cost related to the Class P Units, RSUs and PRSUs in the following expense categories on the accompanying condensed consolidated statements of operations (in thousands):</w:t>
      </w:r>
    </w:p>
    <w:tbl>
      <w:tblPr>
        <w:tblW w:w="6594" w:type="dxa"/>
        <w:jc w:val="left"/>
        <w:tblInd w:w="0" w:type="dxa"/>
        <w:tblCellMar>
          <w:top w:w="28" w:type="dxa"/>
          <w:left w:w="28" w:type="dxa"/>
          <w:bottom w:w="28" w:type="dxa"/>
          <w:right w:w="28" w:type="dxa"/>
        </w:tblCellMar>
      </w:tblPr>
      <w:tblGrid>
        <w:gridCol w:w="1360"/>
        <w:gridCol w:w="1198"/>
        <w:gridCol w:w="1206"/>
        <w:gridCol w:w="266"/>
        <w:gridCol w:w="778"/>
        <w:gridCol w:w="137"/>
        <w:gridCol w:w="137"/>
        <w:gridCol w:w="137"/>
        <w:gridCol w:w="137"/>
        <w:gridCol w:w="266"/>
        <w:gridCol w:w="778"/>
        <w:gridCol w:w="194"/>
      </w:tblGrid>
      <w:tr>
        <w:trPr/>
        <w:tc>
          <w:tcPr>
            <w:tcW w:w="1360" w:type="dxa"/>
            <w:tcBorders/>
            <w:shd w:fill="auto" w:val="clear"/>
            <w:vAlign w:val="center"/>
          </w:tcPr>
          <w:p>
            <w:pPr>
              <w:pStyle w:val="TableContents"/>
              <w:spacing w:before="0" w:after="283"/>
              <w:rPr>
                <w:sz w:val="4"/>
                <w:szCs w:val="4"/>
              </w:rPr>
            </w:pPr>
            <w:r>
              <w:rPr>
                <w:sz w:val="4"/>
                <w:szCs w:val="4"/>
              </w:rPr>
            </w:r>
          </w:p>
        </w:tc>
        <w:tc>
          <w:tcPr>
            <w:tcW w:w="1198"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7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1,412 </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4,294 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capitalized to software development</w:t>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cost</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7,927 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12.     Earnings Per Share</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222885"/>
                <wp:effectExtent l="0" t="0" r="0" b="0"/>
                <wp:wrapNone/>
                <wp:docPr id="29" name="Frame29"/>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computation of loss per share attributable to WM Technology, Inc. and weighted-average shares of the Company’s Class A Common Stock outstanding are as follows for the three months ended March 31, 2023 and 2022 (amounts in thousands, except for share and per share amounts):</w:t>
      </w:r>
    </w:p>
    <w:tbl>
      <w:tblPr>
        <w:tblW w:w="10136" w:type="dxa"/>
        <w:jc w:val="left"/>
        <w:tblInd w:w="0" w:type="dxa"/>
        <w:tblCellMar>
          <w:top w:w="28" w:type="dxa"/>
          <w:left w:w="28" w:type="dxa"/>
          <w:bottom w:w="28" w:type="dxa"/>
          <w:right w:w="28" w:type="dxa"/>
        </w:tblCellMar>
      </w:tblPr>
      <w:tblGrid>
        <w:gridCol w:w="2645"/>
        <w:gridCol w:w="2319"/>
        <w:gridCol w:w="2341"/>
        <w:gridCol w:w="239"/>
        <w:gridCol w:w="784"/>
        <w:gridCol w:w="123"/>
        <w:gridCol w:w="123"/>
        <w:gridCol w:w="123"/>
        <w:gridCol w:w="123"/>
        <w:gridCol w:w="239"/>
        <w:gridCol w:w="903"/>
        <w:gridCol w:w="174"/>
      </w:tblGrid>
      <w:tr>
        <w:trPr/>
        <w:tc>
          <w:tcPr>
            <w:tcW w:w="2645" w:type="dxa"/>
            <w:tcBorders/>
            <w:shd w:fill="auto" w:val="clear"/>
            <w:vAlign w:val="center"/>
          </w:tcPr>
          <w:p>
            <w:pPr>
              <w:pStyle w:val="TableContents"/>
              <w:spacing w:before="0" w:after="283"/>
              <w:rPr>
                <w:sz w:val="4"/>
                <w:szCs w:val="4"/>
              </w:rPr>
            </w:pPr>
            <w:r>
              <w:rPr>
                <w:sz w:val="4"/>
                <w:szCs w:val="4"/>
              </w:rPr>
            </w:r>
          </w:p>
        </w:tc>
        <w:tc>
          <w:tcPr>
            <w:tcW w:w="2319" w:type="dxa"/>
            <w:tcBorders/>
            <w:shd w:fill="auto" w:val="clear"/>
            <w:vAlign w:val="center"/>
          </w:tcPr>
          <w:p>
            <w:pPr>
              <w:pStyle w:val="TableContents"/>
              <w:spacing w:before="0" w:after="283"/>
              <w:rPr>
                <w:sz w:val="4"/>
                <w:szCs w:val="4"/>
              </w:rPr>
            </w:pPr>
            <w:r>
              <w:rPr>
                <w:sz w:val="4"/>
                <w:szCs w:val="4"/>
              </w:rPr>
            </w:r>
          </w:p>
        </w:tc>
        <w:tc>
          <w:tcPr>
            <w:tcW w:w="2341"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3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(31,233)</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loss attributable to noncontrolling interests</w:t>
            </w:r>
          </w:p>
        </w:tc>
        <w:tc>
          <w:tcPr>
            <w:tcW w:w="102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(17,340)</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WM Technology, Inc. Class A Common Stock - basic and diluted</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(13,893)</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of shares of Class A Common Stock outstanding - basic and diluted</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92,323,757</w:t>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72,450,204</w:t>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73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Class A Common Stock - basic and diluted</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730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excluded the following securities from its computation of diluted shares outstanding for the periods presented, as their effect would have been anti-dilutive:</w:t>
      </w:r>
    </w:p>
    <w:tbl>
      <w:tblPr>
        <w:tblW w:w="6221" w:type="dxa"/>
        <w:jc w:val="left"/>
        <w:tblInd w:w="0" w:type="dxa"/>
        <w:tblCellMar>
          <w:top w:w="28" w:type="dxa"/>
          <w:left w:w="28" w:type="dxa"/>
          <w:bottom w:w="28" w:type="dxa"/>
          <w:right w:w="28" w:type="dxa"/>
        </w:tblCellMar>
      </w:tblPr>
      <w:tblGrid>
        <w:gridCol w:w="878"/>
        <w:gridCol w:w="774"/>
        <w:gridCol w:w="778"/>
        <w:gridCol w:w="780"/>
        <w:gridCol w:w="301"/>
        <w:gridCol w:w="301"/>
        <w:gridCol w:w="301"/>
        <w:gridCol w:w="301"/>
        <w:gridCol w:w="301"/>
        <w:gridCol w:w="780"/>
        <w:gridCol w:w="301"/>
        <w:gridCol w:w="425"/>
      </w:tblGrid>
      <w:tr>
        <w:trPr/>
        <w:tc>
          <w:tcPr>
            <w:tcW w:w="878"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24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Units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55,486,361 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61,206,773 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P Units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15,024,862 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16,249,030 </w:t>
            </w:r>
          </w:p>
        </w:tc>
        <w:tc>
          <w:tcPr>
            <w:tcW w:w="4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5,909,464 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10,229,846 </w:t>
            </w:r>
          </w:p>
        </w:tc>
        <w:tc>
          <w:tcPr>
            <w:tcW w:w="4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859,375 </w:t>
            </w:r>
          </w:p>
        </w:tc>
        <w:tc>
          <w:tcPr>
            <w:tcW w:w="3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2,437,500 </w:t>
            </w:r>
          </w:p>
        </w:tc>
        <w:tc>
          <w:tcPr>
            <w:tcW w:w="4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12,499,973 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12,499,973 </w:t>
            </w:r>
          </w:p>
        </w:tc>
        <w:tc>
          <w:tcPr>
            <w:tcW w:w="4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w:t>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7,000,000 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7,000,000 </w:t>
            </w:r>
          </w:p>
        </w:tc>
        <w:tc>
          <w:tcPr>
            <w:tcW w:w="4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holdback shares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677,847 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677,847 </w:t>
            </w:r>
          </w:p>
        </w:tc>
        <w:tc>
          <w:tcPr>
            <w:tcW w:w="4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13.     Related Party Transactions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2022, the Company entered into a sublease agreement with an affiliate to a member of the board of directors. The sublease commenced on June 1, 2022, and the term is for the remainder of the original lease and will expire on February 28, 2025, or sooner in the event that the original lease is cancelled prior to the expiration date. The monthly base rent, after the rent abatement period for the first four months, is $69,000. As of March 31, 2023, the security deposit for the sublease of approximately $0.1 million is included in other long-term liabilities on the accompanying condensed balance sheets. As of March 31, 2023 and December 31, 2022, rent receivable was $0.3 million and $0.1 million, respectively, and these amounts are included in accounts receivable, net on the accompanying condensed balance sheets. For the three months ended March 31, 2023, income on the sublease with related party were $0.2 million and this amount is netted with rent expense and included in general and administrative expenses on the accompanying condensed statements of operations.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the Company paid certain transaction costs reimbursable by Silver Spike’s sponsor (“Silver Spike Sponsor”), an affiliate to a member of the board of directors. On March 16, 2023, Silver Spike Holdings, an affiliate of Silver Spike Sponsor, entered into a promissory note with the Company and agreed to pay the principal amount in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222885"/>
                <wp:effectExtent l="0" t="0" r="0" b="0"/>
                <wp:wrapNone/>
                <wp:docPr id="30" name="Frame30"/>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WM TECHNOLOGY, INC. AND SUBSIDIARIES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spacing w:lineRule="auto" w:line="288" w:before="0" w:after="0"/>
        <w:jc w:val="center"/>
        <w:rPr/>
      </w:pPr>
      <w:r>
        <w:rPr>
          <w:rFonts w:ascii="Times New Roman;sans-serif" w:hAnsi="Times New Roman;sans-serif"/>
          <w:b/>
          <w:color w:val="000000"/>
          <w:sz w:val="20"/>
        </w:rPr>
        <w:t>(</w:t>
      </w:r>
      <w:r>
        <w:rPr>
          <w:rFonts w:ascii="Times New Roman;sans-serif" w:hAnsi="Times New Roman;sans-serif"/>
          <w:b w:val="false"/>
          <w:color w:val="000000"/>
          <w:sz w:val="20"/>
        </w:rPr>
        <w:t>Unaudited</w:t>
      </w:r>
      <w:r>
        <w:rPr>
          <w:rFonts w:ascii="Times New Roman;sans-serif" w:hAnsi="Times New Roman;sans-serif"/>
          <w:b/>
          <w:color w:val="000000"/>
          <w:sz w:val="20"/>
        </w:rPr>
        <w: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12 equal quarterly installments commencing on March 31, 2023. The promissory note will bear interest at a rate of 5% per annum commencing on March 31, 2023. In an event of default, the outstanding principal amount shall bear interest for the entire period during which the principal balance is unpaid at a rate which is equal to 10% per annum. As of March 31, 2023 and December 31, 2022, the outstanding balance of the note receivable was $1.0 million and $1.1 million, respectively. As of March 31, 2023, $0.4 million of the note receivable was included in prepaid expenses and other current assets and the other $0.6 million was included in other assets on the accompanying condensed balance sheets. As of December 31, 2022, $1.1 million of related party note receivable was included in other assets on the accompanying condensed balance sheets.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222885"/>
                <wp:effectExtent l="0" t="0" r="0" b="0"/>
                <wp:wrapNone/>
                <wp:docPr id="31" name="Frame31"/>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12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together with our condensed consolidated financial statements and the related notes to those statements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included elsewhere herein and in our Annual Report on Form 10-K for the year ended December 31,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June 16, 2021, WM Holding Company, LLC (when referred to in its pre-Business Combination capacity, “Legacy WMH” and following the Business Combination, “WMH LLC”) completed its previously announced business combination (the “Business Combination”) with Silver Spike Acquisition Corp (“Silver Spike”). In connection with the closing, Silver Spike changed its name to WM Technology, Inc. As used in this Quarterly Report on Form 10-Q, unless the context requires otherwise, references to the “Company,” “we,” “us,” and “our,” and similar references refer to WM Technology, Inc, and its subsidiaries following the Business Combination and to Legacy WMH prior to the Business Combination.</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U.S. states, U.S. territories and Canadian legalized cannabis markets. Our comprehensive business-to-consumer (“B2C”) and business-to-business (“B2B”) suite of products afford cannabis retailers and brands of all sizes integrated tools to compliantly run their businesses and to reach, convert, and retain consumers.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primarily consists of our commerce-driven marketplace (“Weedmaps”), and our fully integrated suite of end-to-end Software-as-a-Service (“SaaS”) solutions software offering (“Weedmaps for Business”). The Weedmaps marketplace provides cannabis consumers with information regarding cannabis retailers and brands. In addition, the Weedmaps marketplace aggregates data from a variety of sources including retailer point-of-sale solutions to provide consumers with the ability to browse by strain, price, cannabinoids and other information regarding locally available cannabis products, through our website and mobile apps. The marketplace provides consumers with product discovery, access to deals and discounts, and reservation of products for pickup by consumers or delivery to consumers by participating retailers (retailers complete orders and process payments outside of the Weedmaps marketplace as Weedmaps serves only as a portal, passing a consumer’s inquiry to the dispensary). The marketplace also provides education and learning information to help newer consumers learn about the types of products to purchase. We believe the size, loyalty and engagement of our user base and the frequency of consumption of cannabis of our user base is highly valuable to our clients and results in clients, mainly cannabis retailers, brands, paying for access to our marketplace and other tools that streamline front and back-end operations and help manage compliance needs. These tools support cannabis businesses at every stage in the consumer funnel, enabling them to:</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Strategically reach prospective cannabis consumers;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Manage pickup, delivery and inventory in compliance with local regulations;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Help improve the customer experience by creating online browsing and ordering functionality on a brand or retailer (including delivery) operator’s website and by extending that functionality in-store with kiosks;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Foster customer loyalty and re-engage with segments of consumers;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Leverage the Weedmaps for Business products in conjunction with any other preferred software solutions via integrations and application programming interfaces (“APIs”); and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Make informed marketing and merchandising decisions using performance analytics and consumer and brand insights to promote products to specific consumer groups.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222885"/>
                <wp:effectExtent l="0" t="0" r="0" b="0"/>
                <wp:wrapNone/>
                <wp:docPr id="32" name="Frame32"/>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before="120" w:after="120"/>
        <w:jc w:val="center"/>
        <w:rPr/>
      </w:pPr>
      <w:r>
        <w:rPr/>
        <w:drawing>
          <wp:inline distT="0" distB="63500" distL="0" distR="0">
            <wp:extent cx="5943600" cy="1781175"/>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2"/>
                    <a:stretch>
                      <a:fillRect/>
                    </a:stretch>
                  </pic:blipFill>
                  <pic:spPr bwMode="auto">
                    <a:xfrm>
                      <a:off x="0" y="0"/>
                      <a:ext cx="5943600" cy="1781175"/>
                    </a:xfrm>
                    <a:prstGeom prst="rect">
                      <a:avLst/>
                    </a:prstGeom>
                  </pic:spPr>
                </pic:pic>
              </a:graphicData>
            </a:graphic>
          </wp:inline>
        </w:drawing>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With the development of Weedmaps for Business, we offer an end-to-end platform for licensed cannabis retailers to comply with state law. We sell a monthly subscription offering to retailer and brand clients as well as upsell and add-on offerings to licensed clients. Our current subscription package includes: </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WM Listings: A listing page with product menu for a retailer or brand on the Weedmaps marketplace, enabling our clients to be discovered by the marketplace’s users. This also allows clients to disclose their license information, hours of operation, contact information, discount policies and other information that may be required under applicable state law;</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WM Orders: Software for retailers to receive pickup and delivery orders directly from a Weedmaps listing and connect orders directly with a client’s POS system (for certain POS systems). The marketplace also enables brands to route customer purchase interest to a retailer that carries the brand’s product. After a dispensary receives the order request from the consumer, the dispensary and the consumer can continue to communicate, adjust items in the request, and handle any stock issues, prior to and while the dispensary processes and fulfills the order;</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WM Store: Customizable online store which allows retailers and brands to import their Weedmaps listing menu or product reservation functionality to their own white-labeled WM Store website or separately owned website. WM Store facilitates customer pickup or delivery orders and enables retailers to reach more customers by bringing the breadth of the Weedmaps marketplace to a client’s own website;</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WM Connectors: A centralized integration platform, including API tools, for easier menu management, automatic inventory updates and streamlined order fulfillment to enable clients to save time and more easily integrate into the WM Technology ecosystem and integrate with disparate software systems. This creates business efficiencies and improves the accuracy and timeliness of information across Weedmaps, creating a more positive experience for consumers and businesses; and</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WM Insights: An insights and analytics platform for clients leveraging data across the Weedmaps marketplace and software solutions. WM Insights provides data and analytics on user engagement and traffic trends to a client’s listing page. For Brand clients, WM Insights allows them to monitor their brand and product rankings, identify retailers not carrying products and keep track of top brands and products by category and state.</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also offer other add-on products for additional fees, including:</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WM Ads: Ad solutions on the Weedmaps marketplace designed for clients to amplify their businesses and reach more highly engaged cannabis consumers throughout their buying journey including:</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Featured Listings: Premium placement ad solutions on high visibility locations on the Weedmaps marketplace (desktop and mobile) to amplify our clients’ businesses and maximize clients’ listings and deal presence. </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WM Deals: Discount and promotion pricing tools that let clients strategically reach prospective price-conscious cannabis customers with deals or discounts to drive conversion. In some jurisdictions, it is required by applicable law to showcase discounts.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Other WM Ads solutions: Includes banner ads and promotion tiles on the Company’s marketplace as well as banner ads that can be tied to keyword searches. These products provide clients with targeted ad solutions in highly visible slots across the Company’s digital surfaces.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 xml:space="preserve">WM AdSuite: Omni-channel (on and off platform) marketing solution with access to the Weedmaps marketplace and cannabis-friendly off marketplace outlets including certain publishers, out-of-home units in addition to other media solutions. These campaigns leverage proprietary first-party Weedmaps data to target verified cannabis consumers.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222885"/>
                <wp:effectExtent l="0" t="0" r="0" b="0"/>
                <wp:wrapNone/>
                <wp:docPr id="34" name="Frame33"/>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WM CRM: Customer relationship management software allowing clients to reach new consumers, build loyalty, and grow revenue with our compliant app, text and marketing tools. The tools also allow for retargeting and re-engagement of cannabis consumers.</w:t>
      </w:r>
    </w:p>
    <w:p>
      <w:pPr>
        <w:pStyle w:val="TextBody"/>
        <w:spacing w:lineRule="auto" w:line="288" w:before="0" w:after="60"/>
        <w:ind w:left="0" w:right="0" w:hanging="360"/>
        <w:jc w:val="both"/>
        <w:rPr/>
      </w:pPr>
      <w:r>
        <w:rPr>
          <w:color w:val="000000"/>
        </w:rPr>
        <w:t>•</w:t>
      </w:r>
      <w:r>
        <w:rPr>
          <w:rFonts w:ascii="Times New Roman;sans-serif" w:hAnsi="Times New Roman;sans-serif"/>
          <w:b w:val="false"/>
          <w:color w:val="000000"/>
          <w:sz w:val="20"/>
        </w:rPr>
        <w:t>WM Dispatch: Compliant, automated and optimized logistics and fulfillment last-mile delivery software (including driver apps) that helps clients manage their delivery fleets. This product streamlines the delivery experience from in-store to front-door.</w:t>
      </w:r>
    </w:p>
    <w:p>
      <w:pPr>
        <w:pStyle w:val="TextBody"/>
        <w:spacing w:lineRule="auto" w:line="288" w:before="0" w:after="120"/>
        <w:ind w:left="0" w:right="0" w:hanging="360"/>
        <w:jc w:val="both"/>
        <w:rPr/>
      </w:pPr>
      <w:r>
        <w:rPr>
          <w:color w:val="000000"/>
        </w:rPr>
        <w:t>•</w:t>
      </w:r>
      <w:r>
        <w:rPr>
          <w:rFonts w:ascii="Times New Roman;sans-serif" w:hAnsi="Times New Roman;sans-serif"/>
          <w:b w:val="false"/>
          <w:color w:val="000000"/>
          <w:sz w:val="20"/>
        </w:rPr>
        <w:t xml:space="preserve">WM Screens: In-store digital menu signage and kiosk solution and media management tool enabling clients to enhance the in-store experience, impact omnichannel retail and centralize operations with revenue-driving and customizable digital signage. </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charge a monthly fee to retailer, delivery and brand clients for access to our subscription package, which includes WM Listings, WM Orders, WM Store, WM Connectors and WM Insights. Depending on the market, the other add-on products are available for additional fees.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Weedmaps for Business suite in the United States, currently offer some of our Weedmaps for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national law. As of March 31, 2023, we actively operated in over 30 U.S. states and territories that have adult-use and/or medical-use regulations in place. We define actively operated markets as those U.S. states or territories with greater than $1,000 monthly revenue.</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mission is to power a transparent and inclusive global cannabis economy. Our technology addresses the challenges facing both consumers seeking to understand cannabis products and businesses who serve cannabis users in a legally compliant fashion. Over the past 14 years, Weedmaps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to provide detailed, accurate information about cannabis. </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grown the Weedmaps marketplace to become the premier destination for cannabis consumers to discover and browse information regarding cannabis and cannabis products with 5,641 average monthly paying business clients during the three months ended March 31, 2023 on the supply-side of our marketplace. These paying clients include retailers, brands and other client types (such as doctors). Further, these clients, who can choose to purchase multiple listings solutions for each business, had purchased over 9,300 listing pages as of March 31, 2023.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Our weedmaps.com website,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website, we neither sell (or fulfill purchases of) cannabis products, nor do we process payments for cannabis transactions across our marketplace or SaaS solutions.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the presence and increase the number of consumers on the Weedmaps marketplace and broaden our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solutions to extend the functionality of our platform. These investments serve to deepen the consumer experience with our platform and continue to provide a high level of support to our business clients.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Key Operating and Financial Metrics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the following key financial and operational metrics to evaluate our business, measure our performance, identify trends affecting our business, formulate business plans, and make strategic decisions.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222885"/>
                <wp:effectExtent l="0" t="0" r="0" b="0"/>
                <wp:wrapNone/>
                <wp:docPr id="35" name="Frame34"/>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tbl>
      <w:tblPr>
        <w:tblW w:w="8892" w:type="dxa"/>
        <w:jc w:val="left"/>
        <w:tblInd w:w="0" w:type="dxa"/>
        <w:tblCellMar>
          <w:top w:w="28" w:type="dxa"/>
          <w:left w:w="28" w:type="dxa"/>
          <w:bottom w:w="28" w:type="dxa"/>
          <w:right w:w="28" w:type="dxa"/>
        </w:tblCellMar>
      </w:tblPr>
      <w:tblGrid>
        <w:gridCol w:w="1383"/>
        <w:gridCol w:w="1210"/>
        <w:gridCol w:w="1217"/>
        <w:gridCol w:w="423"/>
        <w:gridCol w:w="1451"/>
        <w:gridCol w:w="219"/>
        <w:gridCol w:w="219"/>
        <w:gridCol w:w="219"/>
        <w:gridCol w:w="219"/>
        <w:gridCol w:w="423"/>
        <w:gridCol w:w="1601"/>
        <w:gridCol w:w="308"/>
      </w:tblGrid>
      <w:tr>
        <w:trPr/>
        <w:tc>
          <w:tcPr>
            <w:tcW w:w="1383"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r>
      <w:tr>
        <w:trPr/>
        <w:tc>
          <w:tcPr>
            <w:tcW w:w="3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2"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3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8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 except for revenue per paying client)</w:t>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48,007 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57,452 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(31,233)</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88" w:before="80" w:after="283"/>
              <w:jc w:val="left"/>
              <w:rPr/>
            </w:pPr>
            <w:r>
              <w:rPr>
                <w:rFonts w:ascii="Times New Roman;sans-serif" w:hAnsi="Times New Roman;sans-serif"/>
                <w:b w:val="false"/>
                <w:color w:val="000000"/>
                <w:sz w:val="20"/>
              </w:rPr>
              <w:t>EBITDA</w:t>
            </w:r>
            <w:r>
              <w:rPr>
                <w:rFonts w:ascii="Times New Roman;sans-serif" w:hAnsi="Times New Roman;sans-serif"/>
                <w:b w:val="false"/>
                <w:color w:val="000000"/>
                <w:sz w:val="13"/>
              </w:rPr>
              <w:t>(1)</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(29,036)</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88" w:before="80" w:after="283"/>
              <w:jc w:val="left"/>
              <w:rPr/>
            </w:pPr>
            <w:r>
              <w:rPr>
                <w:rFonts w:ascii="Times New Roman;sans-serif" w:hAnsi="Times New Roman;sans-serif"/>
                <w:b w:val="false"/>
                <w:color w:val="000000"/>
                <w:sz w:val="20"/>
              </w:rPr>
              <w:t>Adjusted EBITDA</w:t>
            </w:r>
            <w:r>
              <w:rPr>
                <w:rFonts w:ascii="Times New Roman;sans-serif" w:hAnsi="Times New Roman;sans-serif"/>
                <w:b w:val="false"/>
                <w:color w:val="000000"/>
                <w:sz w:val="13"/>
              </w:rPr>
              <w:t>(1)</w:t>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spacing w:lineRule="auto" w:line="288" w:before="80" w:after="283"/>
              <w:jc w:val="left"/>
              <w:rPr/>
            </w:pPr>
            <w:r>
              <w:rPr>
                <w:rFonts w:ascii="Times New Roman;sans-serif" w:hAnsi="Times New Roman;sans-serif"/>
                <w:b w:val="false"/>
                <w:color w:val="000000"/>
                <w:sz w:val="20"/>
              </w:rPr>
              <w:t>Average monthly revenue per paying client</w:t>
            </w:r>
            <w:r>
              <w:rPr>
                <w:rFonts w:ascii="Times New Roman;sans-serif" w:hAnsi="Times New Roman;sans-serif"/>
                <w:b w:val="false"/>
                <w:color w:val="000000"/>
                <w:sz w:val="13"/>
              </w:rPr>
              <w:t>(2)</w:t>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2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spacing w:lineRule="auto" w:line="288" w:before="120" w:after="283"/>
              <w:jc w:val="left"/>
              <w:rPr/>
            </w:pPr>
            <w:r>
              <w:rPr>
                <w:rFonts w:ascii="Times New Roman;sans-serif" w:hAnsi="Times New Roman;sans-serif"/>
                <w:b w:val="false"/>
                <w:color w:val="000000"/>
                <w:sz w:val="20"/>
              </w:rPr>
              <w:t>Average monthly paying clients</w:t>
            </w:r>
            <w:r>
              <w:rPr>
                <w:rFonts w:ascii="Times New Roman;sans-serif" w:hAnsi="Times New Roman;sans-serif"/>
                <w:b w:val="false"/>
                <w:color w:val="000000"/>
                <w:sz w:val="13"/>
              </w:rPr>
              <w:t>(3)</w:t>
            </w:r>
          </w:p>
        </w:tc>
        <w:tc>
          <w:tcPr>
            <w:tcW w:w="18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5,641 </w:t>
            </w:r>
          </w:p>
        </w:tc>
        <w:tc>
          <w:tcPr>
            <w:tcW w:w="2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10" w:type="dxa"/>
            <w:gridSpan w:val="3"/>
            <w:tcBorders/>
            <w:shd w:fill="auto" w:val="clear"/>
            <w:vAlign w:val="center"/>
          </w:tcPr>
          <w:p>
            <w:pPr>
              <w:pStyle w:val="TableContents"/>
              <w:spacing w:before="0" w:after="283"/>
              <w:rPr>
                <w:sz w:val="4"/>
                <w:szCs w:val="4"/>
              </w:rPr>
            </w:pPr>
            <w:r>
              <w:rPr>
                <w:sz w:val="4"/>
                <w:szCs w:val="4"/>
              </w:rPr>
            </w:r>
          </w:p>
        </w:tc>
        <w:tc>
          <w:tcPr>
            <w:tcW w:w="2093" w:type="dxa"/>
            <w:gridSpan w:val="3"/>
            <w:tcBorders/>
            <w:shd w:fill="auto" w:val="clear"/>
            <w:vAlign w:val="center"/>
          </w:tcPr>
          <w:p>
            <w:pPr>
              <w:pStyle w:val="TableContents"/>
              <w:spacing w:before="0" w:after="283"/>
              <w:rPr>
                <w:sz w:val="4"/>
                <w:szCs w:val="4"/>
              </w:rPr>
            </w:pPr>
            <w:r>
              <w:rPr>
                <w:sz w:val="4"/>
                <w:szCs w:val="4"/>
              </w:rPr>
            </w:r>
          </w:p>
        </w:tc>
        <w:tc>
          <w:tcPr>
            <w:tcW w:w="657" w:type="dxa"/>
            <w:gridSpan w:val="3"/>
            <w:tcBorders/>
            <w:shd w:fill="auto" w:val="clear"/>
            <w:vAlign w:val="center"/>
          </w:tcPr>
          <w:p>
            <w:pPr>
              <w:pStyle w:val="TableContents"/>
              <w:spacing w:before="0" w:after="283"/>
              <w:rPr>
                <w:sz w:val="4"/>
                <w:szCs w:val="4"/>
              </w:rPr>
            </w:pPr>
            <w:r>
              <w:rPr>
                <w:sz w:val="4"/>
                <w:szCs w:val="4"/>
              </w:rPr>
            </w:r>
          </w:p>
        </w:tc>
        <w:tc>
          <w:tcPr>
            <w:tcW w:w="233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spacing w:lineRule="auto" w:line="268" w:before="60" w:after="283"/>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(1)For further information about how we calculate EBITDA and Adjusted EBITDA as well as limitations of its use and a reconciliation of EBITDA and Adjusted EBITDA to net loss, see “Net Loss to EBITDA and Adjusted EBITDA” below.</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(2)Average monthly revenue per paying client is defined as the average monthly revenue for any particular period divided by the average monthly paying clients in the same respective period. </w:t>
      </w:r>
    </w:p>
    <w:p>
      <w:pPr>
        <w:pStyle w:val="TextBody"/>
        <w:spacing w:lineRule="auto" w:line="268" w:before="0" w:after="0"/>
        <w:ind w:left="0" w:right="0" w:hanging="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(3)Average monthly paying clients are defined as the average of the number of paying clients billed in a month across a particular period (and for which services were provided). </w:t>
      </w:r>
    </w:p>
    <w:p>
      <w:pPr>
        <w:pStyle w:val="TextBody"/>
        <w:spacing w:lineRule="auto" w:line="288" w:before="240" w:after="12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our Weedmaps for Business solution as a monthly subscription package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website or third-party websites through our orders and menu embed product), (iii) customizable menus for brands, retailers and delivery operators to embed on their website, (iv) access to our APIs, including real-time connectivity between Weedmaps for Business to a point-of-sale system (“POS”) to streamline workflows and promote compliance through accuracy and (v) analytics dashboards. We also offer add-on and a la carte products and services for additional fees, including advertising and customer relationship management (“CRM”) software, among other things (for a description of these services, see Item 1. Business). Finally, we offer a growing set of offerings for brands to reach consumers and retailers as well as manage their brand catalog information. </w:t>
      </w:r>
    </w:p>
    <w:p>
      <w:pPr>
        <w:pStyle w:val="TextBody"/>
        <w:spacing w:lineRule="auto" w:line="288" w:before="240" w:after="120"/>
        <w:rPr>
          <w:rFonts w:ascii="Times New Roman;sans-serif" w:hAnsi="Times New Roman;sans-serif"/>
          <w:b/>
          <w:i/>
          <w:color w:val="000000"/>
          <w:sz w:val="20"/>
        </w:rPr>
      </w:pPr>
      <w:r>
        <w:rPr>
          <w:rFonts w:ascii="Times New Roman;sans-serif" w:hAnsi="Times New Roman;sans-serif"/>
          <w:b/>
          <w:i/>
          <w:color w:val="000000"/>
          <w:sz w:val="20"/>
        </w:rPr>
        <w:t>Net Loss to EBITDA and Adjusted EBITDA</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financial statements, including net income (loss), are prepared in accordance with accounting principles generally accepted in the United States of America (“GAAP”). For more information regarding the components within our net loss, see “Components of Our Results of Operations” below.</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loss for the three months ended March 31, 2023 and 2022 was $4.0 million and $31.2 million, respectively. The decrease in net loss was primarily due to a decrease in operating expenses of $19.6 million and a comparatively favorable change in fair value of warrant liability of $18.9 million, which was partially offset by a decrease in revenue of $9.4 million and a comparatively unfavorable decrease in benefit from income taxes of $1.7 million. For more information regarding the components of our net loss, see “Components of Our Results of Operations” below.</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 provide investors with additional information regarding our financial results, we have disclosed EBITDA and Adjusted EBITDA, all of which are non-GAAP financial measures that we calculate as net income (loss) before interest, taxes and depreciation and amortization expense in the case of EBITDA and further adjusted to exclude stock-based compensation, change in fair value of warrant liability, change in tax receivable agreement liability, transaction related bonuses, transaction costs, legal settlements and other legal costs and reduction in force and other non-cash, unusual and/or infrequent costs in the case of Adjusted EBITDA. Below we have provided a reconciliation of net loss (the most directly comparable GAAP financial measure) to EBITDA; and from EBITDA to Adjusted EBITDA.</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222885"/>
                <wp:effectExtent l="0" t="0" r="0" b="0"/>
                <wp:wrapNone/>
                <wp:docPr id="36" name="Frame35"/>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Each of EBITDA and Adjusted EBITDA has limitations as an analytical tool, and you should not consider any of these non-GAAP financial measures in isolation or as a substitute for analysis of our results as reported under GAAP. Some of these limitations are as follows:</w:t>
      </w:r>
    </w:p>
    <w:p>
      <w:pPr>
        <w:pStyle w:val="TextBody"/>
        <w:spacing w:lineRule="auto" w:line="288" w:before="120" w:after="60"/>
        <w:ind w:left="0" w:right="0" w:hanging="360"/>
        <w:jc w:val="both"/>
        <w:rPr/>
      </w:pPr>
      <w:r>
        <w:rPr>
          <w:color w:val="000000"/>
        </w:rPr>
        <w:t>•</w:t>
      </w:r>
      <w:r>
        <w:rPr>
          <w:rFonts w:ascii="Times New Roman;sans-serif" w:hAnsi="Times New Roman;sans-serif"/>
          <w:b w:val="false"/>
          <w:color w:val="000000"/>
          <w:sz w:val="20"/>
        </w:rPr>
        <w:t>although depreciation and amortization are non-cash charges, the assets being depreciated and amortized may have to be replaced in the future, and EBITDA and Adjusted EBITDA do not reflect cash capital expenditure requirements for such replacements or for new capital expenditure requirements;</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EBITDA and Adjusted EBITDA do not reflect changes in, or cash requirements for, our working capital needs; and</w:t>
      </w:r>
    </w:p>
    <w:p>
      <w:pPr>
        <w:pStyle w:val="TextBody"/>
        <w:spacing w:lineRule="auto" w:line="288" w:before="60" w:after="283"/>
        <w:ind w:left="0" w:right="0" w:hanging="360"/>
        <w:jc w:val="both"/>
        <w:rPr/>
      </w:pPr>
      <w:r>
        <w:rPr>
          <w:color w:val="000000"/>
        </w:rPr>
        <w:t>•</w:t>
      </w:r>
      <w:r>
        <w:rPr>
          <w:rFonts w:ascii="Times New Roman;sans-serif" w:hAnsi="Times New Roman;sans-serif"/>
          <w:b w:val="false"/>
          <w:color w:val="000000"/>
          <w:sz w:val="20"/>
        </w:rPr>
        <w:t>EBITDA and Adjusted EBITDA do not reflect tax payments that may represent a reduction in cash available to us.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Because of these limitations, you should consider EBITDA and Adjusted EBITDA alongside other financial performance measures, including net (loss) income and our other GAAP results.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net loss to non-GAAP EBITDA and Adjusted EBITDA is as follows:</w:t>
      </w:r>
    </w:p>
    <w:tbl>
      <w:tblPr>
        <w:tblW w:w="6998" w:type="dxa"/>
        <w:jc w:val="left"/>
        <w:tblInd w:w="0" w:type="dxa"/>
        <w:tblCellMar>
          <w:top w:w="28" w:type="dxa"/>
          <w:left w:w="28" w:type="dxa"/>
          <w:bottom w:w="28" w:type="dxa"/>
          <w:right w:w="28" w:type="dxa"/>
        </w:tblCellMar>
      </w:tblPr>
      <w:tblGrid>
        <w:gridCol w:w="1355"/>
        <w:gridCol w:w="1183"/>
        <w:gridCol w:w="1196"/>
        <w:gridCol w:w="239"/>
        <w:gridCol w:w="785"/>
        <w:gridCol w:w="123"/>
        <w:gridCol w:w="123"/>
        <w:gridCol w:w="123"/>
        <w:gridCol w:w="123"/>
        <w:gridCol w:w="239"/>
        <w:gridCol w:w="905"/>
        <w:gridCol w:w="123"/>
        <w:gridCol w:w="109"/>
        <w:gridCol w:w="109"/>
        <w:gridCol w:w="109"/>
        <w:gridCol w:w="154"/>
      </w:tblGrid>
      <w:tr>
        <w:trPr/>
        <w:tc>
          <w:tcPr>
            <w:tcW w:w="1355" w:type="dxa"/>
            <w:tcBorders/>
            <w:shd w:fill="auto" w:val="clear"/>
            <w:vAlign w:val="center"/>
          </w:tcPr>
          <w:p>
            <w:pPr>
              <w:pStyle w:val="TableContents"/>
              <w:spacing w:before="0" w:after="283"/>
              <w:rPr>
                <w:sz w:val="4"/>
                <w:szCs w:val="4"/>
              </w:rPr>
            </w:pPr>
            <w:r>
              <w:rPr>
                <w:sz w:val="4"/>
                <w:szCs w:val="4"/>
              </w:rPr>
            </w:r>
          </w:p>
        </w:tc>
        <w:tc>
          <w:tcPr>
            <w:tcW w:w="1183" w:type="dxa"/>
            <w:tcBorders/>
            <w:shd w:fill="auto" w:val="clear"/>
            <w:vAlign w:val="center"/>
          </w:tcPr>
          <w:p>
            <w:pPr>
              <w:pStyle w:val="TableContents"/>
              <w:spacing w:before="0" w:after="283"/>
              <w:rPr>
                <w:sz w:val="4"/>
                <w:szCs w:val="4"/>
              </w:rPr>
            </w:pPr>
            <w:r>
              <w:rPr>
                <w:sz w:val="4"/>
                <w:szCs w:val="4"/>
              </w:rPr>
            </w:r>
          </w:p>
        </w:tc>
        <w:tc>
          <w:tcPr>
            <w:tcW w:w="119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(31,233)</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(29,036)</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related bonuses</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settlements and other legal costs</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force</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7,130 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69" w:type="dxa"/>
            <w:gridSpan w:val="3"/>
            <w:tcBorders/>
            <w:shd w:fill="auto" w:val="clear"/>
            <w:vAlign w:val="center"/>
          </w:tcPr>
          <w:p>
            <w:pPr>
              <w:pStyle w:val="TableContents"/>
              <w:spacing w:before="0" w:after="283"/>
              <w:rPr>
                <w:sz w:val="4"/>
                <w:szCs w:val="4"/>
              </w:rPr>
            </w:pPr>
            <w:r>
              <w:rPr>
                <w:sz w:val="4"/>
                <w:szCs w:val="4"/>
              </w:rPr>
            </w:r>
          </w:p>
        </w:tc>
        <w:tc>
          <w:tcPr>
            <w:tcW w:w="126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120"/>
        <w:rPr>
          <w:rFonts w:ascii="Times New Roman;sans-serif" w:hAnsi="Times New Roman;sans-serif"/>
          <w:b/>
          <w:i/>
          <w:color w:val="000000"/>
          <w:sz w:val="20"/>
        </w:rPr>
      </w:pPr>
      <w:r>
        <w:rPr>
          <w:rFonts w:ascii="Times New Roman;sans-serif" w:hAnsi="Times New Roman;sans-serif"/>
          <w:b/>
          <w:i/>
          <w:color w:val="000000"/>
          <w:sz w:val="20"/>
        </w:rPr>
        <w:t>Average Monthly Revenue Per Paying Client</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w:t>
      </w:r>
    </w:p>
    <w:tbl>
      <w:tblPr>
        <w:tblW w:w="6911" w:type="dxa"/>
        <w:jc w:val="left"/>
        <w:tblInd w:w="0" w:type="dxa"/>
        <w:tblCellMar>
          <w:top w:w="28" w:type="dxa"/>
          <w:left w:w="28" w:type="dxa"/>
          <w:bottom w:w="28" w:type="dxa"/>
          <w:right w:w="28" w:type="dxa"/>
        </w:tblCellMar>
      </w:tblPr>
      <w:tblGrid>
        <w:gridCol w:w="1321"/>
        <w:gridCol w:w="1159"/>
        <w:gridCol w:w="1164"/>
        <w:gridCol w:w="267"/>
        <w:gridCol w:w="781"/>
        <w:gridCol w:w="138"/>
        <w:gridCol w:w="138"/>
        <w:gridCol w:w="138"/>
        <w:gridCol w:w="138"/>
        <w:gridCol w:w="267"/>
        <w:gridCol w:w="781"/>
        <w:gridCol w:w="138"/>
        <w:gridCol w:w="109"/>
        <w:gridCol w:w="109"/>
        <w:gridCol w:w="109"/>
        <w:gridCol w:w="154"/>
      </w:tblGrid>
      <w:tr>
        <w:trPr/>
        <w:tc>
          <w:tcPr>
            <w:tcW w:w="1321"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revenue per paying client</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120"/>
        <w:rPr>
          <w:rFonts w:ascii="Times New Roman;sans-serif" w:hAnsi="Times New Roman;sans-serif"/>
          <w:b/>
          <w:i/>
          <w:color w:val="000000"/>
          <w:sz w:val="20"/>
        </w:rPr>
      </w:pPr>
      <w:r>
        <w:rPr>
          <w:rFonts w:ascii="Times New Roman;sans-serif" w:hAnsi="Times New Roman;sans-serif"/>
          <w:b/>
          <w:i/>
          <w:color w:val="000000"/>
          <w:sz w:val="20"/>
        </w:rPr>
        <w:t>Average Monthly Paying Clients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define average monthly paying clients as the monthly average of clients billed each month over a particular period (and for which services were provided). Our paying clients include both individual cannabis businesses as well as retail websites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websites or businesses. </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Average monthly paying clients for the three months ended March 31, 2023 increased 12% to 5,641 average monthly paying clients from 5,026 average monthly paying clients in the same period in 2022. The increase in average monthly paying clients in the three months ended March 31, 2023 as compared to the same periods in 2022 was primarily due to new client acquisitions across existing and new states. This growth was offset by a decline in our average monthly revenue per paying client due to spend declines in established markets. We expected these pressures given the continued liquidity challenges that clients are facing.</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222885"/>
                <wp:effectExtent l="0" t="0" r="0" b="0"/>
                <wp:wrapNone/>
                <wp:docPr id="37" name="Frame36"/>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tbl>
      <w:tblPr>
        <w:tblW w:w="6001" w:type="dxa"/>
        <w:jc w:val="left"/>
        <w:tblInd w:w="0" w:type="dxa"/>
        <w:tblCellMar>
          <w:top w:w="28" w:type="dxa"/>
          <w:left w:w="28" w:type="dxa"/>
          <w:bottom w:w="28" w:type="dxa"/>
          <w:right w:w="28" w:type="dxa"/>
        </w:tblCellMar>
      </w:tblPr>
      <w:tblGrid>
        <w:gridCol w:w="990"/>
        <w:gridCol w:w="868"/>
        <w:gridCol w:w="872"/>
        <w:gridCol w:w="310"/>
        <w:gridCol w:w="310"/>
        <w:gridCol w:w="310"/>
        <w:gridCol w:w="310"/>
        <w:gridCol w:w="310"/>
        <w:gridCol w:w="310"/>
        <w:gridCol w:w="310"/>
        <w:gridCol w:w="310"/>
        <w:gridCol w:w="310"/>
        <w:gridCol w:w="109"/>
        <w:gridCol w:w="109"/>
        <w:gridCol w:w="109"/>
        <w:gridCol w:w="154"/>
      </w:tblGrid>
      <w:tr>
        <w:trPr/>
        <w:tc>
          <w:tcPr>
            <w:tcW w:w="990"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9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monthly paying clients</w:t>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Factors Affecting Our Performance</w:t>
      </w:r>
    </w:p>
    <w:p>
      <w:pPr>
        <w:pStyle w:val="TextBody"/>
        <w:spacing w:before="0" w:after="0"/>
        <w:rPr/>
      </w:pPr>
      <w:r>
        <w:rPr/>
      </w:r>
    </w:p>
    <w:p>
      <w:pPr>
        <w:pStyle w:val="TextBody"/>
        <w:spacing w:lineRule="auto" w:line="288" w:before="0" w:after="60"/>
        <w:rPr>
          <w:rFonts w:ascii="Times New Roman;sans-serif" w:hAnsi="Times New Roman;sans-serif"/>
          <w:b/>
          <w:i/>
          <w:color w:val="000000"/>
          <w:sz w:val="20"/>
        </w:rPr>
      </w:pPr>
      <w:r>
        <w:rPr>
          <w:rFonts w:ascii="Times New Roman;sans-serif" w:hAnsi="Times New Roman;sans-serif"/>
          <w:b/>
          <w:i/>
          <w:color w:val="000000"/>
          <w:sz w:val="20"/>
        </w:rPr>
        <w:t>Growth of Our Two-Sided Weedmaps Marketplace</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pStyle w:val="TextBody"/>
        <w:spacing w:lineRule="auto" w:line="288" w:before="240" w:after="60"/>
        <w:rPr>
          <w:rFonts w:ascii="Times New Roman;sans-serif" w:hAnsi="Times New Roman;sans-serif"/>
          <w:b/>
          <w:i/>
          <w:color w:val="000000"/>
          <w:sz w:val="20"/>
        </w:rPr>
      </w:pPr>
      <w:r>
        <w:rPr>
          <w:rFonts w:ascii="Times New Roman;sans-serif" w:hAnsi="Times New Roman;sans-serif"/>
          <w:b/>
          <w:i/>
          <w:color w:val="000000"/>
          <w:sz w:val="20"/>
        </w:rPr>
        <w:t>Growth and Retention of Our Paying Clients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Prices of certain commodity products, including gas prices, are historically volatile and subject to fluctuations arising from changes in domestic and international supply and demand, labor costs, competition, market speculation, government regulations, trade restrictions and tariffs, inflation and the military conflict between Russia and Ukraine. Increasing prices in the component materials for the goods or services of our clients may impact their ability to maintain or increase their spend with us and their ability to pay their invoices on time. Rapid and significant changes in commodity prices may negatively affect our revenue if our clients are unable to mitigate inflationary increases through various customer pricing actions and cost reduction initiatives. This could also negatively impact our net dollar retention and our collections on accounts receivable.</w:t>
      </w:r>
    </w:p>
    <w:p>
      <w:pPr>
        <w:pStyle w:val="TextBody"/>
        <w:spacing w:lineRule="auto" w:line="288" w:before="240" w:after="60"/>
        <w:rPr>
          <w:rFonts w:ascii="Times New Roman;sans-serif" w:hAnsi="Times New Roman;sans-serif"/>
          <w:b/>
          <w:i/>
          <w:color w:val="000000"/>
          <w:sz w:val="20"/>
        </w:rPr>
      </w:pPr>
      <w:r>
        <w:rPr>
          <w:rFonts w:ascii="Times New Roman;sans-serif" w:hAnsi="Times New Roman;sans-serif"/>
          <w:b/>
          <w:i/>
          <w:color w:val="000000"/>
          <w:sz w:val="20"/>
        </w:rPr>
        <w:t>Regulation and Maturation of Cannabis Markets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will have significant opportunities for greater growth as more jurisdictions legalize cannabis for medical and/or adult-use and the regulatory environment continues to develop. Thirty-eight states, the District of Columbia, Puerto Rico, the Virgin Islands and Guam have legalized some form of cannabis use for certain medical purposes. Twenty-two of those states, the District of Columbia, Guam and Northern Mariana have legalized cannabis for adults for non-medical purposes as well (sometimes referred to as adult or recreational use). Nine additional states have legalized forms of low-potency cannabis, for select medical conditions. Only three states continue to prohibit cannabis entirely. We intend to explore new expansion opportunities as additional jurisdictions legalize cannabis for medical or adult use and leverage our business model informed by our 14-year operating history to enter new markets.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have a significant opportunity to monetize transactions originating from users engaging with a retailer on the Weedmaps marketplace or tracked via one of our Weedmaps for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Weedmaps for Business solutions. A change in U.S. federal regulations could result in our ability to engage in such monetization efforts without adverse consequences to our business. A change in U.S. federal regulations could also increase access to capital and remove limitations of Section 280E of the Internal Revenue Code of 1986, as amended (the “Code”), thus allowing deduction or credit for certain expenses of cannabis business to increase our cash flow and liquidity, as well as those of many industry participants.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222885"/>
                <wp:effectExtent l="0" t="0" r="0" b="0"/>
                <wp:wrapNone/>
                <wp:docPr id="38" name="Frame37"/>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60"/>
        <w:rPr>
          <w:rFonts w:ascii="Times New Roman;sans-serif" w:hAnsi="Times New Roman;sans-serif"/>
          <w:b/>
          <w:i/>
          <w:color w:val="000000"/>
          <w:sz w:val="20"/>
        </w:rPr>
      </w:pPr>
      <w:r>
        <w:rPr>
          <w:rFonts w:ascii="Times New Roman;sans-serif" w:hAnsi="Times New Roman;sans-serif"/>
          <w:b/>
          <w:i/>
          <w:color w:val="000000"/>
          <w:sz w:val="20"/>
        </w:rPr>
        <w:t>Brand Recognition and Reputation</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 Further, we have begun reinvesting in our on-the-ground and field marketing presence and are increasing the types and cadence of client events. These events support and provide value to our retail client base through in-store activation and customer engagement at point of purchase and also afford Weedmaps with the opportunity to engage directly with our client partners, understand their needs / challenges, and foster good will.</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Investments in Growth</w:t>
      </w:r>
    </w:p>
    <w:p>
      <w:pPr>
        <w:pStyle w:val="TextBody"/>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make focused organic and inorganic investments to grow our revenue and scale operations to support that growth.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Weedmaps for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14, 2022, we acquired Eyechronic LLC (“Eyechronic”) d/b/a Enlighten, a Delaware limited liability company and a provider of software, digital signage services and multi-media offerings to dispensaries and brands.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operating expenses and capital expenditures fluctuate over time, we may accordingly experience short-term, negative impacts to our operating results and cash flows.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spacing w:lineRule="auto" w:line="288" w:before="120" w:after="60"/>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our Weedmaps for Business solution as a monthly subscription package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website or third-party websites through our orders and menu embed product), (iii) customizable menus for brands, retailers and delivery operators to embed on their website, (iv) access to our APIs, including real-time connectivity between Weedmaps for Business to a point-of-sale system (“POS”) to streamline workflows and promote compliance through accuracy and (v) analytics dashboards. We also offer add-on and a la carte products and services for additional fees, including advertising and customer relationship management (“CRM”) software, among other things. Finally, we offer a growing set of offerings for brands to reach consumers and retailers as well as manage their brand catalog information. Our subscriptions generally have one-month terms that automatically renew unless notice of cancellation is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222885"/>
                <wp:effectExtent l="0" t="0" r="0" b="0"/>
                <wp:wrapNone/>
                <wp:docPr id="39" name="Frame38"/>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provided in advance. For clients that pay us in advance for listing and other services, we record deferred revenue and recognized revenue over the applicable subscription term.</w:t>
      </w:r>
    </w:p>
    <w:p>
      <w:pPr>
        <w:pStyle w:val="TextBody"/>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Cost of Revenues (Exclusive of Depreciation and Amortization)</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primarily consists of web hosting, internet service and credit card processing costs. Cost of sales is primarily driven by increases in revenue leading to increases in credit card processing and web hosting costs. We expect our cost of revenue to continue to increase on an absolute basis and remain relatively flat as a percentage of revenue as we scale our business and inventory costs related to multi-media offerings.</w:t>
      </w:r>
    </w:p>
    <w:p>
      <w:pPr>
        <w:pStyle w:val="TextBody"/>
        <w:spacing w:lineRule="auto" w:line="288" w:before="240" w:after="60"/>
        <w:rPr>
          <w:rFonts w:ascii="Times New Roman;sans-serif" w:hAnsi="Times New Roman;sans-serif"/>
          <w:b/>
          <w:i/>
          <w:color w:val="000000"/>
          <w:sz w:val="20"/>
        </w:rPr>
      </w:pPr>
      <w:r>
        <w:rPr>
          <w:rFonts w:ascii="Times New Roman;sans-serif" w:hAnsi="Times New Roman;sans-serif"/>
          <w:b/>
          <w:i/>
          <w:color w:val="000000"/>
          <w:sz w:val="20"/>
        </w:rPr>
        <w:t>Selling and Marketing Expenses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 consist of salaries and benefits, stock-based compensation expense,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pStyle w:val="TextBody"/>
        <w:spacing w:lineRule="auto" w:line="288" w:before="240" w:after="60"/>
        <w:rPr>
          <w:rFonts w:ascii="Times New Roman;sans-serif" w:hAnsi="Times New Roman;sans-serif"/>
          <w:b/>
          <w:i/>
          <w:color w:val="000000"/>
          <w:sz w:val="20"/>
        </w:rPr>
      </w:pPr>
      <w:r>
        <w:rPr>
          <w:rFonts w:ascii="Times New Roman;sans-serif" w:hAnsi="Times New Roman;sans-serif"/>
          <w:b/>
          <w:i/>
          <w:color w:val="000000"/>
          <w:sz w:val="20"/>
        </w:rPr>
        <w:t>Product Development Expenses</w:t>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costs consist of salaries and benefits and stock-based compensation expense for employees, including engineering and technical teams who are responsible for building new products, as well as maintaining and improving existing products. Product development costs that do not meet the criteria for capitalization are expensed as incurred. We believe that continued investment in our platform is important for our growth and expect our product development expenses will increase in a manner consistent with revenue growth as our operations grow.</w:t>
      </w:r>
    </w:p>
    <w:p>
      <w:pPr>
        <w:pStyle w:val="TextBody"/>
        <w:spacing w:lineRule="auto" w:line="288" w:before="240" w:after="60"/>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payroll, benefit costs and stock-based compensation expense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provision for doubtful accounts and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percentage of revenue as we scale our business and leverage investments in these areas.</w:t>
      </w:r>
    </w:p>
    <w:p>
      <w:pPr>
        <w:pStyle w:val="TextBody"/>
        <w:spacing w:lineRule="auto" w:line="288" w:before="240" w:after="60"/>
        <w:rPr>
          <w:rFonts w:ascii="Times New Roman;sans-serif" w:hAnsi="Times New Roman;sans-serif"/>
          <w:b/>
          <w:i/>
          <w:color w:val="000000"/>
          <w:sz w:val="20"/>
        </w:rPr>
      </w:pPr>
      <w:r>
        <w:rPr>
          <w:rFonts w:ascii="Times New Roman;sans-serif" w:hAnsi="Times New Roman;sans-serif"/>
          <w:b/>
          <w:i/>
          <w:color w:val="000000"/>
          <w:sz w:val="20"/>
        </w:rPr>
        <w:t>Depreciation and Amortization Expenses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expenses primarily consist of depreciation on computer equipment, furniture and fixtures, leasehold improvements, capitalized software development costs and amortization of intangibles. </w:t>
      </w:r>
    </w:p>
    <w:p>
      <w:pPr>
        <w:pStyle w:val="TextBody"/>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Other Income (Expense)</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consists primarily of change in fair value of warrant liability and tax receivable agreement liability remeasurement. Other expense, net consists primarily of political contributions, interest expense, financing fees and other tax related expenses.</w:t>
      </w:r>
    </w:p>
    <w:p>
      <w:pPr>
        <w:pStyle w:val="TextBody"/>
        <w:spacing w:lineRule="auto" w:line="288" w:before="0" w:after="60"/>
        <w:jc w:val="both"/>
        <w:rPr>
          <w:rFonts w:ascii="Times New Roman;sans-serif" w:hAnsi="Times New Roman;sans-serif"/>
          <w:b/>
          <w:i/>
          <w:color w:val="000000"/>
          <w:sz w:val="20"/>
        </w:rPr>
      </w:pPr>
      <w:r>
        <w:rPr>
          <w:rFonts w:ascii="Times New Roman;sans-serif" w:hAnsi="Times New Roman;sans-serif"/>
          <w:b/>
          <w:i/>
          <w:color w:val="000000"/>
          <w:sz w:val="20"/>
        </w:rPr>
        <w:t>Provision for (Benefit from) Income Taxes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more-likely-than-not that all or a portion of a deferred tax asset will not be recognized. In making such determination, we consider all available evidence, including scheduled reversals of deferred tax liabilities, projected future taxable income, tax planning strategies and recent and expected future results of operation. During the fourth quarter of 2022, we recorded a full valuation allowance against our net deferred tax assets. See Note 2 to our condensed consolidated financial statements included herein.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222885"/>
                <wp:effectExtent l="0" t="0" r="0" b="0"/>
                <wp:wrapNone/>
                <wp:docPr id="40" name="Frame39"/>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tbl>
      <w:tblPr>
        <w:tblW w:w="10364" w:type="dxa"/>
        <w:jc w:val="left"/>
        <w:tblInd w:w="0" w:type="dxa"/>
        <w:tblCellMar>
          <w:top w:w="28" w:type="dxa"/>
          <w:left w:w="28" w:type="dxa"/>
          <w:bottom w:w="28" w:type="dxa"/>
          <w:right w:w="28" w:type="dxa"/>
        </w:tblCellMar>
      </w:tblPr>
      <w:tblGrid>
        <w:gridCol w:w="2569"/>
        <w:gridCol w:w="2249"/>
        <w:gridCol w:w="2277"/>
        <w:gridCol w:w="237"/>
        <w:gridCol w:w="810"/>
        <w:gridCol w:w="122"/>
        <w:gridCol w:w="122"/>
        <w:gridCol w:w="122"/>
        <w:gridCol w:w="122"/>
        <w:gridCol w:w="237"/>
        <w:gridCol w:w="894"/>
        <w:gridCol w:w="122"/>
        <w:gridCol w:w="109"/>
        <w:gridCol w:w="109"/>
        <w:gridCol w:w="109"/>
        <w:gridCol w:w="154"/>
      </w:tblGrid>
      <w:tr>
        <w:trPr/>
        <w:tc>
          <w:tcPr>
            <w:tcW w:w="2569"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c>
          <w:tcPr>
            <w:tcW w:w="227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7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shown separately below)</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21,882 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10,934 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29,055 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52,155 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(18,219)</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10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(31,233)</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10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(17,340)</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WM Technology, Inc.</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(2,475)</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(13,893)</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120" w:after="283"/>
        <w:rPr/>
      </w:pPr>
      <w:r>
        <w:rPr/>
      </w:r>
    </w:p>
    <w:tbl>
      <w:tblPr>
        <w:tblW w:w="10365" w:type="dxa"/>
        <w:jc w:val="left"/>
        <w:tblInd w:w="0" w:type="dxa"/>
        <w:tblCellMar>
          <w:top w:w="28" w:type="dxa"/>
          <w:left w:w="28" w:type="dxa"/>
          <w:bottom w:w="28" w:type="dxa"/>
          <w:right w:w="28" w:type="dxa"/>
        </w:tblCellMar>
      </w:tblPr>
      <w:tblGrid>
        <w:gridCol w:w="2569"/>
        <w:gridCol w:w="2249"/>
        <w:gridCol w:w="2277"/>
        <w:gridCol w:w="233"/>
        <w:gridCol w:w="233"/>
        <w:gridCol w:w="579"/>
        <w:gridCol w:w="233"/>
        <w:gridCol w:w="233"/>
        <w:gridCol w:w="233"/>
        <w:gridCol w:w="233"/>
        <w:gridCol w:w="233"/>
        <w:gridCol w:w="579"/>
        <w:gridCol w:w="109"/>
        <w:gridCol w:w="109"/>
        <w:gridCol w:w="109"/>
        <w:gridCol w:w="154"/>
      </w:tblGrid>
      <w:tr>
        <w:trPr/>
        <w:tc>
          <w:tcPr>
            <w:tcW w:w="2569" w:type="dxa"/>
            <w:tcBorders/>
            <w:shd w:fill="auto" w:val="clear"/>
            <w:vAlign w:val="center"/>
          </w:tcPr>
          <w:p>
            <w:pPr>
              <w:pStyle w:val="TableContents"/>
              <w:spacing w:before="0" w:after="283"/>
              <w:rPr>
                <w:sz w:val="4"/>
                <w:szCs w:val="4"/>
              </w:rPr>
            </w:pPr>
            <w:r>
              <w:rPr>
                <w:sz w:val="4"/>
                <w:szCs w:val="4"/>
              </w:rPr>
            </w:r>
          </w:p>
        </w:tc>
        <w:tc>
          <w:tcPr>
            <w:tcW w:w="2249" w:type="dxa"/>
            <w:tcBorders/>
            <w:shd w:fill="auto" w:val="clear"/>
            <w:vAlign w:val="center"/>
          </w:tcPr>
          <w:p>
            <w:pPr>
              <w:pStyle w:val="TableContents"/>
              <w:spacing w:before="0" w:after="283"/>
              <w:rPr>
                <w:sz w:val="4"/>
                <w:szCs w:val="4"/>
              </w:rPr>
            </w:pPr>
            <w:r>
              <w:rPr>
                <w:sz w:val="4"/>
                <w:szCs w:val="4"/>
              </w:rPr>
            </w:r>
          </w:p>
        </w:tc>
        <w:tc>
          <w:tcPr>
            <w:tcW w:w="2277"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7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9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 (exclusive of depreciation and amortization shown separately below)</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5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5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5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7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0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noncontrolling interests</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WM Technology, Inc.</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222885"/>
                <wp:effectExtent l="0" t="0" r="0" b="0"/>
                <wp:wrapNone/>
                <wp:docPr id="41" name="Frame40"/>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 xml:space="preserve">Comparison of Three Months Ended March 31, 2023 and 2022 </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Revenues</w:t>
      </w:r>
    </w:p>
    <w:tbl>
      <w:tblPr>
        <w:tblW w:w="6121" w:type="dxa"/>
        <w:jc w:val="left"/>
        <w:tblInd w:w="0" w:type="dxa"/>
        <w:tblCellMar>
          <w:top w:w="28" w:type="dxa"/>
          <w:left w:w="28" w:type="dxa"/>
          <w:bottom w:w="28" w:type="dxa"/>
          <w:right w:w="28" w:type="dxa"/>
        </w:tblCellMar>
      </w:tblPr>
      <w:tblGrid>
        <w:gridCol w:w="332"/>
        <w:gridCol w:w="291"/>
        <w:gridCol w:w="293"/>
        <w:gridCol w:w="244"/>
        <w:gridCol w:w="835"/>
        <w:gridCol w:w="126"/>
        <w:gridCol w:w="126"/>
        <w:gridCol w:w="126"/>
        <w:gridCol w:w="126"/>
        <w:gridCol w:w="244"/>
        <w:gridCol w:w="835"/>
        <w:gridCol w:w="126"/>
        <w:gridCol w:w="109"/>
        <w:gridCol w:w="109"/>
        <w:gridCol w:w="109"/>
        <w:gridCol w:w="211"/>
        <w:gridCol w:w="691"/>
        <w:gridCol w:w="109"/>
        <w:gridCol w:w="109"/>
        <w:gridCol w:w="109"/>
        <w:gridCol w:w="109"/>
        <w:gridCol w:w="218"/>
        <w:gridCol w:w="218"/>
        <w:gridCol w:w="316"/>
      </w:tblGrid>
      <w:tr>
        <w:trPr/>
        <w:tc>
          <w:tcPr>
            <w:tcW w:w="332"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48,007 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57,452 </w:t>
            </w:r>
          </w:p>
        </w:tc>
        <w:tc>
          <w:tcPr>
            <w:tcW w:w="1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revenues decreased by $9.4 million or 16% for the three months ended March 31, 2023 compared to the same period in 2022. The decrease was driven by a decrease in average monthly revenue per paying client primarily as a result of a decrease in revenue from featured and deal listing products. Compared to the prior year period, revenue decreased $8.0 million in our featured and deal listings, $1.1 million in our Weedmaps for Business and other SaaS subscriptions and $0.4 million in our other ad solutions. For the three months ended March 31, 2023, featured and deal listings, Weedmaps for Business and other SaaS subscriptions and other ad solutions represented approximately 70%, 24% and 6% of our total revenues, respectively.</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Cost of Revenues</w:t>
      </w:r>
    </w:p>
    <w:tbl>
      <w:tblPr>
        <w:tblW w:w="6416" w:type="dxa"/>
        <w:jc w:val="left"/>
        <w:tblInd w:w="0" w:type="dxa"/>
        <w:tblCellMar>
          <w:top w:w="28" w:type="dxa"/>
          <w:left w:w="28" w:type="dxa"/>
          <w:bottom w:w="28" w:type="dxa"/>
          <w:right w:w="28" w:type="dxa"/>
        </w:tblCellMar>
      </w:tblPr>
      <w:tblGrid>
        <w:gridCol w:w="531"/>
        <w:gridCol w:w="468"/>
        <w:gridCol w:w="470"/>
        <w:gridCol w:w="233"/>
        <w:gridCol w:w="681"/>
        <w:gridCol w:w="299"/>
        <w:gridCol w:w="120"/>
        <w:gridCol w:w="120"/>
        <w:gridCol w:w="120"/>
        <w:gridCol w:w="233"/>
        <w:gridCol w:w="681"/>
        <w:gridCol w:w="299"/>
        <w:gridCol w:w="109"/>
        <w:gridCol w:w="109"/>
        <w:gridCol w:w="109"/>
        <w:gridCol w:w="211"/>
        <w:gridCol w:w="541"/>
        <w:gridCol w:w="109"/>
        <w:gridCol w:w="109"/>
        <w:gridCol w:w="109"/>
        <w:gridCol w:w="109"/>
        <w:gridCol w:w="164"/>
        <w:gridCol w:w="166"/>
        <w:gridCol w:w="316"/>
      </w:tblGrid>
      <w:tr>
        <w:trPr/>
        <w:tc>
          <w:tcPr>
            <w:tcW w:w="531"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4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14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3,494 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4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revenues was $3.5 million for the three months ended March 31, 2023 compared to $3.7 million for the same period in 2022. The decrease of $0.2 million was primarily related to a decrease of $0.8 million for cost of revenues associated with multi channel marketing and cloud communication platforms, partially offset by an increase of $0.5 million for server costs.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Sales and Marketing Expenses</w:t>
      </w:r>
    </w:p>
    <w:tbl>
      <w:tblPr>
        <w:tblW w:w="7738" w:type="dxa"/>
        <w:jc w:val="left"/>
        <w:tblInd w:w="0" w:type="dxa"/>
        <w:tblCellMar>
          <w:top w:w="28" w:type="dxa"/>
          <w:left w:w="28" w:type="dxa"/>
          <w:bottom w:w="28" w:type="dxa"/>
          <w:right w:w="28" w:type="dxa"/>
        </w:tblCellMar>
      </w:tblPr>
      <w:tblGrid>
        <w:gridCol w:w="916"/>
        <w:gridCol w:w="806"/>
        <w:gridCol w:w="812"/>
        <w:gridCol w:w="215"/>
        <w:gridCol w:w="736"/>
        <w:gridCol w:w="276"/>
        <w:gridCol w:w="111"/>
        <w:gridCol w:w="111"/>
        <w:gridCol w:w="111"/>
        <w:gridCol w:w="215"/>
        <w:gridCol w:w="736"/>
        <w:gridCol w:w="276"/>
        <w:gridCol w:w="109"/>
        <w:gridCol w:w="109"/>
        <w:gridCol w:w="109"/>
        <w:gridCol w:w="211"/>
        <w:gridCol w:w="691"/>
        <w:gridCol w:w="109"/>
        <w:gridCol w:w="109"/>
        <w:gridCol w:w="109"/>
        <w:gridCol w:w="109"/>
        <w:gridCol w:w="218"/>
        <w:gridCol w:w="218"/>
        <w:gridCol w:w="316"/>
      </w:tblGrid>
      <w:tr>
        <w:trPr/>
        <w:tc>
          <w:tcPr>
            <w:tcW w:w="916"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25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w:t>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12,060 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21,882 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decreased by $9.8 million, or 45%, for the three months ended March 31, 2023 compared to the same period in 2022. The decrease was primarily due to decreases in personnel-related costs of $4.3 million, website advertising expense of $2.3 million, outside services expense of $1.7 million, branding and advertising expenses of $0.9 million and events expense of $0.5 million. The decrease in personnel-related costs was primarily due to decreased headcount which includes decreases in salaries and wages of $1.8 million, bonus expense of $1.1 million, vacation expense of $0.4 million and stock-based compensation expense of $0.9 million. Bonus expense for the three months ended March 31, 2023 includes $1.8 million of expense related to future bonus payouts in connection with prior acquisitions.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Product Development Expenses</w:t>
      </w:r>
    </w:p>
    <w:tbl>
      <w:tblPr>
        <w:tblW w:w="7843" w:type="dxa"/>
        <w:jc w:val="left"/>
        <w:tblInd w:w="0" w:type="dxa"/>
        <w:tblCellMar>
          <w:top w:w="28" w:type="dxa"/>
          <w:left w:w="28" w:type="dxa"/>
          <w:bottom w:w="28" w:type="dxa"/>
          <w:right w:w="28" w:type="dxa"/>
        </w:tblCellMar>
      </w:tblPr>
      <w:tblGrid>
        <w:gridCol w:w="957"/>
        <w:gridCol w:w="839"/>
        <w:gridCol w:w="843"/>
        <w:gridCol w:w="215"/>
        <w:gridCol w:w="736"/>
        <w:gridCol w:w="276"/>
        <w:gridCol w:w="111"/>
        <w:gridCol w:w="111"/>
        <w:gridCol w:w="111"/>
        <w:gridCol w:w="215"/>
        <w:gridCol w:w="736"/>
        <w:gridCol w:w="276"/>
        <w:gridCol w:w="109"/>
        <w:gridCol w:w="109"/>
        <w:gridCol w:w="109"/>
        <w:gridCol w:w="211"/>
        <w:gridCol w:w="691"/>
        <w:gridCol w:w="109"/>
        <w:gridCol w:w="109"/>
        <w:gridCol w:w="109"/>
        <w:gridCol w:w="109"/>
        <w:gridCol w:w="218"/>
        <w:gridCol w:w="218"/>
        <w:gridCol w:w="316"/>
      </w:tblGrid>
      <w:tr>
        <w:trPr/>
        <w:tc>
          <w:tcPr>
            <w:tcW w:w="957"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6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26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development expenses</w:t>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10,934 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13,090 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bl>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222885"/>
                <wp:effectExtent l="0" t="0" r="0" b="0"/>
                <wp:wrapNone/>
                <wp:docPr id="42" name="Frame41"/>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Product development expenses decreased by $2.2 million, or 16%, for the three months ended March 31, 2023 compared to the same period in 2022. This decrease was primarily due to decreases in personnel-related costs of $1.4 million and outside services expense of $0.8 million. The decrease in personnel-related costs was primarily due to decreased headcount which includes decreases in salaries and wages of $0.7 million, bonus expense of $0.3 million and stock-based compensation expense of $0.2 million.</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tbl>
      <w:tblPr>
        <w:tblW w:w="8294" w:type="dxa"/>
        <w:jc w:val="left"/>
        <w:tblInd w:w="0" w:type="dxa"/>
        <w:tblCellMar>
          <w:top w:w="28" w:type="dxa"/>
          <w:left w:w="28" w:type="dxa"/>
          <w:bottom w:w="28" w:type="dxa"/>
          <w:right w:w="28" w:type="dxa"/>
        </w:tblCellMar>
      </w:tblPr>
      <w:tblGrid>
        <w:gridCol w:w="1120"/>
        <w:gridCol w:w="984"/>
        <w:gridCol w:w="986"/>
        <w:gridCol w:w="215"/>
        <w:gridCol w:w="736"/>
        <w:gridCol w:w="276"/>
        <w:gridCol w:w="111"/>
        <w:gridCol w:w="111"/>
        <w:gridCol w:w="111"/>
        <w:gridCol w:w="215"/>
        <w:gridCol w:w="736"/>
        <w:gridCol w:w="276"/>
        <w:gridCol w:w="109"/>
        <w:gridCol w:w="109"/>
        <w:gridCol w:w="109"/>
        <w:gridCol w:w="211"/>
        <w:gridCol w:w="691"/>
        <w:gridCol w:w="109"/>
        <w:gridCol w:w="109"/>
        <w:gridCol w:w="109"/>
        <w:gridCol w:w="109"/>
        <w:gridCol w:w="218"/>
        <w:gridCol w:w="218"/>
        <w:gridCol w:w="316"/>
      </w:tblGrid>
      <w:tr>
        <w:trPr/>
        <w:tc>
          <w:tcPr>
            <w:tcW w:w="1120" w:type="dxa"/>
            <w:tcBorders/>
            <w:shd w:fill="auto" w:val="clear"/>
            <w:vAlign w:val="center"/>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0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29,055 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bl>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General and administrative expenses decreased by $6.6 million, or 23%, for the three months ended March 31, 2023 compared to the same period in 2022. This decrease was primarily due to decreases in personnel-related costs of $3.0 million, insurance expense of $2.0 million, bad debt expense of $0.8 million, outside services expense of $0.5 million, software expense of $0.5 million and rent expense of $0.3 million, partially offset by an increase in professional services expense of $0.6 million. </w:t>
      </w:r>
      <w:r>
        <w:rPr>
          <w:rFonts w:ascii="Times New Roman;sans-serif" w:hAnsi="Times New Roman;sans-serif"/>
          <w:b w:val="false"/>
          <w:color w:val="000000"/>
          <w:sz w:val="20"/>
          <w:highlight w:val="white"/>
        </w:rPr>
        <w:t xml:space="preserve">The decrease in personnel-related costs </w:t>
      </w:r>
      <w:r>
        <w:rPr>
          <w:rFonts w:ascii="Times New Roman;sans-serif" w:hAnsi="Times New Roman;sans-serif"/>
          <w:b w:val="false"/>
          <w:color w:val="000000"/>
          <w:sz w:val="20"/>
        </w:rPr>
        <w:t xml:space="preserve">was primarily due to decreased headcount which includes </w:t>
      </w:r>
      <w:r>
        <w:rPr>
          <w:rFonts w:ascii="Times New Roman;sans-serif" w:hAnsi="Times New Roman;sans-serif"/>
          <w:b w:val="false"/>
          <w:color w:val="000000"/>
          <w:sz w:val="20"/>
          <w:highlight w:val="white"/>
        </w:rPr>
        <w:t xml:space="preserve">decreases in salaries and wages of $0.9 million, bonus expense of $0.7 million and stock-based compensation expense of </w:t>
      </w:r>
      <w:r>
        <w:rPr>
          <w:rFonts w:ascii="Times New Roman;sans-serif" w:hAnsi="Times New Roman;sans-serif"/>
          <w:b w:val="false"/>
          <w:color w:val="000000"/>
          <w:sz w:val="20"/>
        </w:rPr>
        <w:t>$2.0 million</w:t>
      </w:r>
      <w:r>
        <w:rPr>
          <w:rFonts w:ascii="Times New Roman;sans-serif" w:hAnsi="Times New Roman;sans-serif"/>
          <w:b w:val="false"/>
          <w:color w:val="000000"/>
          <w:sz w:val="20"/>
          <w:highlight w:val="white"/>
        </w:rPr>
        <w:t xml:space="preserve">, partially offset by an increase in severance costs of $0.6 million, resulting from the reduction in force that occurred in 2022. </w:t>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Depreciation and Amortization Expenses</w:t>
      </w:r>
    </w:p>
    <w:tbl>
      <w:tblPr>
        <w:tblW w:w="8428" w:type="dxa"/>
        <w:jc w:val="left"/>
        <w:tblInd w:w="0" w:type="dxa"/>
        <w:tblCellMar>
          <w:top w:w="28" w:type="dxa"/>
          <w:left w:w="28" w:type="dxa"/>
          <w:bottom w:w="28" w:type="dxa"/>
          <w:right w:w="28" w:type="dxa"/>
        </w:tblCellMar>
      </w:tblPr>
      <w:tblGrid>
        <w:gridCol w:w="1222"/>
        <w:gridCol w:w="1075"/>
        <w:gridCol w:w="1078"/>
        <w:gridCol w:w="233"/>
        <w:gridCol w:w="681"/>
        <w:gridCol w:w="299"/>
        <w:gridCol w:w="120"/>
        <w:gridCol w:w="120"/>
        <w:gridCol w:w="120"/>
        <w:gridCol w:w="233"/>
        <w:gridCol w:w="681"/>
        <w:gridCol w:w="299"/>
        <w:gridCol w:w="109"/>
        <w:gridCol w:w="109"/>
        <w:gridCol w:w="109"/>
        <w:gridCol w:w="211"/>
        <w:gridCol w:w="541"/>
        <w:gridCol w:w="109"/>
        <w:gridCol w:w="109"/>
        <w:gridCol w:w="109"/>
        <w:gridCol w:w="109"/>
        <w:gridCol w:w="218"/>
        <w:gridCol w:w="218"/>
        <w:gridCol w:w="316"/>
      </w:tblGrid>
      <w:tr>
        <w:trPr/>
        <w:tc>
          <w:tcPr>
            <w:tcW w:w="1222"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5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33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w:t>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3,167 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3,945 </w:t>
            </w:r>
          </w:p>
        </w:tc>
        <w:tc>
          <w:tcPr>
            <w:tcW w:w="2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expenses decreased $0.8 million, or 20%, for the three months ended March 31, 2023 compared to the same period in 2022. The decrease was primarily due to decreases in fixed asset depreciation of $0.5 million and capitalized software amortization of $0.2 million. Capitalized software amortization in the three months ended March 31, 2022 included accelerated depreciation of $1.1 million related to discontinued product features of WM Retail.</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Other Income (Expense), net</w:t>
      </w:r>
    </w:p>
    <w:tbl>
      <w:tblPr>
        <w:tblW w:w="8999" w:type="dxa"/>
        <w:jc w:val="left"/>
        <w:tblInd w:w="0" w:type="dxa"/>
        <w:tblCellMar>
          <w:top w:w="28" w:type="dxa"/>
          <w:left w:w="28" w:type="dxa"/>
          <w:bottom w:w="28" w:type="dxa"/>
          <w:right w:w="28" w:type="dxa"/>
        </w:tblCellMar>
      </w:tblPr>
      <w:tblGrid>
        <w:gridCol w:w="1354"/>
        <w:gridCol w:w="1185"/>
        <w:gridCol w:w="1195"/>
        <w:gridCol w:w="230"/>
        <w:gridCol w:w="509"/>
        <w:gridCol w:w="296"/>
        <w:gridCol w:w="119"/>
        <w:gridCol w:w="119"/>
        <w:gridCol w:w="119"/>
        <w:gridCol w:w="230"/>
        <w:gridCol w:w="870"/>
        <w:gridCol w:w="296"/>
        <w:gridCol w:w="109"/>
        <w:gridCol w:w="109"/>
        <w:gridCol w:w="109"/>
        <w:gridCol w:w="211"/>
        <w:gridCol w:w="721"/>
        <w:gridCol w:w="109"/>
        <w:gridCol w:w="109"/>
        <w:gridCol w:w="109"/>
        <w:gridCol w:w="109"/>
        <w:gridCol w:w="233"/>
        <w:gridCol w:w="233"/>
        <w:gridCol w:w="316"/>
      </w:tblGrid>
      <w:tr>
        <w:trPr/>
        <w:tc>
          <w:tcPr>
            <w:tcW w:w="1354" w:type="dxa"/>
            <w:tcBorders/>
            <w:shd w:fill="auto" w:val="clear"/>
            <w:vAlign w:val="center"/>
          </w:tcPr>
          <w:p>
            <w:pPr>
              <w:pStyle w:val="TableContents"/>
              <w:spacing w:before="0" w:after="283"/>
              <w:rPr>
                <w:sz w:val="4"/>
                <w:szCs w:val="4"/>
              </w:rPr>
            </w:pPr>
            <w:r>
              <w:rPr>
                <w:sz w:val="4"/>
                <w:szCs w:val="4"/>
              </w:rPr>
            </w:r>
          </w:p>
        </w:tc>
        <w:tc>
          <w:tcPr>
            <w:tcW w:w="1185"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870"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5"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warrant liability</w:t>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(18,219)</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tax receivable agreement liability</w:t>
            </w:r>
          </w:p>
        </w:tc>
        <w:tc>
          <w:tcPr>
            <w:tcW w:w="73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(18,721)</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73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was $0.2 million during the three months ended March 31, 2023 compared to other expense, net of $18.7 million in the same period in 2022. Other income (expense), net was primarily impacted by comparatively favorable changes in fair value of warrant liability of $18.9 million.</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222885"/>
                <wp:effectExtent l="0" t="0" r="0" b="0"/>
                <wp:wrapNone/>
                <wp:docPr id="43" name="Frame42"/>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before="0" w:after="120"/>
        <w:rPr/>
      </w:pPr>
      <w:r>
        <w:rPr/>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Benefit from Income Taxes</w:t>
      </w:r>
    </w:p>
    <w:tbl>
      <w:tblPr>
        <w:tblW w:w="6823" w:type="dxa"/>
        <w:jc w:val="left"/>
        <w:tblInd w:w="0" w:type="dxa"/>
        <w:tblCellMar>
          <w:top w:w="28" w:type="dxa"/>
          <w:left w:w="28" w:type="dxa"/>
          <w:bottom w:w="28" w:type="dxa"/>
          <w:right w:w="28" w:type="dxa"/>
        </w:tblCellMar>
      </w:tblPr>
      <w:tblGrid>
        <w:gridCol w:w="814"/>
        <w:gridCol w:w="714"/>
        <w:gridCol w:w="721"/>
        <w:gridCol w:w="246"/>
        <w:gridCol w:w="474"/>
        <w:gridCol w:w="316"/>
        <w:gridCol w:w="127"/>
        <w:gridCol w:w="127"/>
        <w:gridCol w:w="127"/>
        <w:gridCol w:w="246"/>
        <w:gridCol w:w="807"/>
        <w:gridCol w:w="316"/>
        <w:gridCol w:w="109"/>
        <w:gridCol w:w="109"/>
        <w:gridCol w:w="109"/>
        <w:gridCol w:w="211"/>
        <w:gridCol w:w="616"/>
        <w:gridCol w:w="109"/>
        <w:gridCol w:w="154"/>
        <w:gridCol w:w="154"/>
        <w:gridCol w:w="217"/>
      </w:tblGrid>
      <w:tr>
        <w:trPr/>
        <w:tc>
          <w:tcPr>
            <w:tcW w:w="814"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6"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1"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5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22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9"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(dollars in thousands)</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from income taxes</w:t>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w:t>
            </w:r>
          </w:p>
        </w:tc>
      </w:tr>
      <w:tr>
        <w:trPr/>
        <w:tc>
          <w:tcPr>
            <w:tcW w:w="22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Percentage of revenue</w:t>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N/M - Not meaningful</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Benefit from income taxes decreased by $1.7 million for the three months ended March 31, 2023 compared to the same period in 2022. For the three months ended March 31, 2023, the Company recorded zero income tax provision due to the impact of the full valuation allowance on its net deferred assets. For the three months ended March 31, 2022, the Company recorded an income tax benefit of $1.7 million and the income tax benefit was the result of the tax benefit of the Company's pro rata share of losses and tax credits flowing through from WM Holding LLC. See Note 2 to our condensed consolidated financial statements included herein.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i/>
          <w:color w:val="000000"/>
          <w:sz w:val="20"/>
        </w:rPr>
      </w:pPr>
      <w:r>
        <w:rPr>
          <w:rFonts w:ascii="Times New Roman;sans-serif" w:hAnsi="Times New Roman;sans-serif"/>
          <w:b/>
          <w:i/>
          <w:color w:val="000000"/>
          <w:sz w:val="20"/>
        </w:rPr>
        <w:t>Seasonality</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cannabis industry has certain industry holidays that typically result in consumption by cannabis users. The most important day is April 20th (“420”) but other, smaller holidays include, but are not limited to, July 10th and the Wednesday before Thanksgiving (Green Wednesday). Given the increased consumption, our clients will typically increase spend heading into these events. However, historically, our financial results have been more driven by our ability to achieve rapid growth throughout the year and or the impact of broader industry headwinds impacting our clients. Therefore,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our cash, accounts receivable and working capital as of the dates indicated:</w:t>
      </w:r>
    </w:p>
    <w:tbl>
      <w:tblPr>
        <w:tblW w:w="5651" w:type="dxa"/>
        <w:jc w:val="left"/>
        <w:tblInd w:w="0" w:type="dxa"/>
        <w:tblCellMar>
          <w:top w:w="28" w:type="dxa"/>
          <w:left w:w="28" w:type="dxa"/>
          <w:bottom w:w="28" w:type="dxa"/>
          <w:right w:w="28" w:type="dxa"/>
        </w:tblCellMar>
      </w:tblPr>
      <w:tblGrid>
        <w:gridCol w:w="763"/>
        <w:gridCol w:w="670"/>
        <w:gridCol w:w="681"/>
        <w:gridCol w:w="292"/>
        <w:gridCol w:w="998"/>
        <w:gridCol w:w="150"/>
        <w:gridCol w:w="109"/>
        <w:gridCol w:w="109"/>
        <w:gridCol w:w="109"/>
        <w:gridCol w:w="344"/>
        <w:gridCol w:w="1175"/>
        <w:gridCol w:w="251"/>
      </w:tblGrid>
      <w:tr>
        <w:trPr/>
        <w:tc>
          <w:tcPr>
            <w:tcW w:w="763"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r>
      <w:tr>
        <w:trPr/>
        <w:tc>
          <w:tcPr>
            <w:tcW w:w="2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1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28,583 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15,401 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17,438 </w:t>
            </w:r>
          </w:p>
        </w:tc>
        <w:tc>
          <w:tcPr>
            <w:tcW w:w="2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12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8,461 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4" w:type="dxa"/>
            <w:gridSpan w:val="3"/>
            <w:tcBorders/>
            <w:shd w:fill="auto" w:val="clear"/>
            <w:vAlign w:val="center"/>
          </w:tcPr>
          <w:p>
            <w:pPr>
              <w:pStyle w:val="TableContents"/>
              <w:spacing w:before="0" w:after="283"/>
              <w:rPr>
                <w:sz w:val="4"/>
                <w:szCs w:val="4"/>
              </w:rPr>
            </w:pPr>
            <w:r>
              <w:rPr>
                <w:sz w:val="4"/>
                <w:szCs w:val="4"/>
              </w:rPr>
            </w:r>
          </w:p>
        </w:tc>
        <w:tc>
          <w:tcPr>
            <w:tcW w:w="14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we had cash of $25.9 million and $28.6 million, respectively. Our funds are being used for funding our current operations and potential strategic acquisitions in the future. We also intend to increase our capital expenditures to support the organic growth in our business and operations. We expect to fund our liquidity requirements from cash and working capital on hand at March 31, 2023, as well as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pStyle w:val="TextBody"/>
        <w:spacing w:lineRule="auto" w:line="288" w:before="120" w:after="120"/>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primarily finance our operations and capital expenditures through cash flows generated by operations.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222885"/>
                <wp:effectExtent l="0" t="0" r="0" b="0"/>
                <wp:wrapNone/>
                <wp:docPr id="44" name="Frame43"/>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We may enter into investment or acquisition transactions in the future, which could require us to seek additional equity financing, incur indebtedness, or use cash resources. </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Cash Flows</w:t>
      </w:r>
    </w:p>
    <w:tbl>
      <w:tblPr>
        <w:tblW w:w="7046" w:type="dxa"/>
        <w:jc w:val="left"/>
        <w:tblInd w:w="0" w:type="dxa"/>
        <w:tblCellMar>
          <w:top w:w="28" w:type="dxa"/>
          <w:left w:w="28" w:type="dxa"/>
          <w:bottom w:w="28" w:type="dxa"/>
          <w:right w:w="28" w:type="dxa"/>
        </w:tblCellMar>
      </w:tblPr>
      <w:tblGrid>
        <w:gridCol w:w="1524"/>
        <w:gridCol w:w="1340"/>
        <w:gridCol w:w="1350"/>
        <w:gridCol w:w="249"/>
        <w:gridCol w:w="818"/>
        <w:gridCol w:w="129"/>
        <w:gridCol w:w="129"/>
        <w:gridCol w:w="129"/>
        <w:gridCol w:w="129"/>
        <w:gridCol w:w="249"/>
        <w:gridCol w:w="818"/>
        <w:gridCol w:w="182"/>
      </w:tblGrid>
      <w:tr>
        <w:trPr/>
        <w:tc>
          <w:tcPr>
            <w:tcW w:w="1524"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(3,226)</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120"/>
        <w:ind w:left="0" w:right="0" w:firstLine="540"/>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(Used In) Operating Activities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from operating activities consists primarily of net loss adjusted for certain non-cash items, including depreciation and amortization, change in fair value of warrant liability, change in tax receivable agreement liability, stock-based compensation, deferred taxes, provision for doubtful accounts and the effect of changes in working capital.</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three months ended March 31, 2023 was $2.2 million, which resulted from a net loss of $4.0 million, together with net cash outflows of $2.8 million from changes in operating assets and liabilities, and non-cash items of $8.9 million, consisting of depreciation and amortization of $3.2 million, fair value of warrant liability of $0.7 million, stock-based compensation of $4.4 million, provision for doubtful accounts of $2.0 million and change in tax receivable agreement of $0.1 million. Net cash outflows from changes in operating assets and liabilities was primarily due to a decrease in accounts payable and accrued expenses of $5.4 million, partially offset by a decrease in prepaid expenses and other current assets of $2.4 million, a decrease in accounts receivable of $0.1 million and an increase in deferred revenue of $0.1 million. The changes in operating assets and liabilities are mostly due to fluctuations in timing of cash receipts and payments.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by operating activities for the three months ended March 31, 2022 was $3.9 million, which resulted from net loss of approximately $31.2 million, together with net cash outflows of approximately $3.3 million from changes in operating assets and liabilities, and non-cash items of $30.7 million, consisting of depreciation and amortization of $3.9 million, fair value of warrant liability of $18.2 million, stock-based compensation of $7.5 million, deferred income taxes of $1.7 million and provision for doubtful accounts of $2.8 million. Net cash outflows from changes in operating assets and liabilities were primarily due to an increase in accounts receivables of $7.8 million and a decrease in deferred revenue of $0.3 million, offset by a decrease in prepaid expenses and other current assets of $1.6 million. The changes in operating assets and liabilities are mostly due to fluctuations in timing of cash receipts and payments.</w:t>
      </w:r>
    </w:p>
    <w:p>
      <w:pPr>
        <w:pStyle w:val="TextBody"/>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three months ended March 31, 2023 was $3.2 million, which resulted from $3.2 million cash paid for purchases of property and equipment, which includes capitalized software development costs.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for the three months ended March 31, 2022 was $4.9 million, which resulted from $4.2 million cash paid for purchases of property and equipment, which includes capitalized software development cost and $0.7 million net cash paid for acquisition. </w:t>
      </w:r>
    </w:p>
    <w:p>
      <w:pPr>
        <w:pStyle w:val="TextBody"/>
        <w:spacing w:lineRule="auto" w:line="288" w:before="240" w:after="283"/>
        <w:ind w:left="0" w:right="0" w:firstLine="540"/>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Financing Activities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outflows from financing activities for the three months ended March 31, 2023 was $1.6 million, which primarily consists of repayments of insurance premium financing of $1.5 million and distributions of $0.3 million to the holders of the Company’s Class A and Class P Units other than the Company.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Cash outflows from financing activities for three months ended March 31, 2022 was $3.2 million, which primarily consists of repayments of insurance premium financing of $3.1 million.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222885"/>
                <wp:effectExtent l="0" t="0" r="0" b="0"/>
                <wp:wrapNone/>
                <wp:docPr id="45" name="Frame44"/>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the assumptions and estimates associated with revenue recognition, income taxes, stock-based compensation, capitalized software development costs, provision for doubtful accounts, goodwill and intangible assets and fair value measurements to have the greatest potential impact on our condensed consolidated financial statements. Therefore, we consider these to be our critical accounting policies and estimates. For further information on all of our significant accounting policies, see Note 2 to our condensed consolidated financial statements included herein.</w:t>
      </w:r>
    </w:p>
    <w:p>
      <w:pPr>
        <w:pStyle w:val="TextBody"/>
        <w:spacing w:lineRule="auto" w:line="288" w:before="120" w:after="12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are derived primarily from monthly subscriptions and additional offerings for access to the Weedmaps marketplace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We exclude sales taxes and other similar taxes from the measurement of the transaction price. The determination of the performance obligations and the timing of satisfaction of such obligations either over time or at a point-in-time requires us to make significant judgment and estimates.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 is generated by providing standard listing subscription services and other paid listing subscriptions services, including featured listings, placements, promoted deals, nearby listings, other display advertising as well as customer relationship management and delivery and logistic services. These arrangements are recognized over-time, generally during a month-to-month subscription period as the products are provided.</w:t>
      </w:r>
    </w:p>
    <w:p>
      <w:pPr>
        <w:pStyle w:val="TextBody"/>
        <w:spacing w:lineRule="auto" w:line="288" w:before="240" w:after="120"/>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 </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Business Combination, we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we have established a deferred tax asset for the additional tax basis and a corresponding TRA liability of 85% of the expected benefit. The remaining 15% is recorded within paid-in capital. Our calculation of the TRA asset and liability requires estimates of its future qualified taxable income over the term of the TRA as a basis to determine if the related tax benefits are expected to be realized. As of March 31, 2023, TRA liability was $0.6 million, of which $0.5 million is expected to be paid in 2023.</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weight of all available evidence, both positive and negative, we determined during the fourth quarter of 2022 that a full valuation allowance was required against our net deferred tax assets. See Note 2 to our condensed consolidated financial statements included herein.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measure fair value of employee stock-based compensation awards on the date of grant and allocate the related expense over the requisite service period. The fair value of restricted stock units (“RSUs”) and performance-based restricted stock units (“PRSUs”)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three months ended March 31, 2023 and 2022, we recognized stock-based compensation expense of $4.4 million and $7.5 million, respectively. See Note 11 to our condensed consolidated financial statements included herein.</w:t>
      </w:r>
    </w:p>
    <w:p>
      <w:pPr>
        <w:pStyle w:val="TextBody"/>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Capitalized Software Development Costs</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222885"/>
                <wp:effectExtent l="0" t="0" r="0" b="0"/>
                <wp:wrapNone/>
                <wp:docPr id="46" name="Frame45"/>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capitalize certain costs related to the development and enhancement of the Weedmaps platform and SaaS solutions. In accordance with authoritative guidance, we began to capitalize these costs when preliminary development efforts were successfully completed, management had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judgment, assumptions and estimates related to the timing and amount of recognized capitalized software development costs. For the three months ended March 31, 2023 and 2022, we capitalized software development costs of $3.0 million and $4.1 million, respectively.</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We measure credit losses on our trade accounts receivable using the current expected credit loss model under ASC 326 </w:t>
      </w:r>
      <w:r>
        <w:rPr>
          <w:rFonts w:ascii="Times New Roman;sans-serif" w:hAnsi="Times New Roman;sans-serif"/>
          <w:b w:val="false"/>
          <w:i/>
          <w:color w:val="000000"/>
          <w:sz w:val="20"/>
        </w:rPr>
        <w:t>Financial Instruments – Credit Losses</w:t>
      </w:r>
      <w:r>
        <w:rPr>
          <w:rFonts w:ascii="Times New Roman;sans-serif" w:hAnsi="Times New Roman;sans-serif"/>
          <w:b w:val="false"/>
          <w:color w:val="000000"/>
          <w:sz w:val="20"/>
        </w:rPr>
        <w:t>, which is based on the expected losses rather than incurred losses. Under the credit loss model, lifetime expected credit losses are measured and recognized at each reporting date based on historical, current and forecast information.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our accounts receivable include balance of customer account and aging status. The balance for allowance for doubtful accounts were $13.4 million and $12.2 million as of March 31, 2023 and December 31, 2022, respectively. See Note 2 to our condensed consolidated financial statements included herein.</w:t>
      </w:r>
    </w:p>
    <w:p>
      <w:pPr>
        <w:pStyle w:val="TextBody"/>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Goodwill and Intangible Assets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judgment, estimates and assumptions. Significant estimates and assumptions in valuing acquired intangible assets and liabilities include projected cash flows attributable to the assets or liabilities, asset useful lives and discount rates.</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condensed consolidated financial statements included herein.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spacing w:lineRule="auto" w:line="288" w:before="120" w:after="283"/>
        <w:ind w:left="0" w:right="0" w:firstLine="540"/>
        <w:jc w:val="both"/>
        <w:rPr/>
      </w:pPr>
      <w:r>
        <w:rPr>
          <w:rFonts w:ascii="Times New Roman;sans-serif" w:hAnsi="Times New Roman;sans-serif"/>
          <w:b w:val="false"/>
          <w:color w:val="000000"/>
          <w:sz w:val="20"/>
        </w:rPr>
        <w:t xml:space="preserve">In connection with the Business Combination, we assumed 12,499,993 Public Warrants and 7,000,000 Private Placement Warrants. As of March 31, 2023, 12,499,973 of the Public Warrants and all of the Private Placement Warrants remained outstanding . The warrants are measured at fair value under ASC 820 - </w:t>
      </w:r>
      <w:r>
        <w:rPr>
          <w:rFonts w:ascii="Times New Roman;sans-serif" w:hAnsi="Times New Roman;sans-serif"/>
          <w:b w:val="false"/>
          <w:i/>
          <w:color w:val="000000"/>
          <w:sz w:val="20"/>
        </w:rPr>
        <w:t>Fair Value Measurements</w:t>
      </w:r>
      <w:r>
        <w:rPr>
          <w:rFonts w:ascii="Times New Roman;sans-serif" w:hAnsi="Times New Roman;sans-serif"/>
          <w:b w:val="false"/>
          <w:color w:val="000000"/>
          <w:sz w:val="20"/>
        </w:rPr>
        <w:t>. The fair value of the Public Warrants is classified as Level 1 financial instruments and is based on the publicly listed trading price of our Public Warrants. The fair value of the Private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March 31, 2023 and December 31, 2022, warrant liability was $1.4 million and $2.1 million, respectively. See Note 4 to our condensed consolidated financial statements included herein.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222885"/>
                <wp:effectExtent l="0" t="0" r="0" b="0"/>
                <wp:wrapNone/>
                <wp:docPr id="47" name="Frame46"/>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pStyle w:val="TextBody"/>
        <w:spacing w:before="0" w:after="120"/>
        <w:jc w:val="both"/>
        <w:rPr/>
      </w:pPr>
      <w:r>
        <w:rPr/>
      </w:r>
    </w:p>
    <w:p>
      <w:pPr>
        <w:pStyle w:val="TextBody"/>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months ended March 31, 2023 and 2022. For all periods presented, we believe the exposure to foreign currency fluctuation from operating expenses is immaterial as the related costs do not constitute a significant portion of our total expenses.</w:t>
      </w:r>
    </w:p>
    <w:p>
      <w:pPr>
        <w:pStyle w:val="TextBody"/>
        <w:spacing w:lineRule="auto" w:line="288" w:before="120" w:after="283"/>
        <w:rPr>
          <w:rFonts w:ascii="Times New Roman;sans-serif" w:hAnsi="Times New Roman;sans-serif"/>
          <w:b/>
          <w:i/>
          <w:color w:val="000000"/>
          <w:sz w:val="20"/>
        </w:rPr>
      </w:pPr>
      <w:r>
        <w:rPr>
          <w:rFonts w:ascii="Times New Roman;sans-serif" w:hAnsi="Times New Roman;sans-serif"/>
          <w:b/>
          <w:i/>
          <w:color w:val="000000"/>
          <w:sz w:val="20"/>
        </w:rPr>
        <w:t>Interest Rate Fluctuation Risk</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all highly liquid investments with an original maturity of three months or less to be cash equivalents. As of March 31, 2023, we did not have any cash equivalents.</w:t>
      </w:r>
    </w:p>
    <w:p>
      <w:pPr>
        <w:pStyle w:val="TextBody"/>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primary objective of our investment activities is to preserve principal while maximizing income without significantly increasing risk. Because we only hold cash and, our portfolio’s fair value is insensitive to interest rate changes. In future periods, we will continue to evaluate our investment policy in order to ensure that we continue to meet our overall objectives. A hypothetical 100 basis point increase or decrease in interest rates would not have a material effect on our financial results.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Inflation</w:t>
      </w:r>
    </w:p>
    <w:p>
      <w:pPr>
        <w:pStyle w:val="TextBody"/>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as set forth in the note above titled “Growth and Retention of Our Paying Clients”, 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 We do not believe that inflation has had a material effect on our business, financial condition or results of operations during three months ended March 31, 2023.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our Executive Chair and Chief Financial Officer, as appropriate to allow timely decisions regarding required disclosure. Our Executive Chair and Chief Financial Officer (“Certifying Officers”) evaluated the effectiveness of our disclosure controls and procedures as of December 31, 2022, pursuant to Rule 13a-15(b) under the Exchange Act. Based on the evaluation, and in light of the material weakness in internal controls described below, our Executive Chair and Chief Financial Officer have concluded that as of March 31, 2023, our disclosure controls and procedures were not effective due to the material weakness in internal control over financial reporting.</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Material Weaknesses</w:t>
      </w:r>
    </w:p>
    <w:p>
      <w:pPr>
        <w:pStyle w:val="TextBody"/>
        <w:spacing w:lineRule="auto" w:line="288" w:before="0" w:after="12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our management’s report on internal control over financial reporting within our Annual Report on Form 10-K for the year ended December 31, 2022, we identified a material weakness in internal control related to ineffective information technology general controls (ITGCs) in the areas of user access and program change-management over certain information technology systems that support our financial reporting processes. As a result, our business process automated and manual controls that were dependent on the affected ITGCs were ineffective because they could have been adversely impacted. These control deficiencies were a result of: IT controls lacked sufficient segregation of duties as developers were granted administrative rights; certain users including developers had accessed other users’ accounts; and our controls over logging and monitoring of system configuration and data changes made by these users were not effectively designed to detect erroneous or unauthorized changes. The material weakness did not result in any identified misstatements in our financial statements.</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222885"/>
                <wp:effectExtent l="0" t="0" r="0" b="0"/>
                <wp:wrapNone/>
                <wp:docPr id="48" name="Frame47"/>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 xml:space="preserve">Remediation </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has been implementing and continues to implement measures designed to ensure that control deficiencies contributing to the material weakness are remediated, such that these controls are designed, implemented and operating effectively. The remediation actions include: (i) removing the access from certain users to make changes directly in production systems; (ii) removing privileged access to other user accounts; and (iii) enhancing logging and monitoring of privileged user activities such as data updates in production systems. We believe that these actions will remediate the material weakness. The weakness will not be considered remediated, however, until the applicable controls operate for a sufficient period of time and management has concluded, through testing, that these controls are operating effectively. We expect that the remediation of this material weakness will be completed during the end of the year ending December 31, 2023.</w:t>
      </w:r>
    </w:p>
    <w:p>
      <w:pPr>
        <w:pStyle w:val="TextBody"/>
        <w:spacing w:lineRule="auto" w:line="288" w:before="120" w:after="120"/>
        <w:jc w:val="both"/>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the significant changes associated with the material weaknesses and corresponding remediation procedures as described above, there were no changes in our internal control over financial reporting (as such term is defined in Rules 13a-15(f) and 15d-15(f) of the Exchange Act) during the three months ended March 31, 2023 that has materially affected, or is reasonably likely to materially affect, our internal control over financial reporting.</w:t>
      </w:r>
    </w:p>
    <w:p>
      <w:pPr>
        <w:pStyle w:val="TextBody"/>
        <w:spacing w:lineRule="auto" w:line="288" w:before="0" w:after="120"/>
        <w:jc w:val="both"/>
        <w:rPr>
          <w:rFonts w:ascii="Times New Roman;sans-serif" w:hAnsi="Times New Roman;sans-serif"/>
          <w:b/>
          <w:color w:val="000000"/>
          <w:sz w:val="20"/>
        </w:rPr>
      </w:pPr>
      <w:r>
        <w:rPr>
          <w:rFonts w:ascii="Times New Roman;sans-serif" w:hAnsi="Times New Roman;sans-serif"/>
          <w:b/>
          <w:color w:val="000000"/>
          <w:sz w:val="20"/>
        </w:rPr>
        <w:t>Limitations on Effectiveness of Controls and Procedures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222885"/>
                <wp:effectExtent l="0" t="0" r="0" b="0"/>
                <wp:wrapNone/>
                <wp:docPr id="49" name="Frame48"/>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before="240" w:after="283"/>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rPr/>
      </w:pPr>
      <w:r>
        <w:rPr/>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set forth under "Commitments and Contingencies—Litigation" in Note 3 of the notes to the condensed consolidated financial statements included in Part I, Item 1 of this Quarterly Report on Form 10-Q is incorporated by reference into this Item 1.</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the second quarter of 2022, our board of directors received an internal complaint regarding the calculation, definition and reporting of our monthly active users (“MAUs”) metric. In response, the board of directors formed a special committee (the “Special Committee”) of independent directors to conduct an internal investigation with the assistance of outside counsel. As a result of the findings of that internal investigation, we provided certain additional information regarding the growth and nature of our previously-reported MAUs in our Quarterly Report on Form 10-Q for the quarter ended June 30, 2022 filed with the SEC on August 9, 2022. This investigation found no impact on our financial results under GAAP or the reporting or disclosure of any currently disclosed non-GAAP financial metric. As also previously reported, in the third quarter of 2022, we determined not to report MAUs going forward. In August 2022, our board of directors determined to voluntarily report the internal complaint and subsequent internal investigation to the SEC. Since that date, we have received two subpoenas from the SEC’s Division of Enforcement requesting additional information and documents. In addition, the SEC has issued subpoenas to several of our current and former employees seeking their testimony. We have been fully cooperating with the SEC’s investigation. Such investigations are inherently uncertain and their results cannot be predicted with certainty, but could result in penalties or other sanctions against the company, as well as negative publicity and reputational harm. Regardless of the outcome, such proceedings can have an adverse impact on us because of legal costs, diversion of management resources and other factors.</w:t>
      </w:r>
    </w:p>
    <w:p>
      <w:pPr>
        <w:pStyle w:val="TextBody"/>
        <w:spacing w:lineRule="auto" w:line="288"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jc w:val="both"/>
        <w:rPr/>
      </w:pPr>
      <w:r>
        <w:rPr/>
      </w:r>
    </w:p>
    <w:p>
      <w:pPr>
        <w:pStyle w:val="TextBody"/>
        <w:spacing w:lineRule="auto" w:line="256"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 in our securities involves risk. An investor or potential investor should consider the risks summarized under the caption “Risk Factors” in Part I, Item 1A of our Annual Report on Form 10-K for the year ended December 31, 2022 (our “2022 Form 10-K”) when making investment decisions regarding our securities. The risk factors that were disclosed in our 2022 Form 10-K have not materially changed since the date of our 2022 Form 10-K was filed.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Unregistered Sales of Equity Securities</w:t>
      </w:r>
    </w:p>
    <w:p>
      <w:pPr>
        <w:pStyle w:val="TextBody"/>
        <w:spacing w:before="0" w:after="0"/>
        <w:rPr/>
      </w:pPr>
      <w:r>
        <w:rPr/>
      </w:r>
    </w:p>
    <w:p>
      <w:pPr>
        <w:pStyle w:val="TextBody"/>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None.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283"/>
        <w:ind w:left="0" w:right="0" w:firstLine="54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Not applicable.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283"/>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222885"/>
                <wp:effectExtent l="0" t="0" r="0" b="0"/>
                <wp:wrapNone/>
                <wp:docPr id="50" name="Frame49"/>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0"/>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exhibits are filed as part of, or incorporated by reference into, this Quarterly Report on Form 10-Q.</w:t>
      </w:r>
    </w:p>
    <w:tbl>
      <w:tblPr>
        <w:tblW w:w="10539" w:type="dxa"/>
        <w:jc w:val="left"/>
        <w:tblInd w:w="0" w:type="dxa"/>
        <w:tblCellMar>
          <w:top w:w="28" w:type="dxa"/>
          <w:left w:w="28" w:type="dxa"/>
          <w:bottom w:w="28" w:type="dxa"/>
          <w:right w:w="28" w:type="dxa"/>
        </w:tblCellMar>
      </w:tblPr>
      <w:tblGrid>
        <w:gridCol w:w="333"/>
        <w:gridCol w:w="293"/>
        <w:gridCol w:w="294"/>
        <w:gridCol w:w="109"/>
        <w:gridCol w:w="109"/>
        <w:gridCol w:w="109"/>
        <w:gridCol w:w="2768"/>
        <w:gridCol w:w="2687"/>
        <w:gridCol w:w="3837"/>
      </w:tblGrid>
      <w:tr>
        <w:trPr/>
        <w:tc>
          <w:tcPr>
            <w:tcW w:w="33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8" w:type="dxa"/>
            <w:tcBorders/>
            <w:shd w:fill="auto" w:val="clear"/>
            <w:vAlign w:val="center"/>
          </w:tcPr>
          <w:p>
            <w:pPr>
              <w:pStyle w:val="TableContents"/>
              <w:spacing w:before="0" w:after="283"/>
              <w:rPr>
                <w:sz w:val="4"/>
                <w:szCs w:val="4"/>
              </w:rPr>
            </w:pPr>
            <w:r>
              <w:rPr>
                <w:sz w:val="4"/>
                <w:szCs w:val="4"/>
              </w:rPr>
            </w:r>
          </w:p>
        </w:tc>
        <w:tc>
          <w:tcPr>
            <w:tcW w:w="2687" w:type="dxa"/>
            <w:tcBorders/>
            <w:shd w:fill="auto" w:val="clear"/>
            <w:vAlign w:val="center"/>
          </w:tcPr>
          <w:p>
            <w:pPr>
              <w:pStyle w:val="TableContents"/>
              <w:spacing w:before="0" w:after="283"/>
              <w:rPr>
                <w:sz w:val="4"/>
                <w:szCs w:val="4"/>
              </w:rPr>
            </w:pPr>
            <w:r>
              <w:rPr>
                <w:sz w:val="4"/>
                <w:szCs w:val="4"/>
              </w:rPr>
            </w:r>
          </w:p>
        </w:tc>
        <w:tc>
          <w:tcPr>
            <w:tcW w:w="3837" w:type="dxa"/>
            <w:tcBorders/>
            <w:shd w:fill="auto" w:val="clear"/>
            <w:vAlign w:val="center"/>
          </w:tcPr>
          <w:p>
            <w:pPr>
              <w:pStyle w:val="TableContents"/>
              <w:spacing w:before="0" w:after="283"/>
              <w:rPr>
                <w:sz w:val="4"/>
                <w:szCs w:val="4"/>
              </w:rPr>
            </w:pPr>
            <w:r>
              <w:rPr>
                <w:sz w:val="4"/>
                <w:szCs w:val="4"/>
              </w:rPr>
            </w:r>
          </w:p>
        </w:tc>
      </w:tr>
      <w:tr>
        <w:trPr/>
        <w:tc>
          <w:tcPr>
            <w:tcW w:w="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3.1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68" w:before="0" w:after="0"/>
              <w:jc w:val="both"/>
              <w:rPr/>
            </w:pPr>
            <w:hyperlink r:id="rId4">
              <w:r>
                <w:rPr>
                  <w:rStyle w:val="InternetLink"/>
                  <w:rFonts w:ascii="Times New Roman;sans-serif" w:hAnsi="Times New Roman;sans-serif"/>
                  <w:b w:val="false"/>
                  <w:color w:val="0000FF"/>
                  <w:sz w:val="20"/>
                  <w:u w:val="single"/>
                </w:rPr>
                <w:t>Certificate of Incorporation of the Company, dated June 15, 2021 (incorporated by reference to Exhibit 3.1 to the Current Report on Form 8-K filed on June 21, 2021).</w:t>
              </w:r>
            </w:hyperlink>
          </w:p>
        </w:tc>
      </w:tr>
      <w:tr>
        <w:trPr/>
        <w:tc>
          <w:tcPr>
            <w:tcW w:w="9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3.2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pPr>
            <w:hyperlink r:id="rId6">
              <w:r>
                <w:rPr>
                  <w:rStyle w:val="InternetLink"/>
                  <w:rFonts w:ascii="Times New Roman;sans-serif" w:hAnsi="Times New Roman;sans-serif"/>
                  <w:b w:val="false"/>
                  <w:color w:val="0000FF"/>
                  <w:sz w:val="20"/>
                  <w:u w:val="single"/>
                </w:rPr>
                <w:t>Amended and Restated Bylaws of the Company, dated June 16, 2021 (incorporated by reference to Exhibit 3.2 to the Current report on Form 8-K filed on June 21, 2021).</w:t>
              </w:r>
            </w:hyperlink>
          </w:p>
        </w:tc>
      </w:tr>
      <w:tr>
        <w:trPr/>
        <w:tc>
          <w:tcPr>
            <w:tcW w:w="9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hibit311q123.htm">
              <w:r>
                <w:rPr>
                  <w:rStyle w:val="InternetLink"/>
                  <w:rFonts w:ascii="Times New Roman;sans-serif" w:hAnsi="Times New Roman;sans-serif"/>
                  <w:b w:val="false"/>
                  <w:color w:val="0000FF"/>
                  <w:sz w:val="20"/>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pPr>
            <w:hyperlink w:anchor="exhibit311q123.htm">
              <w:r>
                <w:rPr>
                  <w:rStyle w:val="InternetLink"/>
                  <w:rFonts w:ascii="Times New Roman;sans-serif" w:hAnsi="Times New Roman;sans-serif"/>
                  <w:b w:val="false"/>
                  <w:color w:val="0000FF"/>
                  <w:sz w:val="20"/>
                  <w:u w:val="single"/>
                </w:rPr>
                <w:t>Certification of the Principal Executive Officer pursuant to Rules 13a-14(a) and 15d-14(a) under the Securities Exchange Act of 1934, as adopted pursuant to Section 302 of the Sarbanes-Oxley Act of 2002</w:t>
              </w:r>
            </w:hyperlink>
          </w:p>
        </w:tc>
      </w:tr>
      <w:tr>
        <w:trPr/>
        <w:tc>
          <w:tcPr>
            <w:tcW w:w="9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hibit312q123.htm">
              <w:r>
                <w:rPr>
                  <w:rStyle w:val="InternetLink"/>
                  <w:rFonts w:ascii="Times New Roman;sans-serif" w:hAnsi="Times New Roman;sans-serif"/>
                  <w:b w:val="false"/>
                  <w:color w:val="0000FF"/>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pPr>
            <w:hyperlink w:anchor="exhibit312q123.htm">
              <w:r>
                <w:rPr>
                  <w:rStyle w:val="InternetLink"/>
                  <w:rFonts w:ascii="Times New Roman;sans-serif" w:hAnsi="Times New Roman;sans-serif"/>
                  <w:b w:val="false"/>
                  <w:color w:val="0000FF"/>
                  <w:sz w:val="20"/>
                  <w:u w:val="single"/>
                </w:rPr>
                <w:t>Certification of the Principal Financial Officer pursuant to Rules 13a-14(a) and 15d-14(a) under the Securities Exchange Act of 1934, as adopted pursuant to Section 302 of the Sarbanes-Oxley Act of 2002</w:t>
              </w:r>
            </w:hyperlink>
          </w:p>
        </w:tc>
      </w:tr>
      <w:tr>
        <w:trPr/>
        <w:tc>
          <w:tcPr>
            <w:tcW w:w="9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hibit321q123.htm">
              <w:r>
                <w:rPr>
                  <w:rStyle w:val="InternetLink"/>
                  <w:rFonts w:ascii="Times New Roman;sans-serif" w:hAnsi="Times New Roman;sans-serif"/>
                  <w:b w:val="false"/>
                  <w:color w:val="0000FF"/>
                  <w:sz w:val="20"/>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68" w:before="0" w:after="0"/>
              <w:jc w:val="both"/>
              <w:rPr/>
            </w:pPr>
            <w:hyperlink w:anchor="exhibit321q123.htm">
              <w:r>
                <w:rPr>
                  <w:rStyle w:val="InternetLink"/>
                  <w:rFonts w:ascii="Times New Roman;sans-serif" w:hAnsi="Times New Roman;sans-serif"/>
                  <w:b w:val="false"/>
                  <w:color w:val="0000FF"/>
                  <w:sz w:val="20"/>
                  <w:u w:val="single"/>
                </w:rPr>
                <w:t>Certifications of the Principal Executive Officer and Principal Financial Officer pursuant to 18 U.S.C. Section 1350, as adopted pursuant to Section 906 of the Sarbanes-Oxley Act of 2002</w:t>
              </w:r>
            </w:hyperlink>
          </w:p>
        </w:tc>
      </w:tr>
      <w:tr>
        <w:trPr/>
        <w:tc>
          <w:tcPr>
            <w:tcW w:w="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9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9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FFFFFF" w:val="clear"/>
            <w:tcMar>
              <w:top w:w="0" w:type="dxa"/>
              <w:left w:w="0" w:type="dxa"/>
              <w:bottom w:w="0" w:type="dxa"/>
              <w:right w:w="0" w:type="dxa"/>
            </w:tcMar>
            <w:vAlign w:val="center"/>
          </w:tcPr>
          <w:p>
            <w:pPr>
              <w:pStyle w:val="TableContents"/>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spacing w:lineRule="auto" w:line="288" w:before="120" w:after="283"/>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spacing w:before="0" w:after="0"/>
        <w:jc w:val="both"/>
        <w:rPr/>
      </w:pPr>
      <w:r>
        <w:rPr/>
      </w:r>
    </w:p>
    <w:tbl>
      <w:tblPr>
        <w:tblW w:w="10539" w:type="dxa"/>
        <w:jc w:val="left"/>
        <w:tblInd w:w="0" w:type="dxa"/>
        <w:tblCellMar>
          <w:top w:w="28" w:type="dxa"/>
          <w:left w:w="28" w:type="dxa"/>
          <w:bottom w:w="28" w:type="dxa"/>
          <w:right w:w="28" w:type="dxa"/>
        </w:tblCellMar>
      </w:tblPr>
      <w:tblGrid>
        <w:gridCol w:w="124"/>
        <w:gridCol w:w="109"/>
        <w:gridCol w:w="109"/>
        <w:gridCol w:w="109"/>
        <w:gridCol w:w="109"/>
        <w:gridCol w:w="109"/>
        <w:gridCol w:w="2888"/>
        <w:gridCol w:w="2888"/>
        <w:gridCol w:w="40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7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0" w:type="dxa"/>
            <w:gridSpan w:val="3"/>
            <w:tcBorders/>
            <w:shd w:fill="FFFFFF" w:val="clear"/>
            <w:tcMar>
              <w:top w:w="0" w:type="dxa"/>
              <w:left w:w="0" w:type="dxa"/>
              <w:bottom w:w="0" w:type="dxa"/>
              <w:right w:w="0" w:type="dxa"/>
            </w:tcMar>
            <w:vAlign w:val="center"/>
          </w:tcPr>
          <w:p>
            <w:pPr>
              <w:pStyle w:val="TableContents"/>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146685"/>
                <wp:effectExtent l="0" t="0" r="0" b="0"/>
                <wp:wrapNone/>
                <wp:docPr id="51" name="Frame50"/>
                <a:graphic xmlns:a="http://schemas.openxmlformats.org/drawingml/2006/main">
                  <a:graphicData uri="http://schemas.microsoft.com/office/word/2010/wordprocessingShape">
                    <wps:wsp>
                      <wps:cNvSpPr txBox="1"/>
                      <wps:spPr>
                        <a:xfrm>
                          <a:off x="0" y="0"/>
                          <a:ext cx="669226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120" w:after="283"/>
        <w:rPr/>
      </w:pPr>
      <w:hyperlink w:anchor="i8e6a5e0535044e11901f1dc53b9e3d4b_7">
        <w:r>
          <w:rPr>
            <w:rStyle w:val="InternetLink"/>
            <w:rFonts w:ascii="Times New Roman;sans-serif" w:hAnsi="Times New Roman;sans-serif"/>
            <w:b w:val="false"/>
            <w:color w:val="0000FF"/>
            <w:sz w:val="20"/>
            <w:u w:val="single"/>
          </w:rPr>
          <w:t>Table of Contents</w:t>
        </w:r>
      </w:hyperlink>
    </w:p>
    <w:p>
      <w:pPr>
        <w:pStyle w:val="TextBody"/>
        <w:spacing w:lineRule="auto" w:line="288" w:before="240" w:after="283"/>
        <w:jc w:val="center"/>
        <w:rPr>
          <w:rFonts w:ascii="Times New Roman;sans-serif" w:hAnsi="Times New Roman;sans-serif"/>
          <w:b/>
          <w:color w:val="000000"/>
          <w:sz w:val="20"/>
          <w:highlight w:val="white"/>
        </w:rPr>
      </w:pPr>
      <w:r>
        <w:rPr>
          <w:rFonts w:ascii="Times New Roman;sans-serif" w:hAnsi="Times New Roman;sans-serif"/>
          <w:b/>
          <w:color w:val="000000"/>
          <w:sz w:val="20"/>
          <w:highlight w:val="white"/>
        </w:rPr>
        <w:t>SIGNATURES</w:t>
      </w:r>
    </w:p>
    <w:p>
      <w:pPr>
        <w:pStyle w:val="TextBody"/>
        <w:spacing w:lineRule="auto" w:line="288" w:before="120" w:after="283"/>
        <w:ind w:left="0" w:right="0" w:firstLine="54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Pursuant to the requirements of Securities Exchange Act of 1934, the registrant has duly caused this report to be signed on its behalf by the undersigned, thereunto duly authorized.</w:t>
      </w:r>
    </w:p>
    <w:tbl>
      <w:tblPr>
        <w:tblW w:w="8954" w:type="dxa"/>
        <w:jc w:val="left"/>
        <w:tblInd w:w="0" w:type="dxa"/>
        <w:tblCellMar>
          <w:top w:w="28" w:type="dxa"/>
          <w:left w:w="28" w:type="dxa"/>
          <w:bottom w:w="28" w:type="dxa"/>
          <w:right w:w="28" w:type="dxa"/>
        </w:tblCellMar>
      </w:tblPr>
      <w:tblGrid>
        <w:gridCol w:w="200"/>
        <w:gridCol w:w="177"/>
        <w:gridCol w:w="178"/>
        <w:gridCol w:w="379"/>
        <w:gridCol w:w="379"/>
        <w:gridCol w:w="381"/>
        <w:gridCol w:w="267"/>
        <w:gridCol w:w="267"/>
        <w:gridCol w:w="267"/>
        <w:gridCol w:w="274"/>
        <w:gridCol w:w="274"/>
        <w:gridCol w:w="274"/>
        <w:gridCol w:w="1741"/>
        <w:gridCol w:w="1741"/>
        <w:gridCol w:w="1783"/>
        <w:gridCol w:w="109"/>
        <w:gridCol w:w="109"/>
        <w:gridCol w:w="15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741" w:type="dxa"/>
            <w:tcBorders/>
            <w:shd w:fill="auto" w:val="clear"/>
            <w:vAlign w:val="center"/>
          </w:tcPr>
          <w:p>
            <w:pPr>
              <w:pStyle w:val="TableContents"/>
              <w:spacing w:before="0" w:after="283"/>
              <w:rPr>
                <w:sz w:val="4"/>
                <w:szCs w:val="4"/>
              </w:rPr>
            </w:pPr>
            <w:r>
              <w:rPr>
                <w:sz w:val="4"/>
                <w:szCs w:val="4"/>
              </w:rPr>
            </w:r>
          </w:p>
        </w:tc>
        <w:tc>
          <w:tcPr>
            <w:tcW w:w="1741" w:type="dxa"/>
            <w:tcBorders/>
            <w:shd w:fill="auto" w:val="clear"/>
            <w:vAlign w:val="center"/>
          </w:tcPr>
          <w:p>
            <w:pPr>
              <w:pStyle w:val="TableContents"/>
              <w:spacing w:before="0" w:after="283"/>
              <w:rPr>
                <w:sz w:val="4"/>
                <w:szCs w:val="4"/>
              </w:rPr>
            </w:pPr>
            <w:r>
              <w:rPr>
                <w:sz w:val="4"/>
                <w:szCs w:val="4"/>
              </w:rPr>
            </w:r>
          </w:p>
        </w:tc>
        <w:tc>
          <w:tcPr>
            <w:tcW w:w="17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88"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WM TECHNOLOGY, INC.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8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Douglas Francis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Douglas Francis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608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Arden Lee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2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Arden Lee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222885"/>
                <wp:effectExtent l="0" t="0" r="0" b="0"/>
                <wp:wrapNone/>
                <wp:docPr id="52" name="Frame51"/>
                <a:graphic xmlns:a="http://schemas.openxmlformats.org/drawingml/2006/main">
                  <a:graphicData uri="http://schemas.microsoft.com/office/word/2010/wordprocessingShape">
                    <wps:wsp>
                      <wps:cNvSpPr txBox="1"/>
                      <wps:spPr>
                        <a:xfrm>
                          <a:off x="0" y="0"/>
                          <a:ext cx="6692265" cy="222885"/>
                        </a:xfrm>
                        <a:prstGeom prst="rect"/>
                      </wps:spPr>
                      <wps:txb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AMENDED</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Douglas Francis, certify that:</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highlight w:val="white"/>
        </w:rPr>
        <w:t>I have reviewed this Quarterly Report on Form 10-Q of WM Technology Inc.;</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highlight w:val="white"/>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highlight w:val="white"/>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highlight w:val="white"/>
        </w:rPr>
        <w:t>The registrant's other certifying officer(s) and I are responsible for establishing and maintaining disclosure controls and procedures (as defined in Exchange Act Rules 13a-15(e) and 15d-15(e)) for the registrant and have:</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highlight w:val="white"/>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highlight w:val="white"/>
        </w:rPr>
        <w:t>(Paragraph intentionally omitted in accordance with SEC Release Nos. 34-47986 and 34-54942);</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highlight w:val="white"/>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highlight w:val="white"/>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highlight w:val="white"/>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36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     Any fraud, whether or not material, that involves management or other employees who have a significant role in the registrant's internal control over financial reporting.</w:t>
      </w:r>
    </w:p>
    <w:tbl>
      <w:tblPr>
        <w:tblW w:w="5614"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26"/>
        <w:gridCol w:w="126"/>
        <w:gridCol w:w="126"/>
        <w:gridCol w:w="126"/>
        <w:gridCol w:w="126"/>
        <w:gridCol w:w="126"/>
        <w:gridCol w:w="126"/>
        <w:gridCol w:w="126"/>
        <w:gridCol w:w="126"/>
        <w:gridCol w:w="109"/>
        <w:gridCol w:w="109"/>
        <w:gridCol w:w="109"/>
        <w:gridCol w:w="109"/>
        <w:gridCol w:w="109"/>
        <w:gridCol w:w="109"/>
        <w:gridCol w:w="109"/>
        <w:gridCol w:w="109"/>
        <w:gridCol w:w="109"/>
        <w:gridCol w:w="266"/>
        <w:gridCol w:w="266"/>
        <w:gridCol w:w="266"/>
        <w:gridCol w:w="266"/>
        <w:gridCol w:w="266"/>
        <w:gridCol w:w="266"/>
        <w:gridCol w:w="266"/>
        <w:gridCol w:w="266"/>
        <w:gridCol w:w="3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160"/>
              <w:rPr/>
            </w:pPr>
            <w:r>
              <w:rPr/>
            </w:r>
          </w:p>
          <w:p>
            <w:pPr>
              <w:pStyle w:val="TableContents"/>
              <w:spacing w:before="0" w:after="160"/>
              <w:rPr/>
            </w:pPr>
            <w:r>
              <w:rPr/>
            </w:r>
          </w:p>
          <w:p>
            <w:pPr>
              <w:pStyle w:val="TableContents"/>
              <w:spacing w:before="0" w:after="160"/>
              <w:rPr/>
            </w:pPr>
            <w:r>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 w:type="dxa"/>
            <w:gridSpan w:val="9"/>
            <w:tcBorders/>
            <w:shd w:fill="auto" w:val="clear"/>
            <w:tcMar>
              <w:top w:w="0" w:type="dxa"/>
              <w:left w:w="0" w:type="dxa"/>
              <w:bottom w:w="0" w:type="dxa"/>
              <w:right w:w="0" w:type="dxa"/>
            </w:tcMar>
            <w:vAlign w:val="center"/>
          </w:tcPr>
          <w:p>
            <w:pPr>
              <w:pStyle w:val="TableContents"/>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4" w:type="dxa"/>
            <w:gridSpan w:val="9"/>
            <w:tcBorders/>
            <w:shd w:fill="auto" w:val="clear"/>
            <w:tcMar>
              <w:top w:w="0" w:type="dxa"/>
              <w:left w:w="0" w:type="dxa"/>
              <w:bottom w:w="0" w:type="dxa"/>
              <w:right w:w="0" w:type="dxa"/>
            </w:tcMar>
            <w:vAlign w:val="center"/>
          </w:tcPr>
          <w:p>
            <w:pPr>
              <w:pStyle w:val="TableContents"/>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p>
            <w:pPr>
              <w:pStyle w:val="TableContents"/>
              <w:spacing w:before="0" w:after="160"/>
              <w:jc w:val="left"/>
              <w:rPr/>
            </w:pPr>
            <w:r>
              <w:rPr/>
            </w:r>
          </w:p>
          <w:p>
            <w:pPr>
              <w:pStyle w:val="TableContents"/>
              <w:spacing w:before="0" w:after="160"/>
              <w:jc w:val="left"/>
              <w:rPr/>
            </w:pPr>
            <w:r>
              <w:rPr/>
            </w:r>
          </w:p>
          <w:p>
            <w:pPr>
              <w:pStyle w:val="TableContents"/>
              <w:spacing w:before="0" w:after="160"/>
              <w:jc w:val="left"/>
              <w:rPr/>
            </w:pPr>
            <w:r>
              <w:rPr/>
            </w:r>
          </w:p>
          <w:p>
            <w:pPr>
              <w:pStyle w:val="TableContents"/>
              <w:spacing w:before="0" w:after="160"/>
              <w:rPr/>
            </w:pPr>
            <w:r>
              <w:rPr/>
            </w:r>
          </w:p>
        </w:tc>
        <w:tc>
          <w:tcPr>
            <w:tcW w:w="981" w:type="dxa"/>
            <w:gridSpan w:val="9"/>
            <w:tcBorders/>
            <w:shd w:fill="auto" w:val="clear"/>
            <w:tcMar>
              <w:top w:w="0" w:type="dxa"/>
              <w:left w:w="0" w:type="dxa"/>
              <w:bottom w:w="0" w:type="dxa"/>
              <w:right w:w="0" w:type="dxa"/>
            </w:tcMar>
            <w:vAlign w:val="center"/>
          </w:tcPr>
          <w:p>
            <w:pPr>
              <w:pStyle w:val="TableContents"/>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Douglas Francis</w:t>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9"/>
            <w:tcBorders/>
            <w:shd w:fill="auto" w:val="clear"/>
            <w:tcMar>
              <w:top w:w="0" w:type="dxa"/>
              <w:left w:w="0" w:type="dxa"/>
              <w:bottom w:w="0" w:type="dxa"/>
              <w:right w:w="0" w:type="dxa"/>
            </w:tcMar>
            <w:vAlign w:val="center"/>
          </w:tcPr>
          <w:p>
            <w:pPr>
              <w:pStyle w:val="TableContents"/>
              <w:spacing w:before="0" w:after="160"/>
              <w:rPr/>
            </w:pPr>
            <w:r>
              <w:rPr/>
            </w:r>
          </w:p>
          <w:p>
            <w:pPr>
              <w:pStyle w:val="TableContents"/>
              <w:spacing w:before="0" w:after="160"/>
              <w:rPr/>
            </w:pPr>
            <w:r>
              <w:rPr/>
            </w:r>
          </w:p>
          <w:p>
            <w:pPr>
              <w:pStyle w:val="TableContents"/>
              <w:spacing w:before="0" w:after="160"/>
              <w:rPr/>
            </w:pPr>
            <w:r>
              <w:rPr/>
            </w:r>
          </w:p>
          <w:p>
            <w:pPr>
              <w:pStyle w:val="TableContents"/>
              <w:spacing w:before="0" w:after="160"/>
              <w:rPr/>
            </w:pPr>
            <w:r>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Francis</w:t>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9"/>
            <w:tcBorders/>
            <w:shd w:fill="auto" w:val="clear"/>
            <w:tcMar>
              <w:top w:w="0" w:type="dxa"/>
              <w:left w:w="0" w:type="dxa"/>
              <w:bottom w:w="0" w:type="dxa"/>
              <w:right w:w="0" w:type="dxa"/>
            </w:tcMar>
            <w:vAlign w:val="center"/>
          </w:tcPr>
          <w:p>
            <w:pPr>
              <w:pStyle w:val="TableContents"/>
              <w:spacing w:before="0" w:after="160"/>
              <w:rPr/>
            </w:pPr>
            <w:r>
              <w:rPr/>
            </w:r>
          </w:p>
          <w:p>
            <w:pPr>
              <w:pStyle w:val="TableContents"/>
              <w:spacing w:before="0" w:after="160"/>
              <w:rPr/>
            </w:pPr>
            <w:r>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shd w:fill="auto" w:val="clear"/>
            <w:tcMar>
              <w:top w:w="0" w:type="dxa"/>
              <w:left w:w="0" w:type="dxa"/>
              <w:bottom w:w="0" w:type="dxa"/>
              <w:right w:w="0" w:type="dxa"/>
            </w:tcMar>
            <w:vAlign w:val="center"/>
          </w:tcPr>
          <w:p>
            <w:pPr>
              <w:pStyle w:val="TableContents"/>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w:t>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shd w:fill="auto" w:val="clear"/>
            <w:tcMar>
              <w:top w:w="0" w:type="dxa"/>
              <w:left w:w="0" w:type="dxa"/>
              <w:bottom w:w="0" w:type="dxa"/>
              <w:right w:w="0" w:type="dxa"/>
            </w:tcMar>
            <w:vAlign w:val="center"/>
          </w:tcPr>
          <w:p>
            <w:pPr>
              <w:pStyle w:val="TableContents"/>
              <w:spacing w:lineRule="auto" w:line="300" w:before="0" w:after="4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2"/>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175260"/>
                <wp:effectExtent l="0" t="0" r="0" b="0"/>
                <wp:wrapNone/>
                <wp:docPr id="53" name="Frame5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RULES 13a-14(a) AND 15d-14(a)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UNDER THE SECURITIES EXCHANGE ACT OF 1934, AS AMENDED</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Arden Lee, certify that:</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highlight w:val="white"/>
        </w:rPr>
        <w:t>I have reviewed this Quarterly Report on Form 10-Q of WM Technology Inc.;</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highlight w:val="white"/>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highlight w:val="white"/>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highlight w:val="white"/>
        </w:rPr>
        <w:t>The registrant's other certifying officer(s) and I are responsible for establishing and maintaining disclosure controls and procedures (as defined in Exchange Act Rules 13a-15(e) and 15d-15(e)) for the registrant and have:</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highlight w:val="white"/>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highlight w:val="white"/>
        </w:rPr>
        <w:t>(Paragraph intentionally omitted in accordance with SEC Release Nos. 34-47986 and 34-54942);</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highlight w:val="white"/>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highlight w:val="white"/>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highlight w:val="white"/>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36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     Any fraud, whether or not material, that involves management or other employees who have a significant role in the registrant's internal control over financial reporting.</w:t>
      </w:r>
    </w:p>
    <w:tbl>
      <w:tblPr>
        <w:tblW w:w="8414"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26"/>
        <w:gridCol w:w="126"/>
        <w:gridCol w:w="126"/>
        <w:gridCol w:w="126"/>
        <w:gridCol w:w="126"/>
        <w:gridCol w:w="126"/>
        <w:gridCol w:w="126"/>
        <w:gridCol w:w="126"/>
        <w:gridCol w:w="126"/>
        <w:gridCol w:w="109"/>
        <w:gridCol w:w="109"/>
        <w:gridCol w:w="109"/>
        <w:gridCol w:w="109"/>
        <w:gridCol w:w="109"/>
        <w:gridCol w:w="109"/>
        <w:gridCol w:w="109"/>
        <w:gridCol w:w="109"/>
        <w:gridCol w:w="109"/>
        <w:gridCol w:w="563"/>
        <w:gridCol w:w="563"/>
        <w:gridCol w:w="563"/>
        <w:gridCol w:w="563"/>
        <w:gridCol w:w="563"/>
        <w:gridCol w:w="563"/>
        <w:gridCol w:w="563"/>
        <w:gridCol w:w="563"/>
        <w:gridCol w:w="7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 w:type="dxa"/>
            <w:gridSpan w:val="9"/>
            <w:tcBorders/>
            <w:shd w:fill="auto" w:val="clear"/>
            <w:tcMar>
              <w:top w:w="0" w:type="dxa"/>
              <w:left w:w="0" w:type="dxa"/>
              <w:bottom w:w="0" w:type="dxa"/>
              <w:right w:w="0" w:type="dxa"/>
            </w:tcMar>
            <w:vAlign w:val="center"/>
          </w:tcPr>
          <w:p>
            <w:pPr>
              <w:pStyle w:val="TableContents"/>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4" w:type="dxa"/>
            <w:gridSpan w:val="9"/>
            <w:tcBorders/>
            <w:shd w:fill="auto" w:val="clear"/>
            <w:tcMar>
              <w:top w:w="0" w:type="dxa"/>
              <w:left w:w="0" w:type="dxa"/>
              <w:bottom w:w="0" w:type="dxa"/>
              <w:right w:w="0" w:type="dxa"/>
            </w:tcMar>
            <w:vAlign w:val="center"/>
          </w:tcPr>
          <w:p>
            <w:pPr>
              <w:pStyle w:val="TableContents"/>
              <w:spacing w:lineRule="auto" w:line="300"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p>
            <w:pPr>
              <w:pStyle w:val="TableContents"/>
              <w:spacing w:before="0" w:after="160"/>
              <w:jc w:val="left"/>
              <w:rPr/>
            </w:pPr>
            <w:r>
              <w:rPr/>
            </w:r>
          </w:p>
          <w:p>
            <w:pPr>
              <w:pStyle w:val="TableContents"/>
              <w:spacing w:before="0" w:after="160"/>
              <w:jc w:val="left"/>
              <w:rPr/>
            </w:pPr>
            <w:r>
              <w:rPr/>
            </w:r>
          </w:p>
          <w:p>
            <w:pPr>
              <w:pStyle w:val="TableContents"/>
              <w:spacing w:before="0" w:after="160"/>
              <w:jc w:val="left"/>
              <w:rPr/>
            </w:pPr>
            <w:r>
              <w:rPr/>
            </w:r>
          </w:p>
          <w:p>
            <w:pPr>
              <w:pStyle w:val="TableContents"/>
              <w:spacing w:before="0" w:after="160"/>
              <w:rPr/>
            </w:pPr>
            <w:r>
              <w:rPr/>
            </w:r>
          </w:p>
        </w:tc>
        <w:tc>
          <w:tcPr>
            <w:tcW w:w="981" w:type="dxa"/>
            <w:gridSpan w:val="9"/>
            <w:tcBorders/>
            <w:shd w:fill="auto" w:val="clear"/>
            <w:tcMar>
              <w:top w:w="0" w:type="dxa"/>
              <w:left w:w="0" w:type="dxa"/>
              <w:bottom w:w="0" w:type="dxa"/>
              <w:right w:w="0" w:type="dxa"/>
            </w:tcMar>
            <w:vAlign w:val="center"/>
          </w:tcPr>
          <w:p>
            <w:pPr>
              <w:pStyle w:val="TableContents"/>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0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Arden Lee</w:t>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9"/>
            <w:tcBorders/>
            <w:shd w:fill="auto" w:val="clear"/>
            <w:tcMar>
              <w:top w:w="0" w:type="dxa"/>
              <w:left w:w="0" w:type="dxa"/>
              <w:bottom w:w="0" w:type="dxa"/>
              <w:right w:w="0" w:type="dxa"/>
            </w:tcMar>
            <w:vAlign w:val="center"/>
          </w:tcPr>
          <w:p>
            <w:pPr>
              <w:pStyle w:val="TableContents"/>
              <w:spacing w:before="0" w:after="160"/>
              <w:rPr/>
            </w:pPr>
            <w:r>
              <w:rPr/>
            </w:r>
          </w:p>
          <w:p>
            <w:pPr>
              <w:pStyle w:val="TableContents"/>
              <w:spacing w:before="0" w:after="160"/>
              <w:rPr/>
            </w:pPr>
            <w:r>
              <w:rPr/>
            </w:r>
          </w:p>
          <w:p>
            <w:pPr>
              <w:pStyle w:val="TableContents"/>
              <w:spacing w:before="0" w:after="160"/>
              <w:rPr/>
            </w:pPr>
            <w:r>
              <w:rPr/>
            </w:r>
          </w:p>
          <w:p>
            <w:pPr>
              <w:pStyle w:val="TableContents"/>
              <w:spacing w:before="0" w:after="160"/>
              <w:rPr/>
            </w:pPr>
            <w:r>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Arden Lee</w:t>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9"/>
            <w:tcBorders/>
            <w:shd w:fill="auto" w:val="clear"/>
            <w:tcMar>
              <w:top w:w="0" w:type="dxa"/>
              <w:left w:w="0" w:type="dxa"/>
              <w:bottom w:w="0" w:type="dxa"/>
              <w:right w:w="0" w:type="dxa"/>
            </w:tcMar>
            <w:vAlign w:val="center"/>
          </w:tcPr>
          <w:p>
            <w:pPr>
              <w:pStyle w:val="TableContents"/>
              <w:spacing w:before="0" w:after="160"/>
              <w:rPr/>
            </w:pPr>
            <w:r>
              <w:rPr/>
            </w:r>
          </w:p>
          <w:p>
            <w:pPr>
              <w:pStyle w:val="TableContents"/>
              <w:spacing w:before="0" w:after="160"/>
              <w:rPr/>
            </w:pPr>
            <w:r>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3" w:type="dxa"/>
            <w:gridSpan w:val="9"/>
            <w:tcBorders/>
            <w:shd w:fill="auto" w:val="clear"/>
            <w:tcMar>
              <w:top w:w="0" w:type="dxa"/>
              <w:left w:w="0" w:type="dxa"/>
              <w:bottom w:w="0" w:type="dxa"/>
              <w:right w:w="0" w:type="dxa"/>
            </w:tcMar>
            <w:vAlign w:val="center"/>
          </w:tcPr>
          <w:p>
            <w:pPr>
              <w:pStyle w:val="TableContents"/>
              <w:spacing w:lineRule="auto" w:line="30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3" w:type="dxa"/>
            <w:gridSpan w:val="9"/>
            <w:tcBorders/>
            <w:shd w:fill="auto" w:val="clear"/>
            <w:tcMar>
              <w:top w:w="0" w:type="dxa"/>
              <w:left w:w="0" w:type="dxa"/>
              <w:bottom w:w="0" w:type="dxa"/>
              <w:right w:w="0" w:type="dxa"/>
            </w:tcMar>
            <w:vAlign w:val="center"/>
          </w:tcPr>
          <w:p>
            <w:pPr>
              <w:pStyle w:val="TableContents"/>
              <w:spacing w:lineRule="auto" w:line="300" w:before="0" w:after="4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175260"/>
                <wp:effectExtent l="0" t="0" r="0" b="0"/>
                <wp:wrapNone/>
                <wp:docPr id="54" name="Frame5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2"/>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OF EXECUTIVE CHAIR AND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Douglas Francis, the Executive Chair of WM Technology, Inc., certify, pursuant to 18 U.S.C. Section 1350, as adopted pursuant to Section 906 of the Sarbanes-Oxley Act of 2002, that the Quarterly Report on Form 10-Q of WM Technology, Inc. for the quarterly period ended March 31, 2023,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tbl>
      <w:tblPr>
        <w:tblW w:w="5614"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26"/>
        <w:gridCol w:w="126"/>
        <w:gridCol w:w="126"/>
        <w:gridCol w:w="126"/>
        <w:gridCol w:w="126"/>
        <w:gridCol w:w="126"/>
        <w:gridCol w:w="126"/>
        <w:gridCol w:w="126"/>
        <w:gridCol w:w="126"/>
        <w:gridCol w:w="109"/>
        <w:gridCol w:w="109"/>
        <w:gridCol w:w="109"/>
        <w:gridCol w:w="109"/>
        <w:gridCol w:w="109"/>
        <w:gridCol w:w="109"/>
        <w:gridCol w:w="109"/>
        <w:gridCol w:w="109"/>
        <w:gridCol w:w="109"/>
        <w:gridCol w:w="266"/>
        <w:gridCol w:w="266"/>
        <w:gridCol w:w="266"/>
        <w:gridCol w:w="266"/>
        <w:gridCol w:w="266"/>
        <w:gridCol w:w="266"/>
        <w:gridCol w:w="266"/>
        <w:gridCol w:w="266"/>
        <w:gridCol w:w="37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 w:type="dxa"/>
            <w:gridSpan w:val="9"/>
            <w:tcBorders/>
            <w:shd w:fill="auto" w:val="clear"/>
            <w:tcMar>
              <w:top w:w="0" w:type="dxa"/>
              <w:left w:w="0" w:type="dxa"/>
              <w:bottom w:w="0" w:type="dxa"/>
              <w:right w:w="0" w:type="dxa"/>
            </w:tcMar>
            <w:vAlign w:val="center"/>
          </w:tcPr>
          <w:p>
            <w:pPr>
              <w:pStyle w:val="TableContents"/>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4"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981" w:type="dxa"/>
            <w:gridSpan w:val="9"/>
            <w:tcBorders/>
            <w:shd w:fill="auto" w:val="clear"/>
            <w:tcMar>
              <w:top w:w="0" w:type="dxa"/>
              <w:left w:w="0" w:type="dxa"/>
              <w:bottom w:w="0" w:type="dxa"/>
              <w:right w:w="0" w:type="dxa"/>
            </w:tcMar>
            <w:vAlign w:val="center"/>
          </w:tcPr>
          <w:p>
            <w:pPr>
              <w:pStyle w:val="TableContents"/>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0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Douglas Francis</w:t>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Douglas Francis</w:t>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Chair</w:t>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3" w:type="dxa"/>
            <w:gridSpan w:val="9"/>
            <w:tcBorders/>
            <w:shd w:fill="auto" w:val="clear"/>
            <w:tcMar>
              <w:top w:w="0" w:type="dxa"/>
              <w:left w:w="0" w:type="dxa"/>
              <w:bottom w:w="0" w:type="dxa"/>
              <w:right w:w="0" w:type="dxa"/>
            </w:tcMar>
            <w:vAlign w:val="center"/>
          </w:tcPr>
          <w:p>
            <w:pPr>
              <w:pStyle w:val="TableContents"/>
              <w:spacing w:lineRule="auto" w:line="288" w:before="0" w:after="4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Arden Lee, the Chief Financial Officer of WM Technology, Inc., certify, pursuant to 18 U.S.C. Section 1350, as adopted pursuant to Section 906 of the Sarbanes-Oxley Act of 2002, that the Quarterly Report on Form 10-Q of WM Technology, Inc. for the quarterly period ended March 31, 2023, fully complies with the requirements of Section 13(a) or 15(d) of the Securities Exchange Act of 1934, and that information contained in such Quarterly Report on Form 10-Q fairly presents, in all material respects, the financial condition and results of operations of WM Technology, Inc.</w:t>
      </w:r>
    </w:p>
    <w:p>
      <w:pPr>
        <w:pStyle w:val="TextBody"/>
        <w:spacing w:before="0" w:after="0"/>
        <w:jc w:val="both"/>
        <w:rPr/>
      </w:pPr>
      <w:r>
        <w:rPr/>
      </w:r>
    </w:p>
    <w:tbl>
      <w:tblPr>
        <w:tblW w:w="8414"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26"/>
        <w:gridCol w:w="126"/>
        <w:gridCol w:w="126"/>
        <w:gridCol w:w="126"/>
        <w:gridCol w:w="126"/>
        <w:gridCol w:w="126"/>
        <w:gridCol w:w="126"/>
        <w:gridCol w:w="126"/>
        <w:gridCol w:w="126"/>
        <w:gridCol w:w="109"/>
        <w:gridCol w:w="109"/>
        <w:gridCol w:w="109"/>
        <w:gridCol w:w="109"/>
        <w:gridCol w:w="109"/>
        <w:gridCol w:w="109"/>
        <w:gridCol w:w="109"/>
        <w:gridCol w:w="109"/>
        <w:gridCol w:w="109"/>
        <w:gridCol w:w="563"/>
        <w:gridCol w:w="563"/>
        <w:gridCol w:w="563"/>
        <w:gridCol w:w="563"/>
        <w:gridCol w:w="563"/>
        <w:gridCol w:w="563"/>
        <w:gridCol w:w="563"/>
        <w:gridCol w:w="563"/>
        <w:gridCol w:w="79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96" w:type="dxa"/>
            <w:gridSpan w:val="9"/>
            <w:tcBorders/>
            <w:shd w:fill="auto" w:val="clear"/>
            <w:tcMar>
              <w:top w:w="0" w:type="dxa"/>
              <w:left w:w="0" w:type="dxa"/>
              <w:bottom w:w="0" w:type="dxa"/>
              <w:right w:w="0" w:type="dxa"/>
            </w:tcMar>
            <w:vAlign w:val="center"/>
          </w:tcPr>
          <w:p>
            <w:pPr>
              <w:pStyle w:val="TableContents"/>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4"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9, 2023</w:t>
            </w:r>
          </w:p>
        </w:tc>
        <w:tc>
          <w:tcPr>
            <w:tcW w:w="981" w:type="dxa"/>
            <w:gridSpan w:val="9"/>
            <w:tcBorders/>
            <w:shd w:fill="auto" w:val="clear"/>
            <w:tcMar>
              <w:top w:w="0" w:type="dxa"/>
              <w:left w:w="0" w:type="dxa"/>
              <w:bottom w:w="0" w:type="dxa"/>
              <w:right w:w="0" w:type="dxa"/>
            </w:tcMar>
            <w:vAlign w:val="center"/>
          </w:tcPr>
          <w:p>
            <w:pPr>
              <w:pStyle w:val="TableContents"/>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0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/s/ Arden Lee</w:t>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Arden Lee</w:t>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3" w:type="dxa"/>
            <w:gridSpan w:val="9"/>
            <w:tcBorders/>
            <w:shd w:fill="auto" w:val="clear"/>
            <w:tcMar>
              <w:top w:w="0" w:type="dxa"/>
              <w:left w:w="0" w:type="dxa"/>
              <w:bottom w:w="0" w:type="dxa"/>
              <w:right w:w="0" w:type="dxa"/>
            </w:tcMar>
            <w:vAlign w:val="center"/>
          </w:tcPr>
          <w:p>
            <w:pPr>
              <w:pStyle w:val="TableContents"/>
              <w:spacing w:lineRule="auto" w:line="288"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996"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4"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03" w:type="dxa"/>
            <w:gridSpan w:val="9"/>
            <w:tcBorders/>
            <w:shd w:fill="auto" w:val="clear"/>
            <w:tcMar>
              <w:top w:w="0" w:type="dxa"/>
              <w:left w:w="0" w:type="dxa"/>
              <w:bottom w:w="0" w:type="dxa"/>
              <w:right w:w="0" w:type="dxa"/>
            </w:tcMar>
            <w:vAlign w:val="center"/>
          </w:tcPr>
          <w:p>
            <w:pPr>
              <w:pStyle w:val="TableContents"/>
              <w:spacing w:lineRule="auto" w:line="288" w:before="0" w:after="4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175260"/>
                <wp:effectExtent l="0" t="0" r="0" b="0"/>
                <wp:wrapNone/>
                <wp:docPr id="55" name="Frame5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0001779474/000114036121021785/brhc10025756_ex3-1.htm" TargetMode="External"/><Relationship Id="rId4" Type="http://schemas.openxmlformats.org/officeDocument/2006/relationships/hyperlink" Target="https://www.sec.gov/Archives/edgar/data/0001779474/000114036121021785/brhc10025756_ex3-1.htm" TargetMode="External"/><Relationship Id="rId5" Type="http://schemas.openxmlformats.org/officeDocument/2006/relationships/hyperlink" Target="https://www.sec.gov/Archives/edgar/data/0001779474/000114036121021785/brhc10025756_ex3-2.htm" TargetMode="External"/><Relationship Id="rId6" Type="http://schemas.openxmlformats.org/officeDocument/2006/relationships/hyperlink" Target="https://www.sec.gov/Archives/edgar/data/0001779474/000114036121021785/brhc10025756_ex3-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28762</Words>
  <CharactersWithSpaces>189103</CharactersWithSpaces>
  <Paragraphs>2282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