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BAY ANTHONY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16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0000FF"/>
                <w:w w:val="95"/>
              </w:rPr>
              <w:t>C/O WM TECHNOLOGY, INC.</w:t>
            </w:r>
          </w:p>
        </w:tc>
        <w:tc>
          <w:tcPr>
            <w:tcW w:w="12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91"/>
              </w:rPr>
              <w:t>41 DISCOVERY</w:t>
            </w:r>
          </w:p>
        </w:tc>
        <w:tc>
          <w:tcPr>
            <w:tcW w:w="1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IRVINE</w:t>
            </w:r>
          </w:p>
        </w:tc>
        <w:tc>
          <w:tcPr>
            <w:tcW w:w="1160" w:type="dxa"/>
            <w:vAlign w:val="bottom"/>
          </w:tcPr>
          <w:p>
            <w:pPr>
              <w:ind w:left="20"/>
              <w:spacing w:after="0"/>
              <w:rPr>
                <w:sz w:val="20"/>
                <w:szCs w:val="20"/>
                <w:color w:val="auto"/>
              </w:rPr>
            </w:pPr>
            <w:r>
              <w:rPr>
                <w:rFonts w:ascii="Arial" w:cs="Arial" w:eastAsia="Arial" w:hAnsi="Arial"/>
                <w:sz w:val="18"/>
                <w:szCs w:val="18"/>
                <w:color w:val="0000FF"/>
              </w:rPr>
              <w:t>CA</w:t>
            </w:r>
          </w:p>
        </w:tc>
        <w:tc>
          <w:tcPr>
            <w:tcW w:w="1260" w:type="dxa"/>
            <w:vAlign w:val="bottom"/>
          </w:tcPr>
          <w:p>
            <w:pPr>
              <w:ind w:left="80"/>
              <w:spacing w:after="0"/>
              <w:rPr>
                <w:sz w:val="20"/>
                <w:szCs w:val="20"/>
                <w:color w:val="auto"/>
              </w:rPr>
            </w:pPr>
            <w:r>
              <w:rPr>
                <w:rFonts w:ascii="Arial" w:cs="Arial" w:eastAsia="Arial" w:hAnsi="Arial"/>
                <w:sz w:val="18"/>
                <w:szCs w:val="18"/>
                <w:color w:val="0000FF"/>
              </w:rPr>
              <w:t>92618</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500" w:type="dxa"/>
            <w:vAlign w:val="bottom"/>
            <w:gridSpan w:val="3"/>
          </w:tcPr>
          <w:p>
            <w:pPr>
              <w:ind w:left="80"/>
              <w:spacing w:after="0"/>
              <w:rPr>
                <w:sz w:val="20"/>
                <w:szCs w:val="20"/>
                <w:color w:val="auto"/>
              </w:rPr>
            </w:pPr>
            <w:r>
              <w:rPr>
                <w:rFonts w:ascii="Arial" w:cs="Arial" w:eastAsia="Arial" w:hAnsi="Arial"/>
                <w:sz w:val="18"/>
                <w:szCs w:val="18"/>
                <w:color w:val="0000FF"/>
              </w:rPr>
              <w:t>06/21/2023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06/21/2023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225,988</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343,278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number of shares of Common Stock underlying restricted stock units ("RSUs"). Each RSU represents the contingent right to receive one share of the Issuer's Common Stock. The RSUs will fully vest on the earlier of June 21, 2024 or the date of the Issuer's next annual meeting of stockholders, subject to acceleration, and subject to the Reporting Person's Continuous Service (as defined in the Issuer's 2021 Equity Incentive Plan) through such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Anthony Bay, by /s/ Ron A.</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06/23/2023</w:t>
            </w:r>
          </w:p>
        </w:tc>
        <w:tc>
          <w:tcPr>
            <w:tcW w:w="0" w:type="dxa"/>
            <w:vAlign w:val="bottom"/>
          </w:tcPr>
          <w:p>
            <w:pPr>
              <w:spacing w:after="0"/>
              <w:rPr>
                <w:sz w:val="1"/>
                <w:szCs w:val="1"/>
                <w:color w:val="auto"/>
              </w:rPr>
            </w:pPr>
          </w:p>
        </w:tc>
      </w:tr>
      <w:tr>
        <w:trPr>
          <w:trHeight w:val="88"/>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5"/>
              </w:rPr>
              <w:t>Metzger, Attorney-in-Fact</w:t>
            </w: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4114"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2023-06-23T15:23:36Z</dcterms:created>
  <dcterms:modified xsi:type="dcterms:W3CDTF">2023-06-23T15:23:36Z</dcterms:modified>
</cp:coreProperties>
</file>