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333-261466</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Prospectus Supplement No. 4</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4445</wp:posOffset>
            </wp:positionV>
            <wp:extent cx="257175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This prospectus supplement updates and supplements the prospectus dated May 5, 2022 (the “Prospectus”), which forms a part of our Registration Statement on Form S-1, as amended (Registration No. 333-261466). This prospectus supplement is being filed to update and supplement the information in the Prospectus with the information contained in our Current Report on Form 8-K filed with the Securities and Exchange Commission on August 9, 2022 (the “Current Report on Form 8-K”). Accordingly, we have attached the Current Report on Form 8-K to this prospectus supplement. As noted in the Current Report on Form 8-K, Item 2.02 and Exhibit 99.1 shall not be deemed incorporated by reference into the Prospectus.</w:t>
      </w:r>
    </w:p>
    <w:p>
      <w:pPr>
        <w:spacing w:after="0" w:line="212" w:lineRule="exact"/>
        <w:rPr>
          <w:sz w:val="24"/>
          <w:szCs w:val="24"/>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You should read this prospectus supplement in conjunction with the Prospectus, including any amendments or supplements to it.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 You should not assume that the information provided in this prospectus supplement, the Prospectus or any prior prospectus supplement is accurate as of any date other than their respective dates. Neither the delivery of this prospectus supplement, the Prospectus or any prior prospectus supplement, nor any sale made hereunder or thereunder, shall under any circumstances create any implication that there has been no change in our affairs since the date of this prospectus supplement, or that the information contained in this prospectus supplement, the Prospectus or any prior prospectus supplement is correct as of any time after the date of that information.</w:t>
      </w:r>
    </w:p>
    <w:p>
      <w:pPr>
        <w:spacing w:after="0" w:line="214"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“MAPS.” On August 9, 2022, the closing price of our Class A Common Stock was $3.57.</w:t>
      </w:r>
    </w:p>
    <w:p>
      <w:pPr>
        <w:spacing w:after="0" w:line="185" w:lineRule="exact"/>
        <w:rPr>
          <w:sz w:val="24"/>
          <w:szCs w:val="24"/>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SEE THE SECTION ENTITLED “RISK FACTORS” BEGINNING ON PAGE 5 OF THE PROSPECTUS, AS UPDATED AND SUPPLEMENTED UNDER SIMILAR HEADINGS IN ANY FURTHER AMENDMENTS OR SUPPLEMENTS TO THE PROSPECTUS, TO READ ABOUT FACTORS YOU SHOULD CONSIDER BEFORE BUYING OUR SECURITIES.</w:t>
      </w:r>
    </w:p>
    <w:p>
      <w:pPr>
        <w:spacing w:after="0" w:line="20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9, 2022.</w:t>
      </w:r>
    </w:p>
    <w:p>
      <w:pPr>
        <w:sectPr>
          <w:pgSz w:w="11900" w:h="16838" w:orient="portrait"/>
          <w:cols w:equalWidth="0" w:num="1">
            <w:col w:w="11240"/>
          </w:cols>
          <w:pgMar w:left="320" w:top="1049" w:right="339" w:bottom="1440" w:gutter="0" w:footer="0" w:header="0"/>
        </w:sectPr>
      </w:pPr>
    </w:p>
    <w:bookmarkStart w:id="1" w:name="page2"/>
    <w:bookmarkEnd w:id="1"/>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603250</wp:posOffset>
            </wp:positionV>
            <wp:extent cx="19113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8890"/>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483235</wp:posOffset>
            </wp:positionV>
            <wp:extent cx="191135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0"/>
          <w:szCs w:val="20"/>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0"/>
          <w:szCs w:val="20"/>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0"/>
          <w:szCs w:val="20"/>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0"/>
          <w:szCs w:val="20"/>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0"/>
          <w:szCs w:val="20"/>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0"/>
          <w:szCs w:val="20"/>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0"/>
          <w:szCs w:val="20"/>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0"/>
          <w:szCs w:val="20"/>
          <w:color w:val="auto"/>
        </w:rPr>
      </w:pPr>
    </w:p>
    <w:p>
      <w:pPr>
        <w:ind w:left="234"/>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30" w:lineRule="exact"/>
        <w:rPr>
          <w:sz w:val="20"/>
          <w:szCs w:val="20"/>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0"/>
          <w:szCs w:val="20"/>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6" w:lineRule="exact"/>
        <w:rPr>
          <w:sz w:val="20"/>
          <w:szCs w:val="20"/>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ectPr>
          <w:pgSz w:w="11900" w:h="16838" w:orient="portrait"/>
          <w:cols w:equalWidth="0" w:num="1">
            <w:col w:w="11014"/>
          </w:cols>
          <w:pgMar w:left="346" w:top="1029" w:right="539" w:bottom="1440" w:gutter="0" w:footer="0" w:header="0"/>
        </w:sectPr>
      </w:pPr>
    </w:p>
    <w:p>
      <w:pPr>
        <w:spacing w:after="0" w:line="81" w:lineRule="exact"/>
        <w:rPr>
          <w:sz w:val="20"/>
          <w:szCs w:val="20"/>
          <w:color w:val="auto"/>
        </w:rPr>
      </w:pPr>
    </w:p>
    <w:p>
      <w:pPr>
        <w:ind w:left="59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0"/>
          <w:szCs w:val="20"/>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0"/>
          <w:szCs w:val="20"/>
          <w:color w:val="auto"/>
        </w:rPr>
      </w:pPr>
    </w:p>
    <w:p>
      <w:pPr>
        <w:sectPr>
          <w:pgSz w:w="11900" w:h="16838" w:orient="portrait"/>
          <w:cols w:equalWidth="0" w:num="2">
            <w:col w:w="4934" w:space="720"/>
            <w:col w:w="5360"/>
          </w:cols>
          <w:pgMar w:left="346" w:top="1029" w:right="539" w:bottom="1440" w:gutter="0" w:footer="0" w:header="0"/>
          <w:type w:val="continuous"/>
        </w:sectPr>
      </w:pPr>
    </w:p>
    <w:p>
      <w:pPr>
        <w:spacing w:after="0" w:line="259" w:lineRule="exact"/>
        <w:rPr>
          <w:sz w:val="20"/>
          <w:szCs w:val="20"/>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0"/>
          <w:szCs w:val="20"/>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0"/>
          <w:szCs w:val="20"/>
          <w:color w:val="auto"/>
        </w:rPr>
      </w:pPr>
    </w:p>
    <w:p>
      <w:pPr>
        <w:ind w:left="234"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14"/>
          </w:cols>
          <w:pgMar w:left="346" w:top="1029" w:right="5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 Results of Operations and Financial Conditions</w:t>
      </w:r>
    </w:p>
    <w:p>
      <w:pPr>
        <w:spacing w:after="0" w:line="283" w:lineRule="exact"/>
        <w:rPr>
          <w:sz w:val="20"/>
          <w:szCs w:val="20"/>
          <w:color w:val="auto"/>
        </w:rPr>
      </w:pPr>
    </w:p>
    <w:p>
      <w:pPr>
        <w:jc w:val="both"/>
        <w:ind w:left="260"/>
        <w:spacing w:after="0" w:line="266" w:lineRule="auto"/>
        <w:rPr>
          <w:sz w:val="20"/>
          <w:szCs w:val="20"/>
          <w:color w:val="auto"/>
        </w:rPr>
      </w:pPr>
      <w:r>
        <w:rPr>
          <w:rFonts w:ascii="Times New Roman" w:cs="Times New Roman" w:eastAsia="Times New Roman" w:hAnsi="Times New Roman"/>
          <w:sz w:val="18"/>
          <w:szCs w:val="18"/>
          <w:color w:val="auto"/>
        </w:rPr>
        <w:t>On August 9, 2022, WM Technology, Inc. (the "Company") announced its financial results for the second quarter ended June 30, 2022. The full text of the press release issued in connection with the announcement is furnished as Exhibit 99.1 to this Current Report on Form 8-K and is incorporated by reference.</w:t>
      </w:r>
    </w:p>
    <w:p>
      <w:pPr>
        <w:spacing w:after="0" w:line="270"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ind w:left="260"/>
        <w:spacing w:after="0" w:line="266" w:lineRule="auto"/>
        <w:rPr>
          <w:sz w:val="20"/>
          <w:szCs w:val="20"/>
          <w:color w:val="auto"/>
        </w:rPr>
      </w:pPr>
      <w:r>
        <w:rPr>
          <w:rFonts w:ascii="Times New Roman" w:cs="Times New Roman" w:eastAsia="Times New Roman" w:hAnsi="Times New Roman"/>
          <w:sz w:val="18"/>
          <w:szCs w:val="18"/>
          <w:color w:val="auto"/>
        </w:rPr>
        <w:t>On August 9, 2022, the Company announced the appointment of Douglas Francis as Executive Chair of the Company’s Board of Directors (the “Board”). For additional information regarding Mr. Francis, see the Company’s Proxy Statement filed with the Securities and Exchange Commission on April 29,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38" w:lineRule="exact"/>
        <w:rPr>
          <w:sz w:val="20"/>
          <w:szCs w:val="20"/>
          <w:color w:val="auto"/>
        </w:rPr>
      </w:pPr>
    </w:p>
    <w:p>
      <w:pPr>
        <w:ind w:left="300"/>
        <w:spacing w:after="0"/>
        <w:tabs>
          <w:tab w:leader="none" w:pos="1020" w:val="left"/>
        </w:tabs>
        <w:rPr>
          <w:rFonts w:ascii="Times New Roman" w:cs="Times New Roman" w:eastAsia="Times New Roman" w:hAnsi="Times New Roman"/>
          <w:sz w:val="17"/>
          <w:szCs w:val="17"/>
          <w:u w:val="single" w:color="auto"/>
          <w:color w:val="0000FF"/>
        </w:rPr>
      </w:pPr>
      <w:hyperlink r:id="rId17">
        <w:r>
          <w:rPr>
            <w:rFonts w:ascii="Times New Roman" w:cs="Times New Roman" w:eastAsia="Times New Roman" w:hAnsi="Times New Roman"/>
            <w:sz w:val="18"/>
            <w:szCs w:val="18"/>
            <w:u w:val="single" w:color="auto"/>
            <w:color w:val="0000FF"/>
          </w:rPr>
          <w:t>99.1</w:t>
        </w:r>
      </w:hyperlink>
      <w:r>
        <w:rPr>
          <w:rFonts w:ascii="Times New Roman" w:cs="Times New Roman" w:eastAsia="Times New Roman" w:hAnsi="Times New Roman"/>
          <w:sz w:val="18"/>
          <w:szCs w:val="18"/>
          <w:u w:val="single" w:color="auto"/>
          <w:color w:val="0000FF"/>
        </w:rPr>
        <w:tab/>
      </w:r>
      <w:hyperlink r:id="rId17">
        <w:r>
          <w:rPr>
            <w:rFonts w:ascii="Times New Roman" w:cs="Times New Roman" w:eastAsia="Times New Roman" w:hAnsi="Times New Roman"/>
            <w:sz w:val="17"/>
            <w:szCs w:val="17"/>
            <w:u w:val="single" w:color="auto"/>
            <w:color w:val="0000FF"/>
          </w:rPr>
          <w:t>Press Release dated August 9, 2022</w:t>
        </w:r>
      </w:hyperlink>
    </w:p>
    <w:p>
      <w:pPr>
        <w:sectPr>
          <w:pgSz w:w="11900" w:h="16838" w:orient="portrait"/>
          <w:cols w:equalWidth="0" w:num="1">
            <w:col w:w="11020"/>
          </w:cols>
          <w:pgMar w:left="320" w:top="1035" w:right="55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7" Type="http://schemas.openxmlformats.org/officeDocument/2006/relationships/hyperlink" Target="https://www.sec.gov/Archives/edgar/data/0001779474/000177947422000056/wmtechnologyincearningsre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2022-08-10T05:31:29Z</dcterms:created>
  <dcterms:modified xsi:type="dcterms:W3CDTF">2022-08-10T05:31:29Z</dcterms:modified>
</cp:coreProperties>
</file>