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r>
      <w:tr>
        <w:trPr>
          <w:trHeight w:val="383"/>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r>
      <w:tr>
        <w:trPr>
          <w:trHeight w:val="30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17"/>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FORM 10-Q</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0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r>
      <w:tr>
        <w:trPr>
          <w:trHeight w:val="250"/>
        </w:trPr>
        <w:tc>
          <w:tcPr>
            <w:tcW w:w="900" w:type="dxa"/>
            <w:vAlign w:val="bottom"/>
          </w:tcPr>
          <w:p>
            <w:pPr>
              <w:spacing w:after="0"/>
              <w:rPr>
                <w:sz w:val="21"/>
                <w:szCs w:val="21"/>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tc>
      </w:tr>
      <w:tr>
        <w:trPr>
          <w:trHeight w:val="279"/>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402"/>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219"/>
        </w:trPr>
        <w:tc>
          <w:tcPr>
            <w:tcW w:w="900" w:type="dxa"/>
            <w:vAlign w:val="bottom"/>
          </w:tcPr>
          <w:p>
            <w:pPr>
              <w:spacing w:after="0"/>
              <w:rPr>
                <w:sz w:val="19"/>
                <w:szCs w:val="19"/>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tc>
      </w:tr>
      <w:tr>
        <w:trPr>
          <w:trHeight w:val="269"/>
        </w:trPr>
        <w:tc>
          <w:tcPr>
            <w:tcW w:w="900" w:type="dxa"/>
            <w:vAlign w:val="bottom"/>
          </w:tcPr>
          <w:p>
            <w:pPr>
              <w:spacing w:after="0"/>
              <w:rPr>
                <w:sz w:val="23"/>
                <w:szCs w:val="23"/>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90"/>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(844) 933-3627</w:t>
            </w:r>
          </w:p>
        </w:tc>
        <w:tc>
          <w:tcPr>
            <w:tcW w:w="3740" w:type="dxa"/>
            <w:vAlign w:val="bottom"/>
          </w:tcPr>
          <w:p>
            <w:pPr>
              <w:spacing w:after="0"/>
              <w:rPr>
                <w:sz w:val="24"/>
                <w:szCs w:val="24"/>
                <w:color w:val="auto"/>
              </w:rPr>
            </w:pPr>
          </w:p>
        </w:tc>
      </w:tr>
      <w:tr>
        <w:trPr>
          <w:trHeight w:val="188"/>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color w:val="auto"/>
              </w:rPr>
              <w:t>(Registrant’ telephone number, including area code)</w:t>
            </w:r>
          </w:p>
        </w:tc>
        <w:tc>
          <w:tcPr>
            <w:tcW w:w="3740" w:type="dxa"/>
            <w:vAlign w:val="bottom"/>
          </w:tcPr>
          <w:p>
            <w:pPr>
              <w:spacing w:after="0"/>
              <w:rPr>
                <w:sz w:val="16"/>
                <w:szCs w:val="16"/>
                <w:color w:val="auto"/>
              </w:rPr>
            </w:pPr>
          </w:p>
        </w:tc>
      </w:tr>
      <w:tr>
        <w:trPr>
          <w:trHeight w:val="283"/>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w w:val="99"/>
              </w:rPr>
              <w:t>MAPS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190"/>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 at</w:t>
            </w:r>
          </w:p>
        </w:tc>
        <w:tc>
          <w:tcPr>
            <w:tcW w:w="24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 exercise price of $11.50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MAPSW</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11"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5"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229" w:right="339" w:bottom="1440" w:gutter="0" w:footer="0" w:header="0"/>
          <w:type w:val="continuous"/>
        </w:sect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7"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4, 2024, there were 97,376,026 shares of the registrant’s Class A common stock outstanding and 55,486,361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WM TECHNOLOGY, INC.</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7120" w:type="dxa"/>
            <w:vAlign w:val="bottom"/>
            <w:gridSpan w:val="11"/>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 2024 and 2023</w:t>
            </w:r>
          </w:p>
        </w:tc>
        <w:tc>
          <w:tcPr>
            <w:tcW w:w="600" w:type="dxa"/>
            <w:vAlign w:val="bottom"/>
          </w:tcPr>
          <w:p>
            <w:pPr>
              <w:spacing w:after="0"/>
              <w:rPr>
                <w:sz w:val="17"/>
                <w:szCs w:val="17"/>
                <w:color w:val="auto"/>
              </w:rPr>
            </w:pPr>
          </w:p>
        </w:tc>
        <w:tc>
          <w:tcPr>
            <w:tcW w:w="48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and Nine Months Ended September 30, 2024 and 2023</w:t>
            </w:r>
          </w:p>
        </w:tc>
        <w:tc>
          <w:tcPr>
            <w:tcW w:w="60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w:t>
            </w:r>
          </w:p>
        </w:tc>
        <w:tc>
          <w:tcPr>
            <w:tcW w:w="920" w:type="dxa"/>
            <w:vAlign w:val="bottom"/>
            <w:gridSpan w:val="2"/>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920" w:type="dxa"/>
            <w:vAlign w:val="bottom"/>
            <w:gridSpan w:val="6"/>
          </w:tcPr>
          <w:p>
            <w:pPr>
              <w:spacing w:after="0"/>
              <w:rPr>
                <w:sz w:val="20"/>
                <w:szCs w:val="20"/>
                <w:color w:val="auto"/>
              </w:rPr>
            </w:pPr>
          </w:p>
        </w:tc>
        <w:tc>
          <w:tcPr>
            <w:tcW w:w="1320" w:type="dxa"/>
            <w:vAlign w:val="bottom"/>
            <w:gridSpan w:val="3"/>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30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0000EE"/>
          </w:tcPr>
          <w:p>
            <w:pPr>
              <w:spacing w:after="0" w:line="20" w:lineRule="exact"/>
              <w:rPr>
                <w:sz w:val="1"/>
                <w:szCs w:val="1"/>
                <w:color w:val="auto"/>
              </w:rPr>
            </w:pPr>
          </w:p>
        </w:tc>
        <w:tc>
          <w:tcPr>
            <w:tcW w:w="300" w:type="dxa"/>
            <w:vAlign w:val="bottom"/>
            <w:tcBorders>
              <w:top w:val="single" w:sz="8" w:color="0000EE"/>
            </w:tcBorders>
            <w:shd w:val="clear" w:color="auto" w:fill="0000EE"/>
          </w:tcPr>
          <w:p>
            <w:pPr>
              <w:spacing w:after="0" w:line="20" w:lineRule="exact"/>
              <w:rPr>
                <w:sz w:val="1"/>
                <w:szCs w:val="1"/>
                <w:color w:val="auto"/>
              </w:rPr>
            </w:pPr>
          </w:p>
        </w:tc>
        <w:tc>
          <w:tcPr>
            <w:tcW w:w="4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560" w:type="dxa"/>
            <w:vAlign w:val="bottom"/>
            <w:tcBorders>
              <w:top w:val="single" w:sz="8" w:color="0000EE"/>
            </w:tcBorders>
            <w:gridSpan w:val="2"/>
            <w:shd w:val="clear" w:color="auto" w:fill="0000EE"/>
          </w:tcPr>
          <w:p>
            <w:pPr>
              <w:spacing w:after="0" w:line="20" w:lineRule="exact"/>
              <w:rPr>
                <w:sz w:val="1"/>
                <w:szCs w:val="1"/>
                <w:color w:val="auto"/>
              </w:rPr>
            </w:pPr>
          </w:p>
        </w:tc>
        <w:tc>
          <w:tcPr>
            <w:tcW w:w="2020" w:type="dxa"/>
            <w:vAlign w:val="bottom"/>
            <w:tcBorders>
              <w:top w:val="single" w:sz="8" w:color="0000EE"/>
            </w:tcBorders>
            <w:gridSpan w:val="3"/>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2080" w:type="dxa"/>
            <w:vAlign w:val="bottom"/>
            <w:tcBorders>
              <w:top w:val="single" w:sz="8" w:color="0000EE"/>
            </w:tcBorders>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44</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18"/>
                <w:szCs w:val="18"/>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spacing w:after="0"/>
              <w:rPr>
                <w:sz w:val="18"/>
                <w:szCs w:val="18"/>
                <w:color w:val="auto"/>
              </w:rPr>
            </w:pPr>
          </w:p>
        </w:tc>
        <w:tc>
          <w:tcPr>
            <w:tcW w:w="180" w:type="dxa"/>
            <w:vAlign w:val="bottom"/>
            <w:tcBorders>
              <w:bottom w:val="single" w:sz="8" w:color="0000EE"/>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3"/>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5"/>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EE"/>
                <w:w w:val="99"/>
              </w:rPr>
              <w:t>45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53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8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Exchange;</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49"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the state of war between Israel and Hamas and the related risk of a larger regional conflict; and the occurrence of a catastrophic event, including but not limited to severe weather, war, or terrorist attack;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2023, filed with the SEC on May 24, 2024. Moreover, we operate in a very competitive and rapidly changing environment. New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30"/>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September 30, 2024 and December 31, 2023</w:t>
            </w: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97,376,026</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September 30, 2024 and 94,383,053 shares issued and</w:t>
            </w: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76"/>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55,486,361 shares</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w:t>
            </w: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80,884</w:t>
            </w: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(64,518)</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r>
      <w:tr>
        <w:trPr>
          <w:trHeight w:val="223"/>
        </w:trPr>
        <w:tc>
          <w:tcPr>
            <w:tcW w:w="7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103,151</w:t>
            </w:r>
          </w:p>
        </w:tc>
      </w:tr>
      <w:tr>
        <w:trPr>
          <w:trHeight w:val="248"/>
        </w:trPr>
        <w:tc>
          <w:tcPr>
            <w:tcW w:w="7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7220" w:type="dxa"/>
            <w:vAlign w:val="bottom"/>
            <w:gridSpan w:val="8"/>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20" w:type="dxa"/>
            <w:vAlign w:val="bottom"/>
            <w:gridSpan w:val="8"/>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4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840" w:type="dxa"/>
            <w:vAlign w:val="bottom"/>
            <w:gridSpan w:val="6"/>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90"/>
              <w:spacing w:after="0" w:line="243" w:lineRule="exact"/>
              <w:rPr>
                <w:sz w:val="20"/>
                <w:szCs w:val="20"/>
                <w:color w:val="auto"/>
              </w:rPr>
            </w:pPr>
            <w:r>
              <w:rPr>
                <w:rFonts w:ascii="Times New Roman" w:cs="Times New Roman" w:eastAsia="Times New Roman" w:hAnsi="Times New Roman"/>
                <w:sz w:val="18"/>
                <w:szCs w:val="18"/>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57"/>
        </w:trPr>
        <w:tc>
          <w:tcPr>
            <w:tcW w:w="510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0" w:type="dxa"/>
            <w:vAlign w:val="bottom"/>
          </w:tcPr>
          <w:p>
            <w:pPr>
              <w:spacing w:after="0"/>
              <w:rPr>
                <w:sz w:val="1"/>
                <w:szCs w:val="1"/>
                <w:color w:val="auto"/>
              </w:rPr>
            </w:pPr>
          </w:p>
        </w:tc>
      </w:tr>
      <w:tr>
        <w:trPr>
          <w:trHeight w:val="229"/>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0" w:type="dxa"/>
            <w:vAlign w:val="bottom"/>
          </w:tcPr>
          <w:p>
            <w:pPr>
              <w:spacing w:after="0"/>
              <w:rPr>
                <w:sz w:val="1"/>
                <w:szCs w:val="1"/>
                <w:color w:val="auto"/>
              </w:rPr>
            </w:pPr>
          </w:p>
        </w:tc>
      </w:tr>
      <w:tr>
        <w:trPr>
          <w:trHeight w:val="230"/>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23"/>
        </w:trPr>
        <w:tc>
          <w:tcPr>
            <w:tcW w:w="5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9"/>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0"/>
        </w:trPr>
        <w:tc>
          <w:tcPr>
            <w:tcW w:w="510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0" w:type="dxa"/>
            <w:vAlign w:val="bottom"/>
          </w:tcPr>
          <w:p>
            <w:pPr>
              <w:spacing w:after="0"/>
              <w:rPr>
                <w:sz w:val="1"/>
                <w:szCs w:val="1"/>
                <w:color w:val="auto"/>
              </w:rPr>
            </w:pPr>
          </w:p>
        </w:tc>
      </w:tr>
      <w:tr>
        <w:trPr>
          <w:trHeight w:val="234"/>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97,811,251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-4323080</wp:posOffset>
            </wp:positionV>
            <wp:extent cx="60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-4323080</wp:posOffset>
            </wp:positionV>
            <wp:extent cx="60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5" w:lineRule="exact"/>
        <w:rPr>
          <w:sz w:val="20"/>
          <w:szCs w:val="20"/>
          <w:color w:val="auto"/>
        </w:rPr>
      </w:pPr>
    </w:p>
    <w:p>
      <w:pPr>
        <w:ind w:firstLine="8"/>
        <w:spacing w:after="0" w:line="220" w:lineRule="auto"/>
        <w:tabs>
          <w:tab w:leader="none" w:pos="159"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2024</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2020" w:type="dxa"/>
            <w:vAlign w:val="bottom"/>
          </w:tcPr>
          <w:p>
            <w:pPr>
              <w:spacing w:after="0"/>
              <w:rPr>
                <w:sz w:val="24"/>
                <w:szCs w:val="24"/>
                <w:color w:val="auto"/>
              </w:rPr>
            </w:pPr>
          </w:p>
        </w:tc>
        <w:tc>
          <w:tcPr>
            <w:tcW w:w="18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3"/>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20" w:type="dxa"/>
            <w:vAlign w:val="bottom"/>
          </w:tcPr>
          <w:p>
            <w:pPr>
              <w:spacing w:after="0"/>
              <w:rPr>
                <w:sz w:val="7"/>
                <w:szCs w:val="7"/>
                <w:color w:val="auto"/>
              </w:rPr>
            </w:pPr>
          </w:p>
        </w:tc>
        <w:tc>
          <w:tcPr>
            <w:tcW w:w="9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20" w:type="dxa"/>
            <w:vAlign w:val="bottom"/>
          </w:tcPr>
          <w:p>
            <w:pPr>
              <w:spacing w:after="0"/>
              <w:rPr>
                <w:sz w:val="5"/>
                <w:szCs w:val="5"/>
                <w:color w:val="auto"/>
              </w:rPr>
            </w:pPr>
          </w:p>
        </w:tc>
        <w:tc>
          <w:tcPr>
            <w:tcW w:w="1800" w:type="dxa"/>
            <w:vAlign w:val="bottom"/>
            <w:gridSpan w:val="3"/>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vMerge w:val="restart"/>
          </w:tcPr>
          <w:p>
            <w:pPr>
              <w:spacing w:after="0"/>
              <w:rPr>
                <w:sz w:val="5"/>
                <w:szCs w:val="5"/>
                <w:color w:val="auto"/>
              </w:rPr>
            </w:pPr>
          </w:p>
        </w:tc>
        <w:tc>
          <w:tcPr>
            <w:tcW w:w="1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20" w:type="dxa"/>
            <w:vAlign w:val="bottom"/>
          </w:tcPr>
          <w:p>
            <w:pPr>
              <w:spacing w:after="0"/>
              <w:rPr>
                <w:sz w:val="11"/>
                <w:szCs w:val="11"/>
                <w:color w:val="auto"/>
              </w:rPr>
            </w:pPr>
          </w:p>
        </w:tc>
        <w:tc>
          <w:tcPr>
            <w:tcW w:w="180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2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9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1"/>
        </w:trPr>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94,383,053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55,486,361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86,771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103,151</w:t>
            </w:r>
          </w:p>
        </w:tc>
        <w:tc>
          <w:tcPr>
            <w:tcW w:w="0" w:type="dxa"/>
            <w:vAlign w:val="bottom"/>
          </w:tcPr>
          <w:p>
            <w:pPr>
              <w:spacing w:after="0"/>
              <w:rPr>
                <w:sz w:val="1"/>
                <w:szCs w:val="1"/>
                <w:color w:val="auto"/>
              </w:rPr>
            </w:pPr>
          </w:p>
        </w:tc>
      </w:tr>
      <w:tr>
        <w:trPr>
          <w:trHeight w:val="195"/>
        </w:trPr>
        <w:tc>
          <w:tcPr>
            <w:tcW w:w="2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628,941</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39,741</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P Unit exchange</w:t>
            </w: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203"/>
        </w:trPr>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95,051,735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55,486,361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84,056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86,036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106,828</w:t>
            </w:r>
          </w:p>
        </w:tc>
        <w:tc>
          <w:tcPr>
            <w:tcW w:w="0" w:type="dxa"/>
            <w:vAlign w:val="bottom"/>
          </w:tcPr>
          <w:p>
            <w:pPr>
              <w:spacing w:after="0"/>
              <w:rPr>
                <w:sz w:val="1"/>
                <w:szCs w:val="1"/>
                <w:color w:val="auto"/>
              </w:rPr>
            </w:pPr>
          </w:p>
        </w:tc>
      </w:tr>
      <w:tr>
        <w:trPr>
          <w:trHeight w:val="195"/>
        </w:trPr>
        <w:tc>
          <w:tcPr>
            <w:tcW w:w="2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1,896,515</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96,948,250</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9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55,486,361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87,005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(62,562)</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84,728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109,186</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0" w:type="dxa"/>
            <w:vAlign w:val="bottom"/>
          </w:tcPr>
          <w:p>
            <w:pPr>
              <w:spacing w:after="0"/>
              <w:rPr>
                <w:sz w:val="1"/>
                <w:szCs w:val="1"/>
                <w:color w:val="auto"/>
              </w:rPr>
            </w:pPr>
          </w:p>
        </w:tc>
      </w:tr>
      <w:tr>
        <w:trPr>
          <w:trHeight w:val="139"/>
        </w:trPr>
        <w:tc>
          <w:tcPr>
            <w:tcW w:w="20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427,776</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2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0" w:type="dxa"/>
            <w:vAlign w:val="bottom"/>
          </w:tcPr>
          <w:p>
            <w:pPr>
              <w:spacing w:after="0"/>
              <w:rPr>
                <w:sz w:val="1"/>
                <w:szCs w:val="1"/>
                <w:color w:val="auto"/>
              </w:rPr>
            </w:pPr>
          </w:p>
        </w:tc>
      </w:tr>
      <w:tr>
        <w:trPr>
          <w:trHeight w:val="196"/>
        </w:trPr>
        <w:tc>
          <w:tcPr>
            <w:tcW w:w="2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0" w:type="dxa"/>
            <w:vAlign w:val="bottom"/>
          </w:tcPr>
          <w:p>
            <w:pPr>
              <w:spacing w:after="0"/>
              <w:rPr>
                <w:sz w:val="1"/>
                <w:szCs w:val="1"/>
                <w:color w:val="auto"/>
              </w:rPr>
            </w:pPr>
          </w:p>
        </w:tc>
      </w:tr>
      <w:tr>
        <w:trPr>
          <w:trHeight w:val="228"/>
        </w:trPr>
        <w:tc>
          <w:tcPr>
            <w:tcW w:w="2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97,376,026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55,486,361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88,762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85,443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114,990</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11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20" w:type="dxa"/>
            <w:vAlign w:val="bottom"/>
            <w:gridSpan w:val="12"/>
          </w:tcPr>
          <w:p>
            <w:pPr>
              <w:ind w:left="8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3"/>
        </w:trPr>
        <w:tc>
          <w:tcPr>
            <w:tcW w:w="2040" w:type="dxa"/>
            <w:vAlign w:val="bottom"/>
          </w:tcPr>
          <w:p>
            <w:pPr>
              <w:spacing w:after="0"/>
              <w:rPr>
                <w:sz w:val="24"/>
                <w:szCs w:val="24"/>
                <w:color w:val="auto"/>
              </w:rPr>
            </w:pPr>
          </w:p>
        </w:tc>
        <w:tc>
          <w:tcPr>
            <w:tcW w:w="19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900" w:type="dxa"/>
            <w:vAlign w:val="bottom"/>
            <w:gridSpan w:val="4"/>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120" w:type="dxa"/>
            <w:vAlign w:val="bottom"/>
          </w:tcPr>
          <w:p>
            <w:pPr>
              <w:spacing w:after="0"/>
              <w:rPr>
                <w:sz w:val="7"/>
                <w:szCs w:val="7"/>
                <w:color w:val="auto"/>
              </w:rPr>
            </w:pPr>
          </w:p>
        </w:tc>
        <w:tc>
          <w:tcPr>
            <w:tcW w:w="92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40" w:type="dxa"/>
            <w:vAlign w:val="bottom"/>
          </w:tcPr>
          <w:p>
            <w:pPr>
              <w:spacing w:after="0"/>
              <w:rPr>
                <w:sz w:val="5"/>
                <w:szCs w:val="5"/>
                <w:color w:val="auto"/>
              </w:rPr>
            </w:pPr>
          </w:p>
        </w:tc>
        <w:tc>
          <w:tcPr>
            <w:tcW w:w="1800" w:type="dxa"/>
            <w:vAlign w:val="bottom"/>
            <w:gridSpan w:val="3"/>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vMerge w:val="restart"/>
          </w:tcPr>
          <w:p>
            <w:pPr>
              <w:spacing w:after="0"/>
              <w:rPr>
                <w:sz w:val="5"/>
                <w:szCs w:val="5"/>
                <w:color w:val="auto"/>
              </w:rPr>
            </w:pPr>
          </w:p>
        </w:tc>
        <w:tc>
          <w:tcPr>
            <w:tcW w:w="146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80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60" w:type="dxa"/>
            <w:vAlign w:val="bottom"/>
            <w:tcBorders>
              <w:bottom w:val="single" w:sz="8" w:color="auto"/>
            </w:tcBorders>
            <w:gridSpan w:val="2"/>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40" w:type="dxa"/>
            <w:vAlign w:val="bottom"/>
          </w:tcPr>
          <w:p>
            <w:pPr>
              <w:spacing w:after="0"/>
              <w:rPr>
                <w:sz w:val="16"/>
                <w:szCs w:val="16"/>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92,062,468</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101,397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114,777</w:t>
            </w:r>
          </w:p>
        </w:tc>
        <w:tc>
          <w:tcPr>
            <w:tcW w:w="0" w:type="dxa"/>
            <w:vAlign w:val="bottom"/>
          </w:tcPr>
          <w:p>
            <w:pPr>
              <w:spacing w:after="0"/>
              <w:rPr>
                <w:sz w:val="1"/>
                <w:szCs w:val="1"/>
                <w:color w:val="auto"/>
              </w:rPr>
            </w:pPr>
          </w:p>
        </w:tc>
      </w:tr>
      <w:tr>
        <w:trPr>
          <w:trHeight w:val="195"/>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475,510</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35,488</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P Unit exchange</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w:t>
            </w:r>
          </w:p>
        </w:tc>
        <w:tc>
          <w:tcPr>
            <w:tcW w:w="0" w:type="dxa"/>
            <w:vAlign w:val="bottom"/>
          </w:tcPr>
          <w:p>
            <w:pPr>
              <w:spacing w:after="0"/>
              <w:rPr>
                <w:sz w:val="1"/>
                <w:szCs w:val="1"/>
                <w:color w:val="auto"/>
              </w:rPr>
            </w:pPr>
          </w:p>
        </w:tc>
      </w:tr>
      <w:tr>
        <w:trPr>
          <w:trHeight w:val="203"/>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92,573,466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52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115,239</w:t>
            </w:r>
          </w:p>
        </w:tc>
        <w:tc>
          <w:tcPr>
            <w:tcW w:w="0" w:type="dxa"/>
            <w:vAlign w:val="bottom"/>
          </w:tcPr>
          <w:p>
            <w:pPr>
              <w:spacing w:after="0"/>
              <w:rPr>
                <w:sz w:val="1"/>
                <w:szCs w:val="1"/>
                <w:color w:val="auto"/>
              </w:rPr>
            </w:pPr>
          </w:p>
        </w:tc>
      </w:tr>
      <w:tr>
        <w:trPr>
          <w:trHeight w:val="195"/>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842,178</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93,415,644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5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76,351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(55,869)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99,978</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120,474</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0" w:type="dxa"/>
            <w:vAlign w:val="bottom"/>
          </w:tcPr>
          <w:p>
            <w:pPr>
              <w:spacing w:after="0"/>
              <w:rPr>
                <w:sz w:val="1"/>
                <w:szCs w:val="1"/>
                <w:color w:val="auto"/>
              </w:rPr>
            </w:pPr>
          </w:p>
        </w:tc>
      </w:tr>
      <w:tr>
        <w:trPr>
          <w:trHeight w:val="139"/>
        </w:trPr>
        <w:tc>
          <w:tcPr>
            <w:tcW w:w="20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Discharge of holdback</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obligation related to a prior</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0" w:type="dxa"/>
            <w:vAlign w:val="bottom"/>
          </w:tcPr>
          <w:p>
            <w:pPr>
              <w:spacing w:after="0"/>
              <w:rPr>
                <w:sz w:val="1"/>
                <w:szCs w:val="1"/>
                <w:color w:val="auto"/>
              </w:rPr>
            </w:pPr>
          </w:p>
        </w:tc>
      </w:tr>
      <w:tr>
        <w:trPr>
          <w:trHeight w:val="195"/>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455,820</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9,666</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P Unit exchange</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0" w:type="dxa"/>
            <w:vAlign w:val="bottom"/>
          </w:tcPr>
          <w:p>
            <w:pPr>
              <w:spacing w:after="0"/>
              <w:rPr>
                <w:sz w:val="1"/>
                <w:szCs w:val="1"/>
                <w:color w:val="auto"/>
              </w:rPr>
            </w:pPr>
          </w:p>
        </w:tc>
      </w:tr>
      <w:tr>
        <w:trPr>
          <w:trHeight w:val="228"/>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93,881,130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114,782</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59"/>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471"/>
              <w:spacing w:after="0" w:line="158"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1"/>
              <w:spacing w:after="0" w:line="216" w:lineRule="exact"/>
              <w:rPr>
                <w:sz w:val="20"/>
                <w:szCs w:val="20"/>
                <w:color w:val="auto"/>
              </w:rPr>
            </w:pPr>
            <w:r>
              <w:rPr>
                <w:rFonts w:ascii="Times New Roman" w:cs="Times New Roman" w:eastAsia="Times New Roman" w:hAnsi="Times New Roman"/>
                <w:sz w:val="16"/>
                <w:szCs w:val="16"/>
                <w:b w:val="1"/>
                <w:bCs w:val="1"/>
                <w:color w:val="auto"/>
              </w:rPr>
              <w:t>As Restated</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Discharge of a holdback obligation related to a prior acquisition</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-4911090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beginning of period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end of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34"/>
        </w:trPr>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28,583</w:t>
            </w:r>
          </w:p>
        </w:tc>
      </w:tr>
      <w:tr>
        <w:trPr>
          <w:trHeight w:val="223"/>
        </w:trPr>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27,721</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-333375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7560" w:space="720"/>
            <w:col w:w="2960"/>
          </w:cols>
          <w:pgMar w:left="320" w:top="229" w:right="339" w:bottom="1440" w:gutter="0" w:footer="0" w:header="0"/>
          <w:type w:val="continuous"/>
        </w:sectPr>
      </w:pPr>
    </w:p>
    <w:p>
      <w:pPr>
        <w:ind w:firstLine="8"/>
        <w:spacing w:after="0" w:line="228" w:lineRule="auto"/>
        <w:tabs>
          <w:tab w:leader="none" w:pos="119"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nine months ended September 30, 2023, provision (recovery)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30"/>
        </w:trPr>
        <w:tc>
          <w:tcPr>
            <w:tcW w:w="1280" w:type="dxa"/>
            <w:vAlign w:val="bottom"/>
            <w:tcBorders>
              <w:top w:val="single" w:sz="8" w:color="0000FF"/>
            </w:tcBorders>
          </w:tcPr>
          <w:p>
            <w:pPr>
              <w:spacing w:after="0"/>
              <w:rPr>
                <w:sz w:val="24"/>
                <w:szCs w:val="24"/>
                <w:color w:val="auto"/>
              </w:rPr>
            </w:pPr>
          </w:p>
        </w:tc>
        <w:tc>
          <w:tcPr>
            <w:tcW w:w="670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2"/>
        </w:trPr>
        <w:tc>
          <w:tcPr>
            <w:tcW w:w="1280" w:type="dxa"/>
            <w:vAlign w:val="bottom"/>
          </w:tcPr>
          <w:p>
            <w:pPr>
              <w:spacing w:after="0"/>
              <w:rPr>
                <w:sz w:val="24"/>
                <w:szCs w:val="24"/>
                <w:color w:val="auto"/>
              </w:rPr>
            </w:pPr>
          </w:p>
        </w:tc>
        <w:tc>
          <w:tcPr>
            <w:tcW w:w="83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0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0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0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6"/>
        </w:trPr>
        <w:tc>
          <w:tcPr>
            <w:tcW w:w="128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4"/>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Remeasurement of lease liabilities and right-of-use assets due to lease modification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-585470</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and Organization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two-sided marketplace of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laws. The Company sells a monthly subscription offering to storefront, delivery and brand clients as well as upsell and add-on offerings to licensed clients. The Company also offers other ad solutions and WM Dispatch for additional fees.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an accumulated deficit of $59.2 million. The Company has funded its operations primarily with customer payments for its services and proceeds from the issuance of common stock in connection with its initial public offering and follow-on offering. As of September 30, 2024, the Company had cash of $45.0 million. The Company believes that its existing sources of liquidity will satisfy its working capital and capital requirements for at least the next twelve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September 30, 2024, and results of its operations and its cash flows for the interim periods presented. Certain prior period amounts have been reclassified to conform to the current period presentation. The results of operations for the three and nine months ended September 30,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until cash was collected for the services that were provided. The Company refers to the customers in 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 September 30, 2023 as follows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90"/>
              <w:spacing w:after="0" w:line="171"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6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80" w:type="dxa"/>
            <w:vAlign w:val="bottom"/>
          </w:tcPr>
          <w:p>
            <w:pPr>
              <w:spacing w:after="0"/>
              <w:rPr>
                <w:sz w:val="14"/>
                <w:szCs w:val="14"/>
                <w:color w:val="auto"/>
              </w:rPr>
            </w:pPr>
          </w:p>
        </w:tc>
        <w:tc>
          <w:tcPr>
            <w:tcW w:w="1080" w:type="dxa"/>
            <w:vAlign w:val="bottom"/>
          </w:tcPr>
          <w:p>
            <w:pPr>
              <w:jc w:val="right"/>
              <w:ind w:right="110"/>
              <w:spacing w:after="0" w:line="171"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14"/>
                <w:szCs w:val="14"/>
                <w:color w:val="auto"/>
              </w:rPr>
            </w:pP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146,584</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 September 30, 2023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41"/>
        </w:trPr>
        <w:tc>
          <w:tcPr>
            <w:tcW w:w="57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5"/>
        </w:trPr>
        <w:tc>
          <w:tcPr>
            <w:tcW w:w="5780" w:type="dxa"/>
            <w:vAlign w:val="bottom"/>
          </w:tcPr>
          <w:p>
            <w:pPr>
              <w:spacing w:after="0"/>
              <w:rPr>
                <w:sz w:val="19"/>
                <w:szCs w:val="19"/>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Previously Reported</w:t>
            </w:r>
          </w:p>
        </w:tc>
        <w:tc>
          <w:tcPr>
            <w:tcW w:w="12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6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155"/>
        </w:trPr>
        <w:tc>
          <w:tcPr>
            <w:tcW w:w="57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6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6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57"/>
        </w:trPr>
        <w:tc>
          <w:tcPr>
            <w:tcW w:w="57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2024 and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$0.9 million and $8.7 million as of September 30, 2024 and December 31,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no customer accounted for more than 10% of the total gross accounts receivable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68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5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6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31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11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end of period</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0" w:lineRule="exact"/>
        <w:rPr>
          <w:sz w:val="20"/>
          <w:szCs w:val="20"/>
          <w:color w:val="auto"/>
        </w:rPr>
      </w:pPr>
    </w:p>
    <w:p>
      <w:pPr>
        <w:jc w:val="both"/>
        <w:ind w:firstLine="8"/>
        <w:spacing w:after="0" w:line="231" w:lineRule="auto"/>
        <w:tabs>
          <w:tab w:leader="none" w:pos="79"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Provision (recovery) for credit losses for the three and nine months ended September 30, 2023 and related allowance at the end of the period September 30, 2023, has been retrospectively adjusted to reflect the restatement of previously reported credit losses. See </w:t>
      </w:r>
      <w:r>
        <w:rPr>
          <w:rFonts w:ascii="Times New Roman" w:cs="Times New Roman" w:eastAsia="Times New Roman" w:hAnsi="Times New Roman"/>
          <w:sz w:val="16"/>
          <w:szCs w:val="16"/>
          <w:i w:val="1"/>
          <w:iCs w:val="1"/>
          <w:color w:val="auto"/>
        </w:rPr>
        <w:t>Restatement of Previously Reported 2023 Quarterly Revenue and 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Losses </w:t>
      </w:r>
      <w:r>
        <w:rPr>
          <w:rFonts w:ascii="Times New Roman" w:cs="Times New Roman" w:eastAsia="Times New Roman" w:hAnsi="Times New Roman"/>
          <w:sz w:val="16"/>
          <w:szCs w:val="16"/>
          <w:color w:val="auto"/>
        </w:rPr>
        <w:t>above for further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retired or otherwise disposed of, the cost and related accumulated depreciation are removed from the accounts and any resulting gain or loss is reflected in the Company’s condensed consolidated statements of operations.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nine months ended September 30, 2024. The Company recorded a non-cash property and equipment impairment charge of $2.3 million for the three and nine months ended September 30, 2023 related to certain product offerings that were sunset in December 2023, which is included in asset impairment charges in the condensed consolidated statements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compensation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has $23.7 million and $23.1 million in capitalized software costs, net, respectively which are recorded within property and equipment, net on the Company’s condensed consolidated balance sheets. During the three months ended September 30, 2024 and 2023, the Company amortized $3.1 million and $2.2 million, respectively. During the nine months ended September 30, 2024 and 2023, the Company amortized $8.4 million and $5.4 million, respectively. Amortization of internal-use software development costs is included in depreciation and amortization expense in the accompanying condensed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 As of September 30, 2024 and December 31, 2023, the Company has $68.4 million in goodwill.</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assessed for impairment annually on December 31. For the year ended December 31, 2023, in accordance with the Company’s annual assessment policy, the Company opted to bypass the qualitative assessment and performed a quantitative assessment to test goodwill for impairment. As part of the Company’s impairment assessment, the fair value of the reporting unit is estimated using a discounted cash flow valuation which incorporates assumptions regarding long-term growth rates, revenue and earnings projections, estimation of cash flows, discount rates and other factors. For the year ended December 31, 2023, in conducting the quantitative assessment, it was determined that the fair value of the goodwill exceeded its carrying amount by approximately 18%, and as a result, no impairment existed as of the annual assessment date of December 31, 2023. If the Company’s forecasts of cash flows or other key inputs are negatively revised in the future, the estimated fair value of the reporting unit would be adversely impacted, potentially leading to an impairment in the future that could materially affect our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There were no goodwill impairment charges recorded for the three and nine months ended September 30, 2024 and 2023.</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 There were no intangible asset impairment charges recorded for the three and nine months ended September 30, 2024. See Note 6, “Intangible Assets,” to these condensed consolidated financial statements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During the three and nine months ended September 30, 2024 and 2023, the Company recognized no impairment charge related to ROU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rent expense for the three months ended September 30, 2024 and 2023 was $1.7 million and $2.2 million, respectively. Net rent expense for the nine months ended September 30, 2024 and 2023 was $5.8 million and $6.6 million, respectively. Rent expense is included in general and administrative expense in the accompanying condensed consolidated statements of operations.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2024, the Company amended its lease associated with its corporate headquarters located in Irvine, California. The amendment extended the lease term five years through February 2030 and reduced the leased square footage. The lease extension was accounted for as a lease modification, and the Company remeasured its lease liability and ROU asset using an incremental borrowing rate of 11.5% and recognized a non-cash lease liability of $3.3 million and the related non-cash ROU asset of $3.3 million. The lease classification remained as an operating lease.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the second quarter 2024, the Company paid $0.1 million to terminate a lease agreement for one of the offices. In conjunction with the early lease termination, the Company reported a gain of $0.1 million which is recognized as a reduction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related lease expense. The Company also de-recognized the remaining ROU asset of $0.2 million and a lease liability of $0.4 million on the condensed consolidated balance sheet related to early lease termination.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Chief Executive Officer. The sublease commenced on June 1, 2022, and expired on October 31, 2024. See Note 13, “Related Party Transactions,” to these condensed consolidated financial statements for additional information.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September 30, 2024 and 2023, the Company recorded rent income related to sublease of $0.2 million and $0.5 million, respectively. For the nine months ended September 30, 2024 and 2023, the Company recorded rent income related to sublease of $1.3 million and $1.6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assumed public warrants originally issued in the initial public offering of Silver Spike (the “Public Warrants”) and private placement warrants that were originally issued in a private placement by Silver Spike (the “Private Placement Warrants” and, together with the Public Warrants, the “Warrants”) upon the Closing, all of which were issued in connection with Silver Spike’s initial public offering. 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xml:space="preserve"> and concluded they do not meet the criteria to be classified in stockholders’ equity. See Note 9, “Warrant Liability,” to these condensed consolidated financial statements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net on the condensed consolidated statements of operations. As of September 30, 2024 and December 31, 2023, the TRA liability was $3.1 million and $1.8 million, respectively. During the three and nine months ended September 30, 2024, the Company recognized a loss of $0.5 million and $1.5 million, respectively, related to the remeasurement of its TRA liability. During the three and nine months ended September 30, 2023, the Company recognized a loss of $0.1 million and $0.7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606 </w:t>
      </w:r>
      <w:r>
        <w:rPr>
          <w:rFonts w:ascii="Times New Roman" w:cs="Times New Roman" w:eastAsia="Times New Roman" w:hAnsi="Times New Roman"/>
          <w:sz w:val="18"/>
          <w:szCs w:val="18"/>
          <w:i w:val="1"/>
          <w:iCs w:val="1"/>
          <w:color w:val="auto"/>
        </w:rPr>
        <w:t>- 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the Company recognizes revenue by applying the following five steps: the contract with the customer is identified;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clients that pay in advance for listing and other services, the Company records deferred revenue and recognizes revenue over the applicable subscription term.</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ad solutions. The Company’s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premium placement ad solutions and discount and promotion pricing tools. Other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$2.0 million and $3.5 million for the three months ended September 30, 2024 and 2023, respectively, and $8.3 million and $8.1 million for the nine months ended September 30, 2024 and 2023, respectively, and are included in sales and marketing expense in the accompanying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September 30, 2024 and 2023, the Company recognized an expense of $0.4 million and $0.9 million, respectively, and for the nine months ended September 30, 2024 and 2023, the Company recognized an expense of $1.4 million and $1.9 million, respectively, related to employer contributions for the Company’s 401(k)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discharge of a holdback obligation related to a prior acquisition, interest income and other tax related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asset and liability method of accounting for income taxes under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those temporary differences are expected to be recovered or settled. The effect of a change in tax rates on deferred tax assets and liabilities is recognized in income in the period the rate change is enacted.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nine months ended September 30, 2024 and for the year ending December 31, 2023, the Company conducted similar analyses, and determined that a full valuation allowance was still required. As of September 30, 2024 and December 31, 2023, the TRA liability was $3.1 million and $1.8 million,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ended September 30, 2024, the Company recorded $0.02 million and $0.07 million, respectively, in income tax provisions due to the impact of the full valuation allowance on its net deferred assets. For the three and nine months ended September 30, 2023, the Company recorded zero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Chief Executive Officer and Chief Financial Officer allocate resources, assess performance and manage the businesses as one segment.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September 30, 2024, the Company had cash balances that exceeded the FDIC limit with four financial institutions. Management believes that the risk of loss is not significant and has not experienced any losses in such accounts.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w:t>
      </w:r>
      <w:r>
        <w:rPr>
          <w:rFonts w:ascii="Times New Roman" w:cs="Times New Roman" w:eastAsia="Times New Roman" w:hAnsi="Times New Roman"/>
          <w:sz w:val="18"/>
          <w:szCs w:val="18"/>
          <w:color w:val="auto"/>
        </w:rPr>
        <w:t>, which is intended to improve reportable segment disclosure requirements, primarily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This ASU is effective for fiscal years beginning after December 15, 2024. The Company does not expect the adoption of this standard to have a material impact on the consolidated financial statements.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54"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8"/>
          <w:szCs w:val="18"/>
          <w:color w:val="auto"/>
        </w:rPr>
        <w:t>WM Store facilitates customer pickup or delivery orders and enables retailers to reach more customers by bringing the breadth of the Weedmaps marketplace to a client’s own website.</w:t>
      </w:r>
    </w:p>
    <w:p>
      <w:pPr>
        <w:spacing w:after="0" w:line="1" w:lineRule="exact"/>
        <w:rPr>
          <w:sz w:val="20"/>
          <w:szCs w:val="20"/>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which includes, featured and deal listings and other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32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 solutions: Includes banner ads and promotion tiles on our marketplace as well as banner ads that can be tied to keyword searches. These products provide clients with targeted ad solutions in highly visible slots across our digital surfaces.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34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4"/>
                <w:szCs w:val="24"/>
                <w:color w:val="auto"/>
              </w:rPr>
            </w:pPr>
          </w:p>
        </w:tc>
        <w:tc>
          <w:tcPr>
            <w:tcW w:w="31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5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5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96,782</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130,629</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 solutions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3"/>
                <w:szCs w:val="23"/>
                <w:color w:val="auto"/>
                <w:vertAlign w:val="superscript"/>
              </w:rPr>
              <w:t>2</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 w:lineRule="exact"/>
        <w:rPr>
          <w:sz w:val="20"/>
          <w:szCs w:val="20"/>
          <w:color w:val="auto"/>
        </w:rPr>
      </w:pPr>
    </w:p>
    <w:p>
      <w:pPr>
        <w:ind w:firstLine="8"/>
        <w:spacing w:after="0" w:line="224" w:lineRule="auto"/>
        <w:tabs>
          <w:tab w:leader="none" w:pos="7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nine months ended September 30, 2023, net revenues have been retrospectively adjusted to reflect the restatement of previously reported 2023 revenue. See Note 2, “Summary of Significant Accounting Policies,” for further information.</w:t>
      </w:r>
    </w:p>
    <w:p>
      <w:pPr>
        <w:spacing w:after="0" w:line="34" w:lineRule="exact"/>
        <w:rPr>
          <w:sz w:val="20"/>
          <w:szCs w:val="20"/>
          <w:color w:val="auto"/>
        </w:rPr>
      </w:pPr>
    </w:p>
    <w:p>
      <w:pPr>
        <w:ind w:firstLine="8"/>
        <w:spacing w:after="0" w:line="232" w:lineRule="auto"/>
        <w:tabs>
          <w:tab w:leader="none" w:pos="106"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revenues are net of discounts of $0.1 million and $0.8 million, respectively, for the three months ended September 30, 2024 and 2023 and $0.6 million and $3.0 million, respectively, for the nine months ended September 30, 2024 and 2023.</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September 30,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and nine months ended September 30, 2024 and 2023. For the three and nine months ended September 30, 2024, approximately 52% of the Company’s net revenues originated in California. For the three and nine months ended September 30, 2023, approximately 51% and 52% of the Company’s net revenues originated in California, respectively.</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 The Company has been fully cooperating with the SEC’s investigation.</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recorded a liability of $1.5 million for the SEC settlement which is included in general and administrative expenses in the condensed consolidated statements of operations and accounts payable and accrued expenses in the condensed consolidated balance sheets. The SEC settlement of $1.5 million was paid in October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approximately $1.8 million for the remaining three months in 2024, $7.3 million in 2025 and $7.5 million in 2026, due under software license agreements, of which the majority relates to the Company’s three-year AWS Enterprise agreement.</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5" w:lineRule="exact"/>
        <w:rPr>
          <w:sz w:val="20"/>
          <w:szCs w:val="20"/>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indicates the fair value hierarchy of the valuation inputs the Company utilized to determine such fair value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-624840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-624840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7"/>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2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5"/>
                <w:szCs w:val="15"/>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200" w:type="dxa"/>
            <w:vAlign w:val="bottom"/>
          </w:tcPr>
          <w:p>
            <w:pPr>
              <w:spacing w:after="0"/>
              <w:rPr>
                <w:sz w:val="15"/>
                <w:szCs w:val="15"/>
                <w:color w:val="auto"/>
              </w:rPr>
            </w:pPr>
          </w:p>
        </w:tc>
        <w:tc>
          <w:tcPr>
            <w:tcW w:w="10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Public</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5"/>
                <w:szCs w:val="15"/>
                <w:color w:val="auto"/>
              </w:rPr>
            </w:pPr>
          </w:p>
        </w:tc>
        <w:tc>
          <w:tcPr>
            <w:tcW w:w="1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19"/>
                <w:szCs w:val="19"/>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625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375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6"/>
              </w:rPr>
              <w:t>585</w:t>
            </w:r>
          </w:p>
        </w:tc>
        <w:tc>
          <w:tcPr>
            <w:tcW w:w="0" w:type="dxa"/>
            <w:vAlign w:val="bottom"/>
          </w:tcPr>
          <w:p>
            <w:pPr>
              <w:spacing w:after="0"/>
              <w:rPr>
                <w:sz w:val="1"/>
                <w:szCs w:val="1"/>
                <w:color w:val="auto"/>
              </w:rPr>
            </w:pPr>
          </w:p>
        </w:tc>
      </w:tr>
      <w:tr>
        <w:trPr>
          <w:trHeight w:val="184"/>
        </w:trPr>
        <w:tc>
          <w:tcPr>
            <w:tcW w:w="2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Change in valuation inputs or other</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assumptions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7"/>
              </w:rPr>
              <w:t>(585)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7"/>
              </w:rPr>
              <w:t>(125)</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250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6"/>
              </w:rPr>
              <w:t>390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-1268095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-1268095</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gridSpan w:val="7"/>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4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right="320"/>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6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200" w:type="dxa"/>
            <w:vAlign w:val="bottom"/>
          </w:tcPr>
          <w:p>
            <w:pPr>
              <w:spacing w:after="0"/>
              <w:rPr>
                <w:sz w:val="14"/>
                <w:szCs w:val="14"/>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4"/>
                <w:szCs w:val="14"/>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valuation inputs or other</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assumptions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-607695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-607695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-607695</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-607695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$0.3 million and $0.4 million as of September 30, 2024 and December 31, 2023,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w:t>
            </w:r>
          </w:p>
        </w:tc>
        <w:tc>
          <w:tcPr>
            <w:tcW w:w="71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provides  quantitative  information  regarding  Level  3  fair  value  measurements  inputs</w:t>
            </w:r>
          </w:p>
        </w:tc>
        <w:tc>
          <w:tcPr>
            <w:tcW w:w="1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at  their  measurement  dates:</w:t>
            </w:r>
          </w:p>
        </w:tc>
      </w:tr>
      <w:tr>
        <w:trPr>
          <w:trHeight w:val="257"/>
        </w:trPr>
        <w:tc>
          <w:tcPr>
            <w:tcW w:w="17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2"/>
                <w:szCs w:val="22"/>
                <w:color w:val="auto"/>
              </w:rPr>
            </w:pP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0.72</w:t>
            </w:r>
          </w:p>
        </w:tc>
      </w:tr>
      <w:tr>
        <w:trPr>
          <w:trHeight w:val="22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Private Placement Warrants was $0.1 million and $0.2 million as of September 30, 2024 and December 31, 2023, respectively. There were no transfers in or out of Level 3 from other levels in the fair value hierarchy.</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2024 and December 31, 2023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2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5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160" w:type="dxa"/>
            <w:vAlign w:val="bottom"/>
          </w:tcPr>
          <w:p>
            <w:pPr>
              <w:spacing w:after="0"/>
              <w:rPr>
                <w:sz w:val="16"/>
                <w:szCs w:val="16"/>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6"/>
                <w:szCs w:val="16"/>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Net Intangible</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5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28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2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5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15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160" w:type="dxa"/>
            <w:vAlign w:val="bottom"/>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5"/>
                <w:szCs w:val="15"/>
                <w:color w:val="auto"/>
              </w:rPr>
            </w:pPr>
          </w:p>
        </w:tc>
        <w:tc>
          <w:tcPr>
            <w:tcW w:w="1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Intangible</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15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5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28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$0.1 million and $0.5 million during the three months ended September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$0.4 million and $1.6 million during the nine months ended September 30, 2024 and 2023,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September 30, 2024 is as follows (in thousands):</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Remaining period in 2024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1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September 30, 2024 and December 31, 2023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marketing</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-779780</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-779780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as of September 30, 2024 and December 31, 2023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-488315</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-488315</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$4.2 million and $7.4 million as of September 30, 2024 and December 31, 2023, respectively. Accounts payable and other accrued liabilities as of September 30, 2024 include $1.5 million in potential SEC settlement. See Note 4, “Commitments and Contingencies” to these condensed consolidated financial statements for further information.</w:t>
      </w:r>
    </w:p>
    <w:p>
      <w:pPr>
        <w:spacing w:after="0" w:line="64"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there were 12,499,973 Public Warrants outstanding and 7,000,000 Private Placement Warrants outstanding.</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815-Derivatives and Hedging and are recorded as liabilities. Upon the Closing, the fair value of the Warrants was recorded on the balance sheet. The fair value of the Warrants are remeasured as of each balance sheet date, which resulted in a non-cash gain of $0.6 million and $0.2 million in the condensed consolidated statements of operations for the three and nine months ended September 30, 2024, respectively, and a non-cash loss of $0.5 million and $0.8 million in the condensed consolidated statements of operations for the three and nine months ended September 30, 2023, respectively. See Note 5, “Fair Value Measurements” to these condensed consolidated financial statements for additional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w:t>
      </w:r>
    </w:p>
    <w:p>
      <w:pPr>
        <w:spacing w:after="0" w:line="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alter or change the powers, preferences or special rights of such class of common stock in a manner that is disproportionately adverse as compared to the Class A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2024, there were no shares of preferred stock issued or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September 30, 2024, the noncontrolling interests owned 36.9%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68" w:lineRule="exact"/>
        <w:rPr>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Class P Unit activity for the nine months ended September 30, 2024 is as follows:</w:t>
            </w:r>
          </w:p>
        </w:tc>
        <w:tc>
          <w:tcPr>
            <w:tcW w:w="2240" w:type="dxa"/>
            <w:vAlign w:val="bottom"/>
          </w:tcPr>
          <w:p>
            <w:pPr>
              <w:spacing w:after="0"/>
              <w:rPr>
                <w:sz w:val="20"/>
                <w:szCs w:val="20"/>
                <w:color w:val="auto"/>
              </w:rPr>
            </w:pPr>
          </w:p>
        </w:tc>
      </w:tr>
      <w:tr>
        <w:trPr>
          <w:trHeight w:val="364"/>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Class P Units, September 30, 2024</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14,678,732</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September 30,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14,659,364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Class P Units was $0.04 million which is expected to be recognized over a weighted-average period of 0.2 years. For the three months ended September 30, 2024 and 2023, the Company recorded stock-based compensation expense for the Class P Units of $0.1 million and $0.1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respectively. For the nine months ended September 30, 2024 and 2023, the Company recorded stock-based compensation expense for the Class P Units of $0.2 million and $0.5 million,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2024, 40,639,882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As of September 30, 2024, 27,621,566 shares of Class A Common Stock were available for future issuance.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nine months ended September 30, 2024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7,683,598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(2,897,408)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(1,328,501)</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4,363,921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RSUs was $10.0 million, which is expected to be recognized over a weighted-average period of 1.2 years. For the three months ended September 30, 2024 and 2023, the Company recorded stock-based compensation expense for the RSUs of $1.5 million and $2.7 million, respectively. For the nine months ended September 30, 2024 and 2023, the Company recorded stock-based compensation expense for the RSUs of $6.9 million and $10.1 million, respectively.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PRSUs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(175,781)</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has no outstanding grants for PRSUs. For the three months ended September 30, 2024, the Company recorded no stock-based compensation expense for PRSUs. For the three months ended September 30, 2023, the Company recorded stock-based compensation credit of for PRSUs $0.5 million. For the nine months ended September 30, 2024 and 2023, the Company recorded stock-based compensation expense for PRSUs of $0.1 million and stock-based compensation credit for PRSUs of $0.2 million,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22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8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3"/>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11,348</w:t>
            </w:r>
          </w:p>
        </w:tc>
      </w:tr>
      <w:tr>
        <w:trPr>
          <w:trHeight w:val="21"/>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-933450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Earnings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nine months ending September 30, 2024 and 2023 (in thousands, except for share and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30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155"/>
        </w:trPr>
        <w:tc>
          <w:tcPr>
            <w:tcW w:w="51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WM Technology, Inc. Class A</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21"/>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of shares of Class A Common Stock outstanding –</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1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of shares of Class A Common Stock outstanding –</w:t>
            </w: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97,811,251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share of Class A Common Stock – 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¹ Calculated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1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84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V Units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14,678,732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14,966,127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14,678,732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14,966,127</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2,813,084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7,173,708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7,173,708</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234,375</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r>
    </w:tbl>
    <w:p>
      <w:pPr>
        <w:spacing w:after="0" w:line="175"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amended lease term which expired on October 31, 2024. The monthly base rent, after the rent abatement period for the first four months, is $69,000. As of September 30, 2024 and December 31, 2023, rent receivable was $0.2 million and $0.7 million, respectively, and these amounts are included in prepaid expenses and other current assets on the accompanying condensed balance sheets. The Company expects to collect the remaining rent receivable balance which was $0.2 million as of September 30, 2024 in the fourth quarter of 2024. Rent receivable of $0.7 million from December 31, 2023 was subsequently collected in April 2024. For the three and nine months ended September 30, 2024, income on the sublease with a related party was $0.2 million and $0.5 million, respectively. For the three and nine months ended September 30, 2023, income on the sublease with a related party was $0.2 million and $0.5 million, respectively. The income on sublease is netted with rent expense and included in general and administrative expenses on the condensed consolidated statements of operations.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September 30, 2024, the remaining balance of the promissory note receivable was the $0.4 million of which $0.3 million was included in prepaid expenses and other current assets and $0.1 million was included in other assets on the condensed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For the three and nine ended September 30, 2024 and 2023, interest income on the promissory note was less than $0.1 million, which is included in other income (expense), net on the accompanying condensed consolidated statements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6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$46.6 million as compared to $46.7 million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5,100, as compared to 5,414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revenues per paying client was $3,043, as compared to $2,874 in the prior year.</w:t>
      </w:r>
    </w:p>
    <w:p>
      <w:pPr>
        <w:spacing w:after="0" w:line="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Net income was $5.3 million as compared to net loss of $2.5 million in the prior year.</w:t>
      </w:r>
    </w:p>
    <w:p>
      <w:pPr>
        <w:spacing w:after="0" w:line="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$11.3 million as compared to $10.7 million in the prior year.</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in Non-GAAP Financial Measurements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5,100 average monthly paying clients during the three months ended September 30, 2024 on the supply-side of our marketplace. These paying clients include retailers, brands and other client types (such as doctors). Further, these clients, who can choose to purchase multiple listings solutions for each business, had purchased approximately 8,300 listing pages as of September 30,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September 30,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table summarize our financial performance for the three and nine ended September 30, 2024 compared with the same period in 2023. For a detailed discussion of our results of operations, see “Results of Operations” below.</w:t>
      </w:r>
    </w:p>
    <w:p>
      <w:pPr>
        <w:spacing w:after="0" w:line="118" w:lineRule="exact"/>
        <w:rPr>
          <w:sz w:val="20"/>
          <w:szCs w:val="20"/>
          <w:color w:val="auto"/>
        </w:rPr>
      </w:pPr>
    </w:p>
    <w:tbl>
      <w:tblPr>
        <w:tblLayout w:type="fixed"/>
        <w:tblInd w:w="4980" w:type="dxa"/>
        <w:tblCellMar>
          <w:top w:w="0" w:type="dxa"/>
          <w:left w:w="0" w:type="dxa"/>
          <w:bottom w:w="0" w:type="dxa"/>
          <w:right w:w="0" w:type="dxa"/>
        </w:tblCellMar>
      </w:tblPr>
      <w:tr>
        <w:trPr>
          <w:trHeight w:val="238"/>
        </w:trPr>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2"/>
        </w:trPr>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-5080</wp:posOffset>
            </wp:positionV>
            <wp:extent cx="39776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4"/>
          <w:szCs w:val="14"/>
          <w:b w:val="1"/>
          <w:bCs w:val="1"/>
          <w:color w:val="auto"/>
        </w:rPr>
        <w:t>(dollars in thousands, except for net revenues per paying client)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46,687</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136,844</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8,471</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33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(2)</w:t>
            </w:r>
          </w:p>
        </w:tc>
        <w:tc>
          <w:tcPr>
            <w:tcW w:w="11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872</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17,853</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3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10,671</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31,001</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28,028</w:t>
            </w:r>
          </w:p>
        </w:tc>
      </w:tr>
      <w:tr>
        <w:trPr>
          <w:trHeight w:val="33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net revenues per paying client</w:t>
            </w:r>
            <w:r>
              <w:rPr>
                <w:rFonts w:ascii="Times New Roman" w:cs="Times New Roman" w:eastAsia="Times New Roman" w:hAnsi="Times New Roman"/>
                <w:sz w:val="23"/>
                <w:szCs w:val="23"/>
                <w:color w:val="auto"/>
                <w:vertAlign w:val="superscript"/>
              </w:rPr>
              <w:t>(1)(3)</w:t>
            </w:r>
          </w:p>
        </w:tc>
        <w:tc>
          <w:tcPr>
            <w:tcW w:w="11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2,874</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3,025</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42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(4)</w:t>
            </w:r>
          </w:p>
        </w:tc>
        <w:tc>
          <w:tcPr>
            <w:tcW w:w="1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6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5,414</w:t>
            </w:r>
          </w:p>
        </w:tc>
        <w:tc>
          <w:tcPr>
            <w:tcW w:w="5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5,027</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r>
      <w:tr>
        <w:trPr>
          <w:trHeight w:val="26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r>
    </w:tbl>
    <w:p>
      <w:pPr>
        <w:ind w:left="340" w:hanging="332"/>
        <w:spacing w:after="0" w:line="249"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ended September 30, 2023, net revenues has been retrospectively adjusted to reflect the restatement of previously reported revenue. See Note 2, “Summary of Significant Accounting Policies,” for further information.</w:t>
      </w:r>
    </w:p>
    <w:p>
      <w:pPr>
        <w:ind w:left="340" w:right="20" w:hanging="332"/>
        <w:spacing w:after="0" w:line="255"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information about how we calculate EBITDA and Adjusted EBITDA as well as limitations of its use and a reconciliation of EBITDA and Adjusted EBITDA to net income (loss), see “Net Income (Loss) to EBITDA and Adjusted EBITDA” below.</w:t>
      </w:r>
    </w:p>
    <w:p>
      <w:pPr>
        <w:jc w:val="both"/>
        <w:ind w:left="340" w:hanging="332"/>
        <w:spacing w:after="0" w:line="252"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ind w:left="340" w:hanging="332"/>
        <w:spacing w:after="0" w:line="275"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September 30, 2024 was $5.3 million compared with a net loss for the three months ended September 30, 2023 of $2.5 million. The change in net income was primarily due to a decrease in total costs and expenses of $10.9 million, change in fair value of warrant liability of $1.0 million, and change in tax receivable agreement (“TRA”) liability of $0.5 million, partially offset by a decrease in revenue of $0.1 million and a decrease in other income (expense) of $3.5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nine months ended September 30, 2024 was $8.5 million compared with a net loss for the nine months ended September 30, 2023 of $4.5 million. The increase in net income was primarily due to a decrease in total costs and expenses of $20.8 million, and change in fair value of warrant liability of $1.0 million, partially offset by a decrease in revenue of $4.7 million, change in tax receivable agreement (“TRA”) liability of $0.8 million and a decrease in other income (expense) of $3.2 million.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reduction in force, asset impairment charges,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980" w:type="dxa"/>
            <w:vAlign w:val="bottom"/>
          </w:tcPr>
          <w:p>
            <w:pPr>
              <w:spacing w:after="0"/>
              <w:rPr>
                <w:sz w:val="23"/>
                <w:szCs w:val="23"/>
                <w:color w:val="auto"/>
              </w:rPr>
            </w:pPr>
          </w:p>
        </w:tc>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3"/>
                <w:szCs w:val="23"/>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r>
      <w:tr>
        <w:trPr>
          <w:trHeight w:val="230"/>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9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9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Discharge of a holdback obligation related to a prior acquisition</w:t>
            </w:r>
          </w:p>
        </w:tc>
        <w:tc>
          <w:tcPr>
            <w:tcW w:w="9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28,028</w:t>
            </w:r>
          </w:p>
        </w:tc>
      </w:tr>
      <w:tr>
        <w:trPr>
          <w:trHeight w:val="20"/>
        </w:trPr>
        <w:tc>
          <w:tcPr>
            <w:tcW w:w="4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Net Revenues Per Paying Client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monthly net revenues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net revenues for any particular period by the average monthly number of paying clients in the same respective period. The increase in our average monthly net revenues per paying client was due to sunset of certain products in December 2023, which had lower average monthly spending clients.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net revenues per paying client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Average monthly paying clients for the three months ended September 30, 2024 decreased 6% to 5,100 average monthly paying clients from 5,414 average monthly paying clients in the same period in 2023. Average monthly paying clients for the nine months ended September 30, 2024 decreased 10% to 5,027 average monthly paying clients from 5,555 average monthly paying clients in the same period in 2023. The decrease in average monthly paying clients compared to the same periods in 2023 was primarily due to the removal of paying clients from our platform who have become delinquent, the impact on client count related to the sunset of certain products in December 2023, as well as expected client churn due to continued industry challenges, such as price deflation and ongoing consolidation.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940" w:type="dxa"/>
            <w:vAlign w:val="bottom"/>
          </w:tcPr>
          <w:p>
            <w:pPr>
              <w:spacing w:after="0"/>
              <w:rPr>
                <w:sz w:val="23"/>
                <w:szCs w:val="23"/>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(recovery)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Charges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 charges primarily consist of impairment of ROU assets related to our operating leases, impairment of intangible assets, impairment of equity securities and impairment of property and equipment.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discharge of a holdback obligation related to a prior acquisition, interest income and other tax related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200" w:type="dxa"/>
            <w:vAlign w:val="bottom"/>
          </w:tcPr>
          <w:p>
            <w:pPr>
              <w:spacing w:after="0"/>
              <w:rPr>
                <w:sz w:val="23"/>
                <w:szCs w:val="23"/>
                <w:color w:val="auto"/>
              </w:rPr>
            </w:pPr>
          </w:p>
        </w:tc>
        <w:tc>
          <w:tcPr>
            <w:tcW w:w="30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3"/>
                <w:szCs w:val="23"/>
                <w:color w:val="auto"/>
              </w:rPr>
            </w:pPr>
          </w:p>
        </w:tc>
        <w:tc>
          <w:tcPr>
            <w:tcW w:w="28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5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firstLine="8"/>
        <w:spacing w:after="0" w:line="220" w:lineRule="auto"/>
        <w:tabs>
          <w:tab w:leader="none" w:pos="159"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1"/>
        </w:trPr>
        <w:tc>
          <w:tcPr>
            <w:tcW w:w="1280" w:type="dxa"/>
            <w:vAlign w:val="bottom"/>
            <w:tcBorders>
              <w:top w:val="single" w:sz="8" w:color="0000FF"/>
            </w:tcBorders>
          </w:tcPr>
          <w:p>
            <w:pPr>
              <w:spacing w:after="0"/>
              <w:rPr>
                <w:sz w:val="24"/>
                <w:szCs w:val="24"/>
                <w:color w:val="auto"/>
              </w:rPr>
            </w:pPr>
          </w:p>
        </w:tc>
        <w:tc>
          <w:tcPr>
            <w:tcW w:w="3580" w:type="dxa"/>
            <w:vAlign w:val="bottom"/>
          </w:tcPr>
          <w:p>
            <w:pPr>
              <w:spacing w:after="0"/>
              <w:rPr>
                <w:sz w:val="24"/>
                <w:szCs w:val="24"/>
                <w:color w:val="auto"/>
              </w:rPr>
            </w:pPr>
          </w:p>
        </w:tc>
        <w:tc>
          <w:tcPr>
            <w:tcW w:w="31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4"/>
                <w:szCs w:val="24"/>
                <w:color w:val="auto"/>
              </w:rPr>
            </w:pPr>
          </w:p>
        </w:tc>
        <w:tc>
          <w:tcPr>
            <w:tcW w:w="3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40" w:type="dxa"/>
            <w:vAlign w:val="bottom"/>
            <w:gridSpan w:val="3"/>
            <w:vMerge w:val="restart"/>
          </w:tcPr>
          <w:p>
            <w:pPr>
              <w:ind w:left="5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5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154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5840" w:type="dxa"/>
            <w:vAlign w:val="bottom"/>
            <w:gridSpan w:val="3"/>
            <w:vMerge w:val="continue"/>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ind w:left="28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5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19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0"/>
        </w:trPr>
        <w:tc>
          <w:tcPr>
            <w:tcW w:w="486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5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5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firstLine="8"/>
        <w:spacing w:after="0" w:line="220" w:lineRule="auto"/>
        <w:tabs>
          <w:tab w:leader="none" w:pos="159"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4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9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94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46,552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5" w:lineRule="exact"/>
        <w:rPr>
          <w:sz w:val="20"/>
          <w:szCs w:val="20"/>
          <w:color w:val="auto"/>
        </w:rPr>
      </w:pPr>
    </w:p>
    <w:p>
      <w:pPr>
        <w:ind w:firstLine="8"/>
        <w:spacing w:after="0" w:line="220" w:lineRule="auto"/>
        <w:tabs>
          <w:tab w:leader="none" w:pos="146"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months ended September 30, 2023, net revenues has been retrospectively adjusted to reflect the restatement of previously reported revenue. See Note 2, “Summary of Significant Accounting Policies,” for further information.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revenues decreased by $0.1 million or less than 0.1% for the three months ended September 30, 2024 compared to the same period in 2023. The decrease was primarily due to a decrease in net revenues from our Featured Listing and WM Deal products of $2.7 million driven by our clients continuing to face constrained marketing budgets, the ongoing consolidation of our industry, partially offset by an increase in net revenues from our Weedmaps for Business and other SaaS solutions of $2.7 million driven by favorable pricing changes partially offset by a loss in revenue from products that were sunset in December 2023.</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Featured Listing and WM Deal products, Weedmaps for Business and other ad solutions represented approximately 63%, 29% and 8% of our total net revenues,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Pr>
          <w:p>
            <w:pPr>
              <w:spacing w:after="0"/>
              <w:rPr>
                <w:sz w:val="24"/>
                <w:szCs w:val="24"/>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4" w:lineRule="exact"/>
        <w:rPr>
          <w:sz w:val="20"/>
          <w:szCs w:val="20"/>
          <w:color w:val="auto"/>
        </w:rPr>
      </w:pPr>
    </w:p>
    <w:p>
      <w:pPr>
        <w:ind w:firstLine="8"/>
        <w:spacing w:after="0" w:line="213" w:lineRule="auto"/>
        <w:tabs>
          <w:tab w:leader="none" w:pos="135"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months ended September 30, 2023, general and administrative expenses have been retrospectively adjusted to reflect the restatement of previously reported credit losses. See Note 2, “Summary of Significant Accounting Policies,” for further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was primarily related to a decrease of $0.6 million for cost of revenues associated with multi-channel marketing and cloud communication platforms, primarily due to the sunset in December 2023 of WM CRM, WM Screens and WM AdSuite and a decrease of $0.2 million in server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decreases in personnel-related costs of $0.4 million, decrease in advertising expense of $1.2 million and a decrease in event expense of $0.3 million. The decrease in personnel-related costs was primarily driven by lower headcount resulting in decreases in salaries and wages of $0.4 million, stock-based compensation expense of $0.2 million and payroll tax expense of $0.1 million, partially offset by increases in bonus and commission expense of $0.3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product development expenses was primarily due to an increase in contracted outside services expense of $0.6 million and an increase in personnel-related costs of $1.1 million. The increase in personnel-related costs was primarily due to increases in salaries and bonus expense of $1.1 million driven by lower capitalized software development costs compared to the same period in 2023, resulting in an increase in net salaries and wages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salaries and wages of $0.2 million, stock-based compensation expense of $0.5 million, employee benefits of $0.2 million, rent expense of $0.5 million due to lease modification and termination, professional legal and audit services of $0.4 million, facilities expense of $0.8 million, software expense of $0.3 million, and insurance expense of $0.3 million, partially offset by increases in bonus expense of $0.5 million, outside service expense of $0.2 million, office expense of $0.5 million and provision for credit losses of $0.1 million, payroll tax of $0.1 million and severance of $0.1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partially offset by a decrease in amortization of intangible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93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1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Pr>
          <w:p>
            <w:pPr>
              <w:spacing w:after="0"/>
              <w:rPr>
                <w:sz w:val="24"/>
                <w:szCs w:val="24"/>
                <w:color w:val="auto"/>
              </w:rPr>
            </w:pPr>
          </w:p>
        </w:tc>
        <w:tc>
          <w:tcPr>
            <w:tcW w:w="11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8"/>
        </w:trPr>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a decrease in TRA liability of $0.5 million and a decrease in other income of $3.5 million, primarily due to a non-cash gain recorded in September 2023 of $3.7 million associated with the discharge of a holdback obligation related to a prior acquisition.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5160" w:type="dxa"/>
            <w:vAlign w:val="bottom"/>
          </w:tcPr>
          <w:p>
            <w:pPr>
              <w:spacing w:after="0"/>
              <w:rPr>
                <w:sz w:val="24"/>
                <w:szCs w:val="24"/>
                <w:color w:val="auto"/>
              </w:rPr>
            </w:pPr>
          </w:p>
        </w:tc>
        <w:tc>
          <w:tcPr>
            <w:tcW w:w="30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2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N/M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Not meaningful</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we recorded $21 thousand in income tax provisions due to the impact of the full valuation allowance on its net deferred assets. See Note 2, “Summary of Significant Accounting Policies,” for further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2023</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8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8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98"/>
              </w:rPr>
              <w:t>(4,682)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6" w:lineRule="exact"/>
        <w:rPr>
          <w:sz w:val="20"/>
          <w:szCs w:val="20"/>
          <w:color w:val="auto"/>
        </w:rPr>
      </w:pPr>
    </w:p>
    <w:p>
      <w:pPr>
        <w:ind w:firstLine="8"/>
        <w:spacing w:after="0" w:line="220" w:lineRule="auto"/>
        <w:tabs>
          <w:tab w:leader="none" w:pos="137"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nine months ended September 30, 2023, net revenues has been retrospectively adjusted to reflect the restatement of previously reported revenue. See Note 2, “Summary of Significant Accounting Policies,” for further information.</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revenues decreased by $4.7 million, or 3%, for the nine months ended September 30, 2024 compared to the same period in 2023. The decrease was primarily due to a decrease in net revenues from our Featured Listing and WM Deal products of $11.0 million driven by our clients continuing to face constrained marketing budgets, the ongoing consolidation of our industry, partially offset by an increase in net revenues from our Weedmaps for Business and other SaaS solutions of $6.4 million driven by favorable pricing changes partially offset by a loss in revenue from products that were sunset in December 2023.</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nine months ended September 30, 2024, Featured Listing and WM Deal products, Weedmaps for Business and other ad solutions represented approximately 63%, 29% and 8% of our total net revenues,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60" w:type="dxa"/>
            <w:vAlign w:val="bottom"/>
          </w:tcPr>
          <w:p>
            <w:pPr>
              <w:spacing w:after="0"/>
              <w:rPr>
                <w:sz w:val="24"/>
                <w:szCs w:val="24"/>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0" w:lineRule="exact"/>
        <w:rPr>
          <w:sz w:val="20"/>
          <w:szCs w:val="20"/>
          <w:color w:val="auto"/>
        </w:rPr>
      </w:pPr>
    </w:p>
    <w:p>
      <w:pPr>
        <w:ind w:firstLine="8"/>
        <w:spacing w:after="0" w:line="217" w:lineRule="auto"/>
        <w:tabs>
          <w:tab w:leader="none" w:pos="129"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nine months ended September 30, 2023, general and administrative expenses have been retrospectively adjusted to reflect the restatement of previously reported credit losses. See Note 2, “Summary of Significant Accounting Policies,” for further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cost of revenue was primarily related to a decrease of $2.3 million for cost of revenues associated with multi-channel marketing and cloud communication platforms primarily due to the sunset in December 2023 of WM CRM, WM Screens and WM AdSuite and a decrease of $0.7 million in server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due to a decrease in personnel-related costs of $5.6 million, a decrease in outside services of $0.4 million and a decrease in advertising expense of $0.7 million, partially offset by an increase in event expense of $0.2 million and an increase in print and products expense of $0.7 million. The decrease in personnel-related costs was primarily driven by lower headcount resulting in decreases in salaries and wages of $2.5 million, bonus expense of $1.8 million, payroll taxes of $0.3 million and $1.0 million in stock-based compensation expense.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product development expenses was due to an increase in outside service expense of $1.8 million and an increase in travel and entertainment expense of $0.1 million partially offset by a decrease in personnel-related costs of $1.4 million. The decrease in personnel-related costs was primarily due to decreases in salaries and wages of $1.0 million, driven by a decline in headcount, partially offset by lower capitalized software development costs compared to the same period in 2023 and stock-based compensation expense of $0.4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personnel-related costs of $3.0 million, a decrease in facilities expense of $1.7 million, a decrease in insurance expense of $1.4 million, a decrease in rent expense of $0.8 million, a decrease in software expense of $0.9 million and a decrease in provision for credit losses of $0.1 million, partially offset by $1.5 million charge recorded in the second quarter of 2024 related to potential settlement of an SEC matter, increases in professional legal and audit services of $0.5 million, an increase in office expense of $0.5 million, an increase in promotional expense of $0.2 million and an increase in outside service expense of $0.9 million.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personnel-related costs was primarily driven by lower headcount resulting into a decrease in salaries and wages of $1.2 million, a decrease in severance costs of $0.5 million, a decrease in stock-based compensation expense of $1.8 million, a decrease in employee benefit expense of $0.4 million, partially offset by an increase in bonus expense of $0.8 million and an increase in payroll tax expense of $0.1 million. See Note 4, “Commitments and Contingencies” to these condensed consolidated financial statements for additional information related to the potential settlement of an SEC matter.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to an increase in capitalized software amortization, partially offset by a decrease in amortization of intangible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80" w:type="dxa"/>
            <w:vAlign w:val="bottom"/>
          </w:tcPr>
          <w:p>
            <w:pPr>
              <w:spacing w:after="0"/>
              <w:rPr>
                <w:sz w:val="24"/>
                <w:szCs w:val="24"/>
                <w:color w:val="auto"/>
              </w:rPr>
            </w:pPr>
          </w:p>
        </w:tc>
        <w:tc>
          <w:tcPr>
            <w:tcW w:w="11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(3,246)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8"/>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8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(3,068)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partially offset by an increase in TRA liability of $0.8 million and a decrease in other expense of $3.2 million, primarily due to a non-cash gain recorded in September 2023 of $3.7 million associated with the discharge of a holdback obligation related to a prior acquisition.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2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N/M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Not meaningful</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we recorded $72 thousand in income tax provisions due to the impact of the full valuation allowance on our net deferred assets. See Note 2, “Summary of Significant Accounting Policies,” for further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the Wednesday before Thanksgiving (“Green Wednesday”). Likewise, our clients will typically increase their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6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31,577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w:t>
            </w: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2024 and December 31, 2023, we had cash of $45.0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September 30,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80"/>
        <w:spacing w:after="0" w:line="375" w:lineRule="auto"/>
        <w:rPr>
          <w:sz w:val="20"/>
          <w:szCs w:val="20"/>
          <w:color w:val="auto"/>
        </w:rPr>
      </w:pPr>
      <w:r>
        <w:rPr>
          <w:rFonts w:ascii="Times New Roman" w:cs="Times New Roman" w:eastAsia="Times New Roman" w:hAnsi="Times New Roman"/>
          <w:sz w:val="18"/>
          <w:szCs w:val="18"/>
          <w:color w:val="auto"/>
        </w:rPr>
        <w:t xml:space="preserve">many factors. We may not be able to secure additional financing to meet our operating requirements on acceptable terms, or at all. </w:t>
      </w:r>
      <w:r>
        <w:rPr>
          <w:rFonts w:ascii="Times New Roman" w:cs="Times New Roman" w:eastAsia="Times New Roman" w:hAnsi="Times New Roman"/>
          <w:sz w:val="18"/>
          <w:szCs w:val="18"/>
          <w:b w:val="1"/>
          <w:bCs w:val="1"/>
          <w:i w:val="1"/>
          <w:iCs w:val="1"/>
          <w:color w:val="auto"/>
        </w:rPr>
        <w:t>Sources of Liquidity</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8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8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27,275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12,410</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(9,499)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(8,870)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(7,083)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(4,402)</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amortization of right-of-use lease assets, stock-based compensation, asset impairment charges, gain on lease termination, provision (recovery) for credit losses and the effect of changes in working capital.</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$27.3 million, which resulted from a net income of $8.5 million, together with net cash outflows of $2.2 million from changes in operating assets and liabilities, and non-cash items of $21.0 million, consisting of depreciation and amortization of $9.6 million, change in TRA liability of $1.5 million, amortization of right-of-use lease assets of $3.3 million, stock-based compensation of $7.2 million, partially offset by change in fair value of warrant liability of $0.2 million, gain on lease termination of $0.1 million and provision (recovery) for credit losses of $0.3 million. Net cash outflows from changes in operating assets and liabilities was primarily due to an increase in prepaid expenses and other current assets of $0.4 million, a decrease in accounts payable and accrued expenses of $1.2 million, a decrease in deferred revenue of $0.2 million and a decrease in operating lease liabilities of $5.0 million, partially offset by a decrease in accounts receivable of $3.5 million and a decrease in other assets of $1.0 million. The changes in operating assets and liabilities are mostly due to fluctuations in timing of cash receipts and payments.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2023 was $12.4 million, which resulted from net loss of $4.5 million, together with net cash outflows of $12.5 million from changes in operating assets and liabilities, and non-cash items of $29.4 million, consisting of depreciation and amortization of $9.4 million, fair value of warrant liability of $0.8 million, change in TRA liability of $0.7 million, amortization of right-of-use lease assets of $3.7 million, asset impairment charges of $8.4 million and stock-based compensation of $10.4 million, partially offset by gain from the discharge of a holdback obligation related to a prior acquisition of $3.7 million and provision (recovery) for credit losses of $0.2 million. Net cash outflows from changes in operating assets and liabilities were primarily due to a decrease in accounts payables and accrued expenses of $15.4 million, a decrease in operating lease liabilities of $4.7 million and a decrease in deferred revenue of $0.2 million, partially offset by a decrease in accounts receivables of $5.3 million and a decrease in prepaid expenses and other current assets of $2.4 million. The changes in operating assets and liabilities are mostly due to fluctuations in timing of cash receipts and payments.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$9.5 million, which resulted from $9.5 million cash paid for capital expenditures which includes purchases of property and equipment, including certain capitalized software development cost.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2023 was $8.9 million, which resulted from $8.9 million cash paid for capital expenditures which includes purchases of property and equipment, including certain capitalized software development cost.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nine months ended September 30, 2024 was $7.1 million, which primarily consists of $7.3 million in distributions payments to members of WMH LLC, $0.1 million in TRA payments and $0.3 million in proceeds from collection of related party note receivable.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nine months ended September 30, 2023 was $4.4 million, which primarily consists of $1.5 million in repayments of insurance premium financing and $3.2 million in distributions payments to members of WMH LLC and $0.3 million in proceeds from collection of related party note receivable.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significant changes to our critical accounting policies and estimates from those disclosed in “Part I. Item 7. Management’s Discussion and Analysis of Financial Condition and Results of Operations” in our Annual Report on Form 10-K for the year ended December 31, 2023 that was filed with the SEC on May 24,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 For the year ended December 31, 2023, in accordance with our annual assessment policy, we opted to bypass the qualitative assessment and performed a quantitative assessment to test goodwill for impairment. As part of our impairment assessment,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our impairment review. In conducting our quantitative assessment, we determined that the fair value of our goodwill substantially exceeded its carrying amount by approximately 18%, and as a result, no impairment existed as of the annual assessment date of December 31, 2023. If our forecasts of cash flows or other key inputs are negatively revised in the future, the estimated fair value of the reporting unit would be adversely impacted, potentially leading to an impairment in the future that could materially affect our operating results. No goodwill impairment charges were recorded for the three and nine months ended September 30, 2024 and 2023.</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three and nine months ended September 30, 2023 related to intangible assets associated with certain product offerings that were sunset in December 2023, which is included in asset impairment charges in the condensed consolidated statements of operations. There were no goodwill or intangible asset impairment charges recorded for the three and nine months ended September 30, 2024.</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and Note 6, “Intangible Assets,” to these condensed consolidated financial statements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reviewed all recently issued standards and have determined that, other than as disclosed in Note 2, “Summary of Significant Accounting Policies,” such standards will not have a material impact on our condensed consolidated financial statements or do not otherwise apply to our current operations.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chief executive officer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foregoing in mind, our chief executive officer and chief financial officer (“Certifying Officers”) evaluated the effectiveness of our disclosure controls and procedures as of September 30, 2024, pursuant to Rule 13a-15(b) under the Exchange Act. Based on the evaluation, our chief executive officer and chief financial officer have concluded that as of September 30, 2024, our disclosure controls and procedures were not effective due to the material weaknesses in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the evaluation, our chief executive officer and chief financial officer have concluded that as of December 31, 2023, our internal control over financial reporting was not effective due to the material weaknesses in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our Annual Report on Form 10K for the year ended December 31, 2023, 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117" w:lineRule="exact"/>
        <w:rPr>
          <w:sz w:val="20"/>
          <w:szCs w:val="20"/>
          <w:color w:val="auto"/>
        </w:rPr>
      </w:pPr>
    </w:p>
    <w:p>
      <w:pPr>
        <w:jc w:val="both"/>
        <w:ind w:left="660" w:hanging="328"/>
        <w:spacing w:after="0" w:line="272"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w:t>
      </w:r>
    </w:p>
    <w:p>
      <w:pPr>
        <w:spacing w:after="0" w:line="1" w:lineRule="exact"/>
        <w:rPr>
          <w:rFonts w:ascii="Times New Roman" w:cs="Times New Roman" w:eastAsia="Times New Roman" w:hAnsi="Times New Roman"/>
          <w:sz w:val="17"/>
          <w:szCs w:val="17"/>
          <w:color w:val="auto"/>
        </w:rPr>
      </w:pPr>
    </w:p>
    <w:p>
      <w:pPr>
        <w:jc w:val="both"/>
        <w:ind w:left="6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78"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our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disclosed in our Annual Report on Form 10-K for the year ended December 31, 2022, we identified a material weakness in internal control related to ineffective IT general controls in the areas of user access and program change-management over certain information technology systems that support our financial reporting processes. We took measures to remediate this material weakness, specifically by undertaking the following measures:</w:t>
      </w:r>
    </w:p>
    <w:p>
      <w:pPr>
        <w:spacing w:after="0" w:line="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developers’ administrative access from production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ability for certain users, including developers, to access other users’ accounts;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audit trails to log and monitor system configuration and data changes made by users to detect erroneous or unauthorized changes.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remediation efforts concluded as of June 30, 2023 when we determined that the above measures had been implemented.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fiscal 2023. The lack of successful completion of our remediation efforts related to this material weakness identified for the year ended December 31, 2022 is reflected in the first bullet of our 2023 material weaknesses discussed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begun the process of and are focused on designing and implementing effective internal controls to improve our internal controls over financial reporting and remediate the material weakness, including;</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additional personnel with extensive knowledge of GAAP,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new ERP system,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IT governance and designing IT general controls including program change management, accessing and restricting user access to our internal systems used for financial reporting and accessing.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the remediation plan is fully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"Commitments and Contingencies—Litigation" in Note 4 of the notes to the condensed consolidated financial statements included in Part I, Item 1 of this Quarterly Report on Form 10-Q is incorporated by reference into this Item 1.</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October 17, 2024, a putative shareholder class action complaint, captioned </w:t>
      </w:r>
      <w:r>
        <w:rPr>
          <w:rFonts w:ascii="Times New Roman" w:cs="Times New Roman" w:eastAsia="Times New Roman" w:hAnsi="Times New Roman"/>
          <w:sz w:val="18"/>
          <w:szCs w:val="18"/>
          <w:i w:val="1"/>
          <w:iCs w:val="1"/>
          <w:color w:val="auto"/>
        </w:rPr>
        <w:t>Seret Ishak v. WM Technology, Inc. et al.</w:t>
      </w:r>
      <w:r>
        <w:rPr>
          <w:rFonts w:ascii="Times New Roman" w:cs="Times New Roman" w:eastAsia="Times New Roman" w:hAnsi="Times New Roman"/>
          <w:sz w:val="18"/>
          <w:szCs w:val="18"/>
          <w:color w:val="auto"/>
        </w:rPr>
        <w:t>, No. 2:24-cv-08959, was filed in the U.S. District Court for the Central District of California, naming us and certain former and current officers and/or directors of the Company and Silver Spike Acquisition Corp. (“Silver Spike”) as defendants. The lawsuit alleges that we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our securities between May 25, 2021, and September 24, 2024, inclusive, and seeks unspecified monetary damages on behalf of the putative class and an award of costs and expenses, including attorney’s fees.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early stage of the proceedings, we are unable to make any prediction regarding the outcome of the litigation.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the second quarter of 2022, our board of directors received an internal complaint regarding the calculation, definition and reporting of our monthly active users (“MAUs”) metric. In response, our board of directors formed a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following which the SEC’s Division of Enforcement commenced an investigation. We have been fully cooperating with that investigation.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we reached an agreement in principle with the SEC staff to resolve the SEC investigation with respect to the Company. Under the terms of the settlement, we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to pay a civil money penalty of $1.5 million. The settlement was approved by the SEC, and the administrative cease-and-desist order was entered in September 2024. We issued payment to the SEC, and it was received by the SEC, in October 2024. Accordingly, the SEC enforcement matter is concluded with respect to the Company.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on November 8, 2024, a shareholder derivative action, captioned DeGennaro v. Francis, et. al, Case No. 8:24-cv-02454 was filed in the U.S. District Court for the Central District of California against certain members of our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 restitution, corporate governance reforms, declaratory relief, and an award of costs and expenses to the derivative plaintiff, including attorneys’ fees.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in our securities involves risk. An investor or potential investor should consider the risks summarized below and under the caption “Risk Factors” in Part I, Item 1A. of our Annual Report on Form 10-K for the year ended December 31, 2023 (our “2023 Form 10-K”) and of Quarterly Report on Form 10-Q for the quarter ended June 30, 2024 (our “Prior 10-Q”) when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making investment decisions regarding our securities. Except for the risk factors discussed below, we do not believe that there have been any material changes to the risk factors disclosed in our 2023 Form 10-K and Prior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the Company. The settlement was approved by the SEC, and the administrative cease-and-desist order was entered in September 2024. In addition, on October 17, 2024, a putative shareholder class action complaint, captioned Seret Ishak v. WM Technology, Inc. et al., No. 2:24-cv-08959, was filed in the U.S. District Court for the Central District of California, naming us and certain former and current officers and/or directors of the Company and Silver Spike as defendants. The lawsuit alleges that we made material misrepresentations and/or omissions of material fact relating to historical public reporting of MAUs. In addition, on November 8, 2024, a shareholder derivative action, captioned DeGennaro v. Francis, et. al, Case No. 8:24-cv-02454, was filed in the U.S. District Court for the Central District of California against certain members of our Board of Directors and certain former and current officers. The derivative complaint alleges that the individual defendants authorized or permitted materially false statements and/or material omissions of fact relating to historical public reporting of MAUs. See Part II, Item 1 of this Quarterly Report on Form 10-Q, titled “Legal Proceedings” for more information regarding this litigation.</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Regardless of the outcome, such proceedings can have an adverse impact on us because of legal costs, penalties and other sanctions, diversion of management resources, negative publicity and reputational harm and other factors.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meet, and may not regain compliance with, the listing standards of the Nasdaq Stock Market LLC (“Nasdaq”), and as a result our Class A Common Stock may be delisted. Delisting could adversely affect the liquidity of our Class A Common Stock and the market price of our Class A Common Stock could decrease.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Class A Common Stock is currently listed on the Nasdaq Global Select Market, which has minimum requirements that a company must meet in order to remain listed. These requirements include maintaining a minimum closing bid price of $1.00 per share, which closing bid price cannot fall below $1.00 per share for a period of more than 30 consecutive business days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2024, we received a letter from the Listing Qualifications Department of The Nasdaq Stock Market LLC (“Nasdaq”) notifying us that, for the last 30 consecutive trading days, the closing bid price for our Class A Common Stock was below $1.00 per share, which is the minimum closing bid price required for continued listing on the Nasdaq Global Select Market pursuant to Nasdaq Listing Rule 5450(a)(1) (the “Notice”). In accordance with Nasdaq Listing Rule 5810(c)(3)(A), we are provided a compliance period of 180 calendar days from the date of the Notice, or until April 7, 2025, to regain compliance with the minimum closing bid price requirement. If at any time during the 180 calendar day grace period, the closing bid price of our Class A Common Stock is at least $1.00 per share for a minimum of ten consecutive business days (unless the Nasdaq staff exercises its discretion to extend this ten business day period pursuant to Nasdaq Listing Rule 5810(c)(3)(H)), Nasdaq will provide us written confirmation of compliance, and the matter will be closed.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do not regain compliance during the compliance period, we may be provided a second 180 calendar day period to regain compliance if we apply to transfer the listing of our Class A Common Stock to the Nasdaq Capital Market. To qualify, we must meet the continued listing requirement for market value of publicly-held shares and all other initial listing standards for the Nasdaq Capital Market (with the exception of the minimum bid price requirement), based on our most recent public filings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information and notify Nasdaq of our intent to cure the deficiency by effecting a reverse stock split, if necessary. If we do not regain compliance within the allotted compliance periods, including any extensions that may be granted by Nasdaq, our Class A Common Stock will be subject to delisting. We would have the right to appeal a determination to delist our Class A Common Stock, and our Class A Common Stock would remain listed on the Nasdaq Global Select Market until the completion of the appeal process.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regain compliance with the minimum bid price requirement during the 180-day compliance period, secure a second 180-day period to regain compliance, or maintain compliance with the other Nasdaq listing requirements.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a reverse stock split is implemented, there can be no assurance that the market price per new share of our Class A Common Stock following the reverse stock split will remain unchanged or will increase in proportion to the reduction in the number of old shares of our Class A Common Stock outstanding before the reverse stock split. The liquidity of the shares of our Class A Common Stock may be affected adversely by any reverse stock split given the reduced number of shares of our Class A Common Stock that will be outstanding following such reverse stock split. Furthermore, following any reverse stock split, the resulting market price of our Class A Common Stock may not attract new investors and may not satisfy the investing requirements of those investors.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our Class A Common Stock is delisted from Nasdaq as a result of our failure to regain compliance with the minimum closing bid price requirement, as a result of Nasdaq not granting us an extension or the panel not granting us a favorable decision or due to our failure to continue to comply with any other requirement for continued listing on Nasdaq,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clients’, customers’ and employees’ confidence in us and employee morale.</w:t>
      </w:r>
    </w:p>
    <w:p>
      <w:pPr>
        <w:spacing w:after="0" w:line="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 Notice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2024, we received the Notice from the Listing Qualifications Department of Nasdaq notifying us that, for the last 30 consecutive business days, the closing bid price for our Class A Common Stock was below $1.00 per share, which is the minimum closing bid price required for continued listing on the Nasdaq Global Select Market pursuant to Nasdaq Listing Rule 5450(a)(1). The Notice is a notice of deficiency, not delisting, and has no immediate effect on the listing of our Class A Common Stock, and our Class A Common Stock will continue to trade on The Nasdaq Global Select Market under the symbol “MAPS” at this time, subject to our with the other Nasdaq listing requirements.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we are provided a compliance period of 180 calendar days from the date of the Notice, or until April 7, 2025, to regain compliance with the minimum closing bid price requirement. If at any time during the 180-calendar day grace period, the closing bid price of our Class A Common Stock is at least $1.00 per share for a minimum of ten consecutive business days (unless the Nasdaq staff exercises its discretion to extend this ten business day period pursuant to Nasdaq Listing Rule 5810(c)(3)(H)), Nasdaq will provide us written confirmation of compliance, and the matter will be closed.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regain compliance during the compliance period, we may be provided a second 180 calendar day period to regain compliance if we apply to transfer the listing of our Class A Common Stock to the Nasdaq Capital Market. To qualify, we must meet the continued listing requirement for market value of publicly-held shares and all other initial listing standards for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Nasdaq Capital Market (with the exception of the minimum bid price requirement), based on our most recent public filings and market information and notify Nasdaq of our intent to cure the deficiency by effecting a reverse stock split, if necessary. If we do not regain compliance within the allotted compliance periods, including any extensions that may be granted by Nasdaq, our Class A Common Stock will be subject to delisting. We would have the right to appeal a determination to delist our Class A Common Stock, and our Class A Common Stock would remain listed on the Nasdaq Global Select Market until the completion of the appeal process.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monitor the closing bid price of our Class A Common Stock and assess potential actions to regain compliance. While we plan to review all available options, there can be no assurance that we will regain compliance with the minimum bid price requirement during the 180-day compliance period, secure a second 180 day period to regain compliance, or maintain compliance with the other Nasdaq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ectPr>
          <w:pgSz w:w="11900" w:h="16838" w:orient="portrait"/>
          <w:cols w:equalWidth="0" w:num="1">
            <w:col w:w="11240"/>
          </w:cols>
          <w:pgMar w:left="320" w:top="229"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8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3.2</w:t>
        </w:r>
      </w:hyperlink>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10.1#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p>
    <w:p>
      <w:pPr>
        <w:ind w:right="20"/>
        <w:spacing w:after="0" w:line="266"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Certificate of Incorporation of the Company, dated June 15, 2021 (incorporated by reference to Exhibit 3.1 to the Current Report on Form</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8-K filed on June 21, 2021).</w:t>
        </w:r>
      </w:hyperlink>
    </w:p>
    <w:p>
      <w:pPr>
        <w:ind w:right="20"/>
        <w:spacing w:after="0" w:line="266"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Amended and Restated Bylaws of the Company, dated June 16, 2021 (incorporated by reference to Exhibit 3.2 to the Current report on</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Form 8-K filed on June 21, 2021).</w:t>
        </w:r>
      </w:hyperlink>
    </w:p>
    <w:p>
      <w:pPr>
        <w:spacing w:after="0"/>
        <w:rPr>
          <w:sz w:val="20"/>
          <w:szCs w:val="20"/>
          <w:color w:val="auto"/>
        </w:rPr>
      </w:pPr>
      <w:r>
        <w:rPr>
          <w:rFonts w:ascii="Times New Roman" w:cs="Times New Roman" w:eastAsia="Times New Roman" w:hAnsi="Times New Roman"/>
          <w:sz w:val="18"/>
          <w:szCs w:val="18"/>
          <w:u w:val="single" w:color="auto"/>
          <w:color w:val="0000FF"/>
        </w:rPr>
        <w:t>Separation and Release Agreement, by and between Duncan Grazier and WM Technology, Inc, dated August 07,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900" w:space="320"/>
            <w:col w:w="1002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Fifth Amendment to Lease, by and between Discovery Business Center LLC and Ghost Management Group, LLC, dated September 30,</w:t>
            </w:r>
          </w:p>
        </w:tc>
      </w:tr>
      <w:tr>
        <w:trPr>
          <w:trHeight w:val="183"/>
        </w:trPr>
        <w:tc>
          <w:tcPr>
            <w:tcW w:w="4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780" w:type="dxa"/>
            <w:vAlign w:val="bottom"/>
          </w:tcPr>
          <w:p>
            <w:pPr>
              <w:spacing w:after="0"/>
              <w:rPr>
                <w:sz w:val="15"/>
                <w:szCs w:val="15"/>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2024</w:t>
            </w:r>
          </w:p>
        </w:tc>
        <w:tc>
          <w:tcPr>
            <w:tcW w:w="1440" w:type="dxa"/>
            <w:vAlign w:val="bottom"/>
            <w:tcBorders>
              <w:top w:val="single" w:sz="8" w:color="0000FF"/>
              <w:bottom w:val="single" w:sz="8" w:color="0000FF"/>
            </w:tcBorders>
          </w:tcPr>
          <w:p>
            <w:pPr>
              <w:spacing w:after="0"/>
              <w:rPr>
                <w:sz w:val="15"/>
                <w:szCs w:val="15"/>
                <w:color w:val="auto"/>
              </w:rPr>
            </w:pPr>
          </w:p>
        </w:tc>
        <w:tc>
          <w:tcPr>
            <w:tcW w:w="1800" w:type="dxa"/>
            <w:vAlign w:val="bottom"/>
            <w:tcBorders>
              <w:top w:val="single" w:sz="8" w:color="0000FF"/>
              <w:bottom w:val="single" w:sz="8" w:color="0000FF"/>
            </w:tcBorders>
          </w:tcPr>
          <w:p>
            <w:pPr>
              <w:spacing w:after="0"/>
              <w:rPr>
                <w:sz w:val="15"/>
                <w:szCs w:val="15"/>
                <w:color w:val="auto"/>
              </w:rPr>
            </w:pPr>
          </w:p>
        </w:tc>
        <w:tc>
          <w:tcPr>
            <w:tcW w:w="1280" w:type="dxa"/>
            <w:vAlign w:val="bottom"/>
            <w:tcBorders>
              <w:top w:val="single" w:sz="8" w:color="0000FF"/>
              <w:bottom w:val="single" w:sz="8" w:color="0000FF"/>
            </w:tcBorders>
          </w:tcPr>
          <w:p>
            <w:pPr>
              <w:spacing w:after="0"/>
              <w:rPr>
                <w:sz w:val="15"/>
                <w:szCs w:val="15"/>
                <w:color w:val="auto"/>
              </w:rPr>
            </w:pPr>
          </w:p>
        </w:tc>
        <w:tc>
          <w:tcPr>
            <w:tcW w:w="510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60" w:type="dxa"/>
            <w:vAlign w:val="bottom"/>
            <w:gridSpan w:val="9"/>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0000FF"/>
              </w:rPr>
              <w:t>Employment Agreement, dated November 07, 2024, by and between Ghost Management Group, LLC, a subsidiary of WM Technology,</w:t>
            </w:r>
          </w:p>
        </w:tc>
      </w:tr>
      <w:tr>
        <w:trPr>
          <w:trHeight w:val="235"/>
        </w:trPr>
        <w:tc>
          <w:tcPr>
            <w:tcW w:w="1220" w:type="dxa"/>
            <w:vAlign w:val="bottom"/>
            <w:tcBorders>
              <w:top w:val="single" w:sz="8" w:color="CCEEFF"/>
              <w:bottom w:val="single" w:sz="8" w:color="CCEEFF"/>
            </w:tcBorders>
            <w:gridSpan w:val="4"/>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1800" w:type="dxa"/>
            <w:vAlign w:val="bottom"/>
            <w:tcBorders>
              <w:top w:val="single" w:sz="8" w:color="0000FF"/>
              <w:bottom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8"/>
              </w:rPr>
              <w:t>Inc. and Douglas Francis</w:t>
            </w:r>
          </w:p>
        </w:tc>
        <w:tc>
          <w:tcPr>
            <w:tcW w:w="1800" w:type="dxa"/>
            <w:vAlign w:val="bottom"/>
            <w:tcBorders>
              <w:top w:val="single" w:sz="8" w:color="0000FF"/>
              <w:bottom w:val="single" w:sz="8" w:color="CCEEFF"/>
            </w:tcBorders>
            <w:shd w:val="clear" w:color="auto" w:fill="CCEEFF"/>
          </w:tcPr>
          <w:p>
            <w:pPr>
              <w:spacing w:after="0"/>
              <w:rPr>
                <w:sz w:val="20"/>
                <w:szCs w:val="20"/>
                <w:color w:val="auto"/>
              </w:rPr>
            </w:pPr>
          </w:p>
        </w:tc>
        <w:tc>
          <w:tcPr>
            <w:tcW w:w="1280" w:type="dxa"/>
            <w:vAlign w:val="bottom"/>
            <w:tcBorders>
              <w:top w:val="single" w:sz="8" w:color="0000FF"/>
              <w:bottom w:val="single" w:sz="8" w:color="CCEEFF"/>
            </w:tcBorders>
            <w:shd w:val="clear" w:color="auto" w:fill="CCEEFF"/>
          </w:tcPr>
          <w:p>
            <w:pPr>
              <w:spacing w:after="0"/>
              <w:rPr>
                <w:sz w:val="20"/>
                <w:szCs w:val="20"/>
                <w:color w:val="auto"/>
              </w:rPr>
            </w:pPr>
          </w:p>
        </w:tc>
        <w:tc>
          <w:tcPr>
            <w:tcW w:w="510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0060" w:type="dxa"/>
            <w:vAlign w:val="bottom"/>
            <w:tcBorders>
              <w:top w:val="single" w:sz="8" w:color="CCEE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Rules 13a-14(a) and 15d-14(a) under the Securities Exchange Act of 1934, as</w:t>
            </w:r>
          </w:p>
        </w:tc>
      </w:tr>
      <w:tr>
        <w:trPr>
          <w:trHeight w:val="183"/>
        </w:trPr>
        <w:tc>
          <w:tcPr>
            <w:tcW w:w="4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510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60" w:type="dxa"/>
            <w:vAlign w:val="bottom"/>
            <w:gridSpan w:val="9"/>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13a-14(a) and 15d-14(a) under the Securities Exchange Act of 1934, as</w:t>
            </w:r>
          </w:p>
        </w:tc>
      </w:tr>
      <w:tr>
        <w:trPr>
          <w:trHeight w:val="235"/>
        </w:trPr>
        <w:tc>
          <w:tcPr>
            <w:tcW w:w="440" w:type="dxa"/>
            <w:vAlign w:val="bottom"/>
            <w:tcBorders>
              <w:top w:val="single" w:sz="8" w:color="CCEEFF"/>
              <w:bottom w:val="single" w:sz="8" w:color="CCEEFF"/>
            </w:tcBorders>
            <w:gridSpan w:val="3"/>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4880" w:type="dxa"/>
            <w:vAlign w:val="bottom"/>
            <w:tcBorders>
              <w:top w:val="single" w:sz="8" w:color="0000FF"/>
              <w:bottom w:val="single" w:sz="8" w:color="0000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5100" w:type="dxa"/>
            <w:vAlign w:val="bottom"/>
            <w:tcBorders>
              <w:top w:val="single" w:sz="8" w:color="0000FF"/>
              <w:bottom w:val="single" w:sz="8" w:color="0000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0060" w:type="dxa"/>
            <w:vAlign w:val="bottom"/>
            <w:tcBorders>
              <w:top w:val="single" w:sz="8" w:color="CCEE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the Principal Executive Officer and Principal Financial Officer pursuant to 18 U.S.C. Section 1350, as adopted pursuant</w:t>
            </w:r>
          </w:p>
        </w:tc>
      </w:tr>
      <w:tr>
        <w:trPr>
          <w:trHeight w:val="183"/>
        </w:trPr>
        <w:tc>
          <w:tcPr>
            <w:tcW w:w="1220" w:type="dxa"/>
            <w:vAlign w:val="bottom"/>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360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to Section 906 of the Sarbanes-Oxley Act of 2002</w:t>
            </w:r>
          </w:p>
        </w:tc>
        <w:tc>
          <w:tcPr>
            <w:tcW w:w="6400" w:type="dxa"/>
            <w:vAlign w:val="bottom"/>
            <w:tcBorders>
              <w:top w:val="single" w:sz="8" w:color="0000FF"/>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60" w:type="dxa"/>
            <w:vAlign w:val="bottom"/>
            <w:gridSpan w:val="9"/>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43"/>
        </w:trPr>
        <w:tc>
          <w:tcPr>
            <w:tcW w:w="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0"/>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0" w:lineRule="exact"/>
        <w:rPr>
          <w:sz w:val="20"/>
          <w:szCs w:val="20"/>
          <w:color w:val="auto"/>
        </w:rPr>
      </w:pPr>
    </w:p>
    <w:p>
      <w:pPr>
        <w:ind w:left="1000"/>
        <w:spacing w:after="0"/>
        <w:tabs>
          <w:tab w:leader="none" w:pos="1200" w:val="left"/>
        </w:tabs>
        <w:rPr>
          <w:sz w:val="20"/>
          <w:szCs w:val="20"/>
          <w:color w:val="auto"/>
        </w:rPr>
      </w:pPr>
      <w:r>
        <w:rPr>
          <w:rFonts w:ascii="Times New Roman" w:cs="Times New Roman" w:eastAsia="Times New Roman" w:hAnsi="Times New Roman"/>
          <w:sz w:val="16"/>
          <w:szCs w:val="16"/>
          <w:color w:val="auto"/>
        </w:rPr>
        <w:t>#</w:t>
        <w:tab/>
        <w:t>Indicates management contract or compensatory plan, contract or agreement.</w:t>
      </w:r>
    </w:p>
    <w:p>
      <w:pPr>
        <w:spacing w:after="0" w:line="46" w:lineRule="exact"/>
        <w:rPr>
          <w:sz w:val="20"/>
          <w:szCs w:val="20"/>
          <w:color w:val="auto"/>
        </w:rPr>
      </w:pPr>
    </w:p>
    <w:p>
      <w:pPr>
        <w:jc w:val="both"/>
        <w:ind w:left="1220" w:right="20" w:hanging="217"/>
        <w:spacing w:after="0" w:line="254" w:lineRule="auto"/>
        <w:tabs>
          <w:tab w:leader="none" w:pos="12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6200" w:type="dxa"/>
            <w:vAlign w:val="bottom"/>
            <w:gridSpan w:val="4"/>
          </w:tcPr>
          <w:p>
            <w:pPr>
              <w:ind w:left="1620"/>
              <w:spacing w:after="0"/>
              <w:rPr>
                <w:sz w:val="20"/>
                <w:szCs w:val="20"/>
                <w:color w:val="auto"/>
              </w:rPr>
            </w:pPr>
            <w:r>
              <w:rPr>
                <w:rFonts w:ascii="Times New Roman" w:cs="Times New Roman" w:eastAsia="Times New Roman" w:hAnsi="Times New Roman"/>
                <w:sz w:val="18"/>
                <w:szCs w:val="18"/>
                <w:b w:val="1"/>
                <w:bCs w:val="1"/>
                <w:color w:val="auto"/>
              </w:rPr>
              <w:t>WM TECHNOLOGY, INC.</w:t>
            </w:r>
          </w:p>
        </w:tc>
      </w:tr>
      <w:tr>
        <w:trPr>
          <w:trHeight w:val="7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190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Douglas Francis</w:t>
            </w:r>
          </w:p>
        </w:tc>
      </w:tr>
      <w:tr>
        <w:trPr>
          <w:trHeight w:val="218"/>
        </w:trPr>
        <w:tc>
          <w:tcPr>
            <w:tcW w:w="3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Douglas Francis</w:t>
            </w:r>
          </w:p>
        </w:tc>
      </w:tr>
      <w:tr>
        <w:trPr>
          <w:trHeight w:val="228"/>
        </w:trPr>
        <w:tc>
          <w:tcPr>
            <w:tcW w:w="3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9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190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Susan Echard</w:t>
            </w:r>
          </w:p>
        </w:tc>
      </w:tr>
      <w:tr>
        <w:trPr>
          <w:trHeight w:val="218"/>
        </w:trPr>
        <w:tc>
          <w:tcPr>
            <w:tcW w:w="3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Susan Echard</w:t>
            </w:r>
          </w:p>
        </w:tc>
      </w:tr>
      <w:tr>
        <w:trPr>
          <w:trHeight w:val="228"/>
        </w:trPr>
        <w:tc>
          <w:tcPr>
            <w:tcW w:w="3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2"/>
        </w:trPr>
        <w:tc>
          <w:tcPr>
            <w:tcW w:w="35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4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r>
      <w:tr>
        <w:trPr>
          <w:trHeight w:val="236"/>
        </w:trPr>
        <w:tc>
          <w:tcPr>
            <w:tcW w:w="3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r>
        <w:trPr>
          <w:trHeight w:val="911"/>
        </w:trPr>
        <w:tc>
          <w:tcPr>
            <w:tcW w:w="3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53</w:t>
            </w:r>
          </w:p>
        </w:tc>
        <w:tc>
          <w:tcPr>
            <w:tcW w:w="3640" w:type="dxa"/>
            <w:vAlign w:val="bottom"/>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5"/>
          <w:szCs w:val="2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AND RELEASE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SEPARATION AND RELEASE AGREEMENT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effective August 2, 2024 (the “</w:t>
      </w:r>
      <w:r>
        <w:rPr>
          <w:rFonts w:ascii="Times New Roman" w:cs="Times New Roman" w:eastAsia="Times New Roman" w:hAnsi="Times New Roman"/>
          <w:sz w:val="20"/>
          <w:szCs w:val="20"/>
          <w:b w:val="1"/>
          <w:bCs w:val="1"/>
          <w:i w:val="1"/>
          <w:i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between Ghost Management Group, LLC, a Delaware limited liability company, and its owners, officers, directors, shareholders,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employees, agents, assigns, representatives, affiliates, parents, subsidiaries and successors in interest (collectively,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on the one hand, and Duncan Grazier, an individual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on the other hand. Each of the Company and Employee may be referred to 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Employee is an at-will employee of the Company, serving in the role of Chief Technology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on July 17, 2024, Employee formally notified the Company of his intent to voluntarily resign as Chief Technology Officer.</w:t>
      </w:r>
    </w:p>
    <w:p>
      <w:pPr>
        <w:spacing w:after="0" w:line="21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WHEREAS, the Company would like to retain the services of Employee in a continued employment relationship with the title of Special Advisor for a fixed period of time to facilitate a transition of the Chief Technology Officer role, and Employee is amenable to such a position.</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WHEREAS, the Company and Employee agree that July 31, 2024 (the “</w:t>
      </w:r>
      <w:r>
        <w:rPr>
          <w:rFonts w:ascii="Times New Roman" w:cs="Times New Roman" w:eastAsia="Times New Roman" w:hAnsi="Times New Roman"/>
          <w:sz w:val="20"/>
          <w:szCs w:val="20"/>
          <w:b w:val="1"/>
          <w:bCs w:val="1"/>
          <w:i w:val="1"/>
          <w:iCs w:val="1"/>
          <w:color w:val="auto"/>
        </w:rPr>
        <w:t>CTO Resignation Date</w:t>
      </w:r>
      <w:r>
        <w:rPr>
          <w:rFonts w:ascii="Times New Roman" w:cs="Times New Roman" w:eastAsia="Times New Roman" w:hAnsi="Times New Roman"/>
          <w:sz w:val="20"/>
          <w:szCs w:val="20"/>
          <w:color w:val="auto"/>
        </w:rPr>
        <w:t>”) shall be Employee’s last day in the role as the Company’s Chief Technology Officer and thereafter he shall remain as an employee with the title of Special Advisor until October 31, 2024 (the “</w:t>
      </w:r>
      <w:r>
        <w:rPr>
          <w:rFonts w:ascii="Times New Roman" w:cs="Times New Roman" w:eastAsia="Times New Roman" w:hAnsi="Times New Roman"/>
          <w:sz w:val="20"/>
          <w:szCs w:val="20"/>
          <w:b w:val="1"/>
          <w:bCs w:val="1"/>
          <w:i w:val="1"/>
          <w:iCs w:val="1"/>
          <w:color w:val="auto"/>
        </w:rPr>
        <w:t>Separation Date</w:t>
      </w:r>
      <w:r>
        <w:rPr>
          <w:rFonts w:ascii="Times New Roman" w:cs="Times New Roman" w:eastAsia="Times New Roman" w:hAnsi="Times New Roman"/>
          <w:sz w:val="20"/>
          <w:szCs w:val="20"/>
          <w:color w:val="auto"/>
        </w:rPr>
        <w:t>”), at which point Employee’s employment with the Company shall terminate.</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WHEREAS, the Company and Employee also wish to effectuate a release of any and all claims that Employee holds against the Company and to resolve all controversies and disputes as hereinafter set forth.</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Recitals, covenants and representations contained in this Agreement, and for other good and valuable consideration, the receipt and sufficiency of which is acknowledged, the Parties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ind w:left="1300" w:hanging="644"/>
        <w:spacing w:after="0"/>
        <w:tabs>
          <w:tab w:leader="none" w:pos="130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Transition to Special Advisor and Termination of Employment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4"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the CTO Resignation Date and continuing through the Separation Date (the “</w:t>
      </w:r>
      <w:r>
        <w:rPr>
          <w:rFonts w:ascii="Times New Roman" w:cs="Times New Roman" w:eastAsia="Times New Roman" w:hAnsi="Times New Roman"/>
          <w:sz w:val="20"/>
          <w:szCs w:val="20"/>
          <w:b w:val="1"/>
          <w:bCs w:val="1"/>
          <w:i w:val="1"/>
          <w:iCs w:val="1"/>
          <w:color w:val="auto"/>
        </w:rPr>
        <w:t>Advising Period</w:t>
      </w:r>
      <w:r>
        <w:rPr>
          <w:rFonts w:ascii="Times New Roman" w:cs="Times New Roman" w:eastAsia="Times New Roman" w:hAnsi="Times New Roman"/>
          <w:sz w:val="20"/>
          <w:szCs w:val="20"/>
          <w:color w:val="auto"/>
        </w:rPr>
        <w:t>”), Employee shall remain employed with the Company on an “at-will” basis with the title of Special Advisor, assisting the Company in the transition of the Chief Technology Officer role. The Company and Employee both acknowledge and agree that during the Advising Period, Employee is free to take on additional outside work or employment, including in a project, consulting or full-time role; provided, that any outside work is accepted by Employee and provided (i) in Employee’s individual capacity and not as a representative of the Company, and</w:t>
      </w:r>
    </w:p>
    <w:p>
      <w:pPr>
        <w:spacing w:after="0" w:line="4" w:lineRule="exact"/>
        <w:rPr>
          <w:rFonts w:ascii="Times New Roman" w:cs="Times New Roman" w:eastAsia="Times New Roman" w:hAnsi="Times New Roman"/>
          <w:sz w:val="20"/>
          <w:szCs w:val="20"/>
          <w:color w:val="auto"/>
        </w:rPr>
      </w:pPr>
    </w:p>
    <w:p>
      <w:pPr>
        <w:jc w:val="both"/>
        <w:ind w:firstLine="8"/>
        <w:spacing w:after="0" w:line="261" w:lineRule="auto"/>
        <w:tabs>
          <w:tab w:leader="none" w:pos="29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Company’s Confidential Information, Non-Solicitation and Inventions Assignment Agreement (or similar document) signed by Employee as a condition of his employment with the Company, as well as Employee’s obligations pursuant to this Agreement, including the confidentiality obligations in Section 10. As consideration for Employee’s Release of Claims in Section 4 and subject to the terms of this Agreement, (x) Employee will continue to be paid his regular salary on the Company’s normal payroll dates during the Advising Period, and</w:t>
      </w:r>
    </w:p>
    <w:p>
      <w:pPr>
        <w:spacing w:after="0" w:line="1"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 health insurance benefits will be maintained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86" w:right="3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20"/>
          <w:szCs w:val="20"/>
          <w:color w:val="auto"/>
        </w:rPr>
        <w:t>by the Company given Employee’s continued status as an active “at-will” employee. Except as stated in this Section 1(a) or as otherwise expressly set forth in the Award Agreements (as defined below), during the Advising Period Employee will not be eligible for any other wages, payments, bonuses, incentives, or benefits (including sick leave or accrual of vacation time), including (a) the Participation Agreement (as defined below), or (b) any other established and/or existing Company or executive bonus program, during the Advising Period. In the event Employee breaches any provision of this Agreement during the Advising Period, the Company will immediately cease providing the payments and benefits stated in this Section 1(a), and process Employee’s separation of employment and Employee will not be entitled to any further payments or benefits under this Agreement. Nothing in this Section 1(a) shall be construed or interpreted to create an employment relationship for a specific length of time or any right to continued employment, or any limit on the discretion of the Company to modify terms and conditions of employment and Employee’s continued employment relationship will be on an “at-will” basis.</w:t>
      </w:r>
    </w:p>
    <w:p>
      <w:pPr>
        <w:spacing w:after="0" w:line="176" w:lineRule="exact"/>
        <w:rPr>
          <w:sz w:val="20"/>
          <w:szCs w:val="20"/>
          <w:color w:val="auto"/>
        </w:rPr>
      </w:pPr>
    </w:p>
    <w:p>
      <w:pPr>
        <w:jc w:val="both"/>
        <w:ind w:firstLine="1304"/>
        <w:spacing w:after="0" w:line="257" w:lineRule="auto"/>
        <w:tabs>
          <w:tab w:leader="none" w:pos="193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terminated sooner, Employee’s “at-will” employment with the Company in all capacities will automatically terminate effective as of the Separation Date. Employee acknowledges that Employee has received all wages, benefits and other amounts due up to the first day of the Advising Period, including without limitation any and all wages, compensation, vacation, sick leave, overtime, commissions, options, bonuses, profit sharing, benefits, insurance, or any other form of payment. Employee acknowledges that payment of Employee’s final wages, including vacation pay, was not conditioned on Employee signing this Agreement.</w:t>
      </w:r>
    </w:p>
    <w:p>
      <w:pPr>
        <w:spacing w:after="0" w:line="168" w:lineRule="exact"/>
        <w:rPr>
          <w:rFonts w:ascii="Times New Roman" w:cs="Times New Roman" w:eastAsia="Times New Roman" w:hAnsi="Times New Roman"/>
          <w:sz w:val="20"/>
          <w:szCs w:val="20"/>
          <w:color w:val="auto"/>
        </w:rPr>
      </w:pPr>
    </w:p>
    <w:p>
      <w:pPr>
        <w:jc w:val="both"/>
        <w:ind w:firstLine="656"/>
        <w:spacing w:after="0" w:line="264" w:lineRule="auto"/>
        <w:tabs>
          <w:tab w:leader="none" w:pos="129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Severance Payments</w:t>
      </w:r>
      <w:r>
        <w:rPr>
          <w:rFonts w:ascii="Times New Roman" w:cs="Times New Roman" w:eastAsia="Times New Roman" w:hAnsi="Times New Roman"/>
          <w:sz w:val="19"/>
          <w:szCs w:val="19"/>
          <w:color w:val="auto"/>
        </w:rPr>
        <w:t>. Although the Company has no severance plan or policy relating to voluntary resignations and has 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obligation to provide Employee severance or other payment following his voluntary resignation of employment, in consideration for this Agreement, the Company agrees to make the Severance Payment (as defined below) to Employee in accordance with the terms of this Agreement. As a condition precedent to receiving the Severance Payment, within two (2) business days after the Separation Date, shall sign a general release of claims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Post Separation Release</w:t>
      </w:r>
      <w:r>
        <w:rPr>
          <w:rFonts w:ascii="Times New Roman" w:cs="Times New Roman" w:eastAsia="Times New Roman" w:hAnsi="Times New Roman"/>
          <w:sz w:val="19"/>
          <w:szCs w:val="19"/>
          <w:color w:val="auto"/>
        </w:rPr>
        <w:t>”). Employee agrees and acknowledges that, except as set forth in this Agreement and the Award Agreements (as defined below), as of the Separation Date Employee will not be entitled to any other compensation, severance, bonus, incentive fee, incentive allocation, management fee or any other payment or benefit or any equity grant whatsoever in nature from the Company or any of the affiliated companies (collectively, the “</w:t>
      </w:r>
      <w:r>
        <w:rPr>
          <w:rFonts w:ascii="Times New Roman" w:cs="Times New Roman" w:eastAsia="Times New Roman" w:hAnsi="Times New Roman"/>
          <w:sz w:val="19"/>
          <w:szCs w:val="19"/>
          <w:b w:val="1"/>
          <w:bCs w:val="1"/>
          <w:i w:val="1"/>
          <w:iCs w:val="1"/>
          <w:color w:val="auto"/>
        </w:rPr>
        <w:t>Company Entities</w:t>
      </w:r>
      <w:r>
        <w:rPr>
          <w:rFonts w:ascii="Times New Roman" w:cs="Times New Roman" w:eastAsia="Times New Roman" w:hAnsi="Times New Roman"/>
          <w:sz w:val="19"/>
          <w:szCs w:val="19"/>
          <w:color w:val="auto"/>
        </w:rPr>
        <w:t>”), including (a) the Participation Agreement (as defined below), or (b) any other established and/or existing Company or executive bonus programs. Without limiting the foregoing and notwithstanding anything in any employment offer letter or equity award agreement, in each case, between Employee, on the one hand, and the Company or WM Holding Company, LLC, a Delaware limited liability company (“</w:t>
      </w:r>
      <w:r>
        <w:rPr>
          <w:rFonts w:ascii="Times New Roman" w:cs="Times New Roman" w:eastAsia="Times New Roman" w:hAnsi="Times New Roman"/>
          <w:sz w:val="19"/>
          <w:szCs w:val="19"/>
          <w:b w:val="1"/>
          <w:bCs w:val="1"/>
          <w:i w:val="1"/>
          <w:iCs w:val="1"/>
          <w:color w:val="auto"/>
        </w:rPr>
        <w:t>WM Holding</w:t>
      </w:r>
      <w:r>
        <w:rPr>
          <w:rFonts w:ascii="Times New Roman" w:cs="Times New Roman" w:eastAsia="Times New Roman" w:hAnsi="Times New Roman"/>
          <w:sz w:val="19"/>
          <w:szCs w:val="19"/>
          <w:color w:val="auto"/>
        </w:rPr>
        <w:t>”), WM Technology, Inc., a Delaware corporation (“</w:t>
      </w:r>
      <w:r>
        <w:rPr>
          <w:rFonts w:ascii="Times New Roman" w:cs="Times New Roman" w:eastAsia="Times New Roman" w:hAnsi="Times New Roman"/>
          <w:sz w:val="19"/>
          <w:szCs w:val="19"/>
          <w:b w:val="1"/>
          <w:bCs w:val="1"/>
          <w:i w:val="1"/>
          <w:iCs w:val="1"/>
          <w:color w:val="auto"/>
        </w:rPr>
        <w:t>WM Tech</w:t>
      </w:r>
      <w:r>
        <w:rPr>
          <w:rFonts w:ascii="Times New Roman" w:cs="Times New Roman" w:eastAsia="Times New Roman" w:hAnsi="Times New Roman"/>
          <w:sz w:val="19"/>
          <w:szCs w:val="19"/>
          <w:color w:val="auto"/>
        </w:rPr>
        <w:t>”), or any other Company Entity, on the other hand, Employee acknowledges and agrees that (i) except as set forth in the last paragraph of Section 4 below, Employee has no right to any units, securities, equity, profits interests or other ownership interests with respect to any of the Company Entities (including, without limitation, the Company and WM Holding), and (ii) Employee has no right (contractual or otherwise) to acquire any units, securities, equity, profits interests or other ownership interests with respect to any of the Company Entities (including, without limitation, the Company and WM Holding).</w:t>
      </w:r>
    </w:p>
    <w:p>
      <w:pPr>
        <w:spacing w:after="0" w:line="177" w:lineRule="exact"/>
        <w:rPr>
          <w:rFonts w:ascii="Times New Roman" w:cs="Times New Roman" w:eastAsia="Times New Roman" w:hAnsi="Times New Roman"/>
          <w:sz w:val="19"/>
          <w:szCs w:val="19"/>
          <w:color w:val="auto"/>
        </w:rPr>
      </w:pPr>
    </w:p>
    <w:p>
      <w:pPr>
        <w:jc w:val="both"/>
        <w:ind w:firstLine="1304"/>
        <w:spacing w:after="0" w:line="260" w:lineRule="auto"/>
        <w:tabs>
          <w:tab w:leader="none" w:pos="193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pay to Employee an amount equal to </w:t>
      </w:r>
      <w:r>
        <w:rPr>
          <w:rFonts w:ascii="Times New Roman" w:cs="Times New Roman" w:eastAsia="Times New Roman" w:hAnsi="Times New Roman"/>
          <w:sz w:val="20"/>
          <w:szCs w:val="20"/>
          <w:b w:val="1"/>
          <w:bCs w:val="1"/>
          <w:color w:val="auto"/>
        </w:rPr>
        <w:t>Four Hundred Seventy-Eight Thousand One Hundred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Twenty-Five Dollars ($478,125)</w:t>
      </w:r>
      <w:r>
        <w:rPr>
          <w:rFonts w:ascii="Times New Roman" w:cs="Times New Roman" w:eastAsia="Times New Roman" w:hAnsi="Times New Roman"/>
          <w:sz w:val="20"/>
          <w:szCs w:val="20"/>
          <w:color w:val="auto"/>
        </w:rPr>
        <w:t>, less any applicable taxes, deductions and withholdings (the “</w:t>
      </w:r>
      <w:r>
        <w:rPr>
          <w:rFonts w:ascii="Times New Roman" w:cs="Times New Roman" w:eastAsia="Times New Roman" w:hAnsi="Times New Roman"/>
          <w:sz w:val="20"/>
          <w:szCs w:val="20"/>
          <w:b w:val="1"/>
          <w:bCs w:val="1"/>
          <w:i w:val="1"/>
          <w:iCs w:val="1"/>
          <w:color w:val="auto"/>
        </w:rPr>
        <w:t>Severance Payment</w:t>
      </w:r>
      <w:r>
        <w:rPr>
          <w:rFonts w:ascii="Times New Roman" w:cs="Times New Roman" w:eastAsia="Times New Roman" w:hAnsi="Times New Roman"/>
          <w:sz w:val="20"/>
          <w:szCs w:val="20"/>
          <w:color w:val="auto"/>
        </w:rPr>
        <w:t>”), and, if and for so long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Employee enrolls in COBRA, pay directly Employee’s COBRA premium for health insurance for nine (9) month(s), covering health insurance (the “</w:t>
      </w:r>
      <w:r>
        <w:rPr>
          <w:rFonts w:ascii="Times New Roman" w:cs="Times New Roman" w:eastAsia="Times New Roman" w:hAnsi="Times New Roman"/>
          <w:sz w:val="20"/>
          <w:szCs w:val="20"/>
          <w:b w:val="1"/>
          <w:bCs w:val="1"/>
          <w:i w:val="1"/>
          <w:iCs w:val="1"/>
          <w:color w:val="auto"/>
        </w:rPr>
        <w:t>Severance Insurance Benefit</w:t>
      </w:r>
      <w:r>
        <w:rPr>
          <w:rFonts w:ascii="Times New Roman" w:cs="Times New Roman" w:eastAsia="Times New Roman" w:hAnsi="Times New Roman"/>
          <w:sz w:val="20"/>
          <w:szCs w:val="20"/>
          <w:color w:val="auto"/>
        </w:rPr>
        <w:t>”) for the period of November 1, 2024 through July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52" w:lineRule="auto"/>
        <w:rPr>
          <w:sz w:val="20"/>
          <w:szCs w:val="20"/>
          <w:color w:val="auto"/>
        </w:rPr>
      </w:pPr>
      <w:r>
        <w:rPr>
          <w:rFonts w:ascii="Times New Roman" w:cs="Times New Roman" w:eastAsia="Times New Roman" w:hAnsi="Times New Roman"/>
          <w:sz w:val="20"/>
          <w:szCs w:val="20"/>
          <w:color w:val="auto"/>
        </w:rPr>
        <w:t>31, 2025 (the “</w:t>
      </w:r>
      <w:r>
        <w:rPr>
          <w:rFonts w:ascii="Times New Roman" w:cs="Times New Roman" w:eastAsia="Times New Roman" w:hAnsi="Times New Roman"/>
          <w:sz w:val="20"/>
          <w:szCs w:val="20"/>
          <w:b w:val="1"/>
          <w:bCs w:val="1"/>
          <w:i w:val="1"/>
          <w:iCs w:val="1"/>
          <w:color w:val="auto"/>
        </w:rPr>
        <w:t>Retention Period</w:t>
      </w:r>
      <w:r>
        <w:rPr>
          <w:rFonts w:ascii="Times New Roman" w:cs="Times New Roman" w:eastAsia="Times New Roman" w:hAnsi="Times New Roman"/>
          <w:sz w:val="20"/>
          <w:szCs w:val="20"/>
          <w:color w:val="auto"/>
        </w:rPr>
        <w:t>”). The Severance Payment shall be made in equal installments over the pay periods on the Company’s normal payroll dates between November 1, 2024 and July 31, 2025, starting on the payroll date for the pay period encompassing the Separation Date (the “</w:t>
      </w:r>
      <w:r>
        <w:rPr>
          <w:rFonts w:ascii="Times New Roman" w:cs="Times New Roman" w:eastAsia="Times New Roman" w:hAnsi="Times New Roman"/>
          <w:sz w:val="20"/>
          <w:szCs w:val="20"/>
          <w:b w:val="1"/>
          <w:bCs w:val="1"/>
          <w:i w:val="1"/>
          <w:iCs w:val="1"/>
          <w:color w:val="auto"/>
        </w:rPr>
        <w:t>Severance Payment Period</w:t>
      </w:r>
      <w:r>
        <w:rPr>
          <w:rFonts w:ascii="Times New Roman" w:cs="Times New Roman" w:eastAsia="Times New Roman" w:hAnsi="Times New Roman"/>
          <w:sz w:val="20"/>
          <w:szCs w:val="20"/>
          <w:color w:val="auto"/>
        </w:rPr>
        <w:t>”). Notwithstanding anything to the contrary herein, the Company shall have the right to prepay all or any portion of the Severance Payment at any time to Employee prior to the end of the Severance Payment Period. The Company will not enroll Employee in COBRA and Employee will be fully responsible for completing any paperwork necessary for COBRA enrollment. Employee acknowledges and agrees that Employee will promptly notify the Company if Employee acquires alternative health insurance coverage at any point during the Retention Period, in which case, the Company will cease providing health insurance benefits to Employee.</w:t>
      </w:r>
    </w:p>
    <w:p>
      <w:pPr>
        <w:spacing w:after="0" w:line="192" w:lineRule="exact"/>
        <w:rPr>
          <w:sz w:val="20"/>
          <w:szCs w:val="20"/>
          <w:color w:val="auto"/>
        </w:rPr>
      </w:pPr>
    </w:p>
    <w:p>
      <w:pPr>
        <w:jc w:val="both"/>
        <w:ind w:firstLine="1304"/>
        <w:spacing w:after="0" w:line="253" w:lineRule="auto"/>
        <w:tabs>
          <w:tab w:leader="none" w:pos="193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allowed Employee to remain covered by the Company’s employer-provided health insurance policies until the end of the calendar month during which the Separation Date occurs (e.g., for a May 5 Separation Date, Employee will remain covered by the Company’s health insurance through May 31). Thereafter, subject to the Severance Insurance Benefit described above, Employee will no longer be entitled to participate in any Company benefit plan, and the Company shall provide Employee notice regarding Employee’s right to continue Employee’s healthcare coverage pursuant to COBRA.</w:t>
      </w:r>
    </w:p>
    <w:p>
      <w:pPr>
        <w:spacing w:after="0" w:line="187" w:lineRule="exact"/>
        <w:rPr>
          <w:rFonts w:ascii="Times New Roman" w:cs="Times New Roman" w:eastAsia="Times New Roman" w:hAnsi="Times New Roman"/>
          <w:sz w:val="20"/>
          <w:szCs w:val="20"/>
          <w:color w:val="auto"/>
        </w:rPr>
      </w:pPr>
    </w:p>
    <w:p>
      <w:pPr>
        <w:jc w:val="both"/>
        <w:ind w:firstLine="656"/>
        <w:spacing w:after="0" w:line="252" w:lineRule="auto"/>
        <w:tabs>
          <w:tab w:leader="none" w:pos="129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of All Company Materials</w:t>
      </w:r>
      <w:r>
        <w:rPr>
          <w:rFonts w:ascii="Times New Roman" w:cs="Times New Roman" w:eastAsia="Times New Roman" w:hAnsi="Times New Roman"/>
          <w:sz w:val="20"/>
          <w:szCs w:val="20"/>
          <w:color w:val="auto"/>
        </w:rPr>
        <w:t>. Employee hereby certifies that as of the CTO Resignation Date, Employee has returned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the Company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Company records, documents, electronically stored information, and tangible embodiments of such, prepared by Employee or coming into Employee’s possession by virtue of Employee’s employment with the Company. To the extent Employee is unable to return such materials that are in a digital form, Employee shall remove all copies of such digital material and certify the destruction or deletion of such digital copies. Employee further certifies that Employee has returned to the Company all property of the Company, including but not limited to pagers, keys, key cards, cellular phones, credit cards, personal and laptop computers, and other electronic equipment. Employee agrees that should Employee at any future time discover additional items of property belonging to the Company, Employee will promptly return such property to the Company.</w:t>
      </w:r>
    </w:p>
    <w:p>
      <w:pPr>
        <w:spacing w:after="0" w:line="174"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Release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22222"/>
        </w:rPr>
        <w:t>Except as to such rights or claims as may be created by this Agreement, Employee and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22222"/>
        </w:rPr>
        <w:t>respective heirs, administrators, successors in interest, assigns and agents, hereby release and forever discharge the Company and its current and former officers, directors, shareholders, employees, representatives, attorneys, agents, members, trustees, administrators, owners, partners, insurers, fiduciaries, subsidiaries, parent companies, affiliates, related entities, assigns, predecessors and successors in interest, jointly and severally (referred to collectively hereafter as the “</w:t>
      </w:r>
      <w:r>
        <w:rPr>
          <w:rFonts w:ascii="Times New Roman" w:cs="Times New Roman" w:eastAsia="Times New Roman" w:hAnsi="Times New Roman"/>
          <w:sz w:val="20"/>
          <w:szCs w:val="20"/>
          <w:b w:val="1"/>
          <w:bCs w:val="1"/>
          <w:i w:val="1"/>
          <w:iCs w:val="1"/>
          <w:color w:val="222222"/>
        </w:rPr>
        <w:t>Releasees</w:t>
      </w:r>
      <w:r>
        <w:rPr>
          <w:rFonts w:ascii="Times New Roman" w:cs="Times New Roman" w:eastAsia="Times New Roman" w:hAnsi="Times New Roman"/>
          <w:sz w:val="20"/>
          <w:szCs w:val="20"/>
          <w:color w:val="222222"/>
        </w:rPr>
        <w:t>”), from any and all claims, demands, liabilities, suits, causes of action, charges, complaints, obligations, costs, losses, damages, injuries, penalties, interest, attorneys’ fees, and other legal responsibilities, of any form whatsoever, whether known or unknown, unforeseen, unanticipated, unsuspected or latent (referred to collectively hereafter as “</w:t>
      </w:r>
      <w:r>
        <w:rPr>
          <w:rFonts w:ascii="Times New Roman" w:cs="Times New Roman" w:eastAsia="Times New Roman" w:hAnsi="Times New Roman"/>
          <w:sz w:val="20"/>
          <w:szCs w:val="20"/>
          <w:b w:val="1"/>
          <w:bCs w:val="1"/>
          <w:i w:val="1"/>
          <w:iCs w:val="1"/>
          <w:color w:val="222222"/>
        </w:rPr>
        <w:t>Claim</w:t>
      </w:r>
      <w:r>
        <w:rPr>
          <w:rFonts w:ascii="Times New Roman" w:cs="Times New Roman" w:eastAsia="Times New Roman" w:hAnsi="Times New Roman"/>
          <w:sz w:val="20"/>
          <w:szCs w:val="20"/>
          <w:color w:val="222222"/>
        </w:rPr>
        <w:t>” or “</w:t>
      </w:r>
      <w:r>
        <w:rPr>
          <w:rFonts w:ascii="Times New Roman" w:cs="Times New Roman" w:eastAsia="Times New Roman" w:hAnsi="Times New Roman"/>
          <w:sz w:val="20"/>
          <w:szCs w:val="20"/>
          <w:b w:val="1"/>
          <w:bCs w:val="1"/>
          <w:i w:val="1"/>
          <w:iCs w:val="1"/>
          <w:color w:val="222222"/>
        </w:rPr>
        <w:t>Claims</w:t>
      </w:r>
      <w:r>
        <w:rPr>
          <w:rFonts w:ascii="Times New Roman" w:cs="Times New Roman" w:eastAsia="Times New Roman" w:hAnsi="Times New Roman"/>
          <w:sz w:val="20"/>
          <w:szCs w:val="20"/>
          <w:color w:val="222222"/>
        </w:rPr>
        <w:t>”), which Employee has at any time owned or held up to and including the date Employee signs this Agreement, including, and without limiting the generality of the foregoing, any and all Claims arising out of, connected with, or relating to: (1) Employee’s employment with the Company or the termination of that employment; (2) any act or omission by or on the part of any of the Releasees; (3) any alleged violation of California Labor Code, applicable California Wage Order, Fair Labor Standards Act, or the Consolidated Omnibus Budget Reconciliation Act (COBRA), as amended; (4) any Claim arising under the Labor Code Private Attorneys General Act (PAGA), Labor Code §§ 2699, et seq.; (5) any federal, state or local law regulating compensation, salaries, wages, meal periods, rest periods, itemized wage statements, pay stubs or payroll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09" w:right="339" w:bottom="1440" w:gutter="0" w:footer="0" w:header="0"/>
        </w:sectPr>
      </w:pPr>
    </w:p>
    <w:bookmarkStart w:id="58" w:name="page59"/>
    <w:bookmarkEnd w:id="58"/>
    <w:p>
      <w:pPr>
        <w:jc w:val="both"/>
        <w:spacing w:after="0" w:line="250" w:lineRule="auto"/>
        <w:rPr>
          <w:sz w:val="20"/>
          <w:szCs w:val="20"/>
          <w:color w:val="auto"/>
        </w:rPr>
      </w:pPr>
      <w:r>
        <w:rPr>
          <w:rFonts w:ascii="Times New Roman" w:cs="Times New Roman" w:eastAsia="Times New Roman" w:hAnsi="Times New Roman"/>
          <w:sz w:val="20"/>
          <w:szCs w:val="20"/>
          <w:color w:val="222222"/>
        </w:rPr>
        <w:t>records, hours, bonuses, commissions, overtime, benefits, monies, pay, allowances, benefits, sick pay, severance pay, retention pay or benefits, paid leave benefits, vacation pay, penalties, interest or damages; (6) any Claim for violation of any federal, state or local law or regulation prohibiting discrimination, harassment or retaliation of any kind; (7) breach of any express or implied employment contract or agreement, wrongful discharge, breach of the implied covenant of good faith and fair dealing, intentional or negligent infliction of emotional distress, fraud, misrepresentation, defamation, trespass, conversion, interference with prospective economic advantage, and invasion of privacy; and (8) that certain Participation Agreement, executed June 12, 2023 by and between WM Tech and Employee (the “</w:t>
      </w:r>
      <w:r>
        <w:rPr>
          <w:rFonts w:ascii="Times New Roman" w:cs="Times New Roman" w:eastAsia="Times New Roman" w:hAnsi="Times New Roman"/>
          <w:sz w:val="20"/>
          <w:szCs w:val="20"/>
          <w:b w:val="1"/>
          <w:bCs w:val="1"/>
          <w:i w:val="1"/>
          <w:iCs w:val="1"/>
          <w:color w:val="222222"/>
        </w:rPr>
        <w:t>Participation</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b w:val="1"/>
          <w:bCs w:val="1"/>
          <w:i w:val="1"/>
          <w:iCs w:val="1"/>
          <w:color w:val="222222"/>
        </w:rPr>
        <w:t>Agreement</w:t>
      </w:r>
      <w:r>
        <w:rPr>
          <w:rFonts w:ascii="Times New Roman" w:cs="Times New Roman" w:eastAsia="Times New Roman" w:hAnsi="Times New Roman"/>
          <w:sz w:val="20"/>
          <w:szCs w:val="20"/>
          <w:color w:val="222222"/>
        </w:rPr>
        <w:t>”); (9) any other established and/or existing Company or executive bonus programs and (10) any Claim for attorneys’ fees, costs</w:t>
      </w:r>
      <w:r>
        <w:rPr>
          <w:rFonts w:ascii="Times New Roman" w:cs="Times New Roman" w:eastAsia="Times New Roman" w:hAnsi="Times New Roman"/>
          <w:sz w:val="20"/>
          <w:szCs w:val="20"/>
          <w:b w:val="1"/>
          <w:bCs w:val="1"/>
          <w:i w:val="1"/>
          <w:iCs w:val="1"/>
          <w:color w:val="222222"/>
        </w:rPr>
        <w:t xml:space="preserve"> </w:t>
      </w:r>
      <w:r>
        <w:rPr>
          <w:rFonts w:ascii="Times New Roman" w:cs="Times New Roman" w:eastAsia="Times New Roman" w:hAnsi="Times New Roman"/>
          <w:sz w:val="20"/>
          <w:szCs w:val="20"/>
          <w:color w:val="222222"/>
        </w:rPr>
        <w:t>or expenses. The foregoing general release does not apply to any Claim that cannot be released as a matter of law, as well as those obligations set forth in that certain Indemnification Agreement, dated December 5, 2022, by and between WM Tech and Employee. Nothing in this Agreement prohibits or prevents Employee from filing a charge with or participating, testifying, or assisting in any investigation, hearing, or other proceeding before any federal, state, or local government agency.</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Employee agrees that the release provided by this Agreement applies to any Claims brought by any person or agency on behalf of Employee or any class action, representative action or collective action pursuant to which Employee may have any right or benefit. Employee agrees not to participate in any class action, representative action or collective action that may include or encompass any of the Claims released by this Agreement. With respect to any Claims released by this Agreement, Employee further agrees not to accept any recovery or benefit that may be obtained on Employee’s behalf by any other person or agency or in any class action, representative action or collective action, and does hereby assign any such recovery or benefit to the Company. In addition, Employee agrees that in the event Employee receives any notice from any claims administrator, attorney, law firm or other person purporting to represent Employee or any class or group which includes Employee, and such notice references any lawsuit or threatened lawsuit against the Company or any of the Releasees that encompasses any of the Claims released by this Agreement, Employee will promptly notify such claims administrator, attorney, law firm, or other person that Employee does not wish to participate in and specifically “opts out” of any class action, representative action or collective action against the Company or any of the Releasees. Finally, by signing this Agreement, Employee acknowledges and agrees that with respect to any Claims released by this Agreement, Employee is not an “aggrieved employee,” as that term is defined by PAGA.</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Notwithstanding anything to the contrary herein, the foregoing release shall not cover, and Employee does not release, any rights of Employee: (a) under this Agreement; (b) the Equity Award Exchange Notification, dated as of June 16, 2021, relating to your Class P Units (the “</w:t>
      </w:r>
      <w:r>
        <w:rPr>
          <w:rFonts w:ascii="Times New Roman" w:cs="Times New Roman" w:eastAsia="Times New Roman" w:hAnsi="Times New Roman"/>
          <w:sz w:val="20"/>
          <w:szCs w:val="20"/>
          <w:b w:val="1"/>
          <w:bCs w:val="1"/>
          <w:i w:val="1"/>
          <w:iCs w:val="1"/>
          <w:color w:val="auto"/>
        </w:rPr>
        <w:t>Class P Unit Award Agreement</w:t>
      </w:r>
      <w:r>
        <w:rPr>
          <w:rFonts w:ascii="Times New Roman" w:cs="Times New Roman" w:eastAsia="Times New Roman" w:hAnsi="Times New Roman"/>
          <w:sz w:val="20"/>
          <w:szCs w:val="20"/>
          <w:color w:val="auto"/>
        </w:rPr>
        <w:t>”), issued by WM Holding, or any rights of Employee as a Class P Unit of WM Holding under the Certificate of Formation or the Fourth Amended and Restated Operating Agreement of WM Holding, dated as of June 16, 2021 (as the same may be amended and/or restated from time to time) (the “</w:t>
      </w:r>
      <w:r>
        <w:rPr>
          <w:rFonts w:ascii="Times New Roman" w:cs="Times New Roman" w:eastAsia="Times New Roman" w:hAnsi="Times New Roman"/>
          <w:sz w:val="20"/>
          <w:szCs w:val="20"/>
          <w:b w:val="1"/>
          <w:bCs w:val="1"/>
          <w:i w:val="1"/>
          <w:iCs w:val="1"/>
          <w:color w:val="auto"/>
        </w:rPr>
        <w:t>Amended and Restated LLC Agreement</w:t>
      </w:r>
      <w:r>
        <w:rPr>
          <w:rFonts w:ascii="Times New Roman" w:cs="Times New Roman" w:eastAsia="Times New Roman" w:hAnsi="Times New Roman"/>
          <w:sz w:val="20"/>
          <w:szCs w:val="20"/>
          <w:color w:val="auto"/>
        </w:rPr>
        <w:t>”); or (c) the RSU Award Grant Notices, dated as of August 30, 2021, March 1, 2022, March 1, 2022 and September 30, 2023 (collectively the “</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and collectively with the Class P Unit Award Agreement, the “</w:t>
      </w:r>
      <w:r>
        <w:rPr>
          <w:rFonts w:ascii="Times New Roman" w:cs="Times New Roman" w:eastAsia="Times New Roman" w:hAnsi="Times New Roman"/>
          <w:sz w:val="20"/>
          <w:szCs w:val="20"/>
          <w:b w:val="1"/>
          <w:bCs w:val="1"/>
          <w:i w:val="1"/>
          <w:iCs w:val="1"/>
          <w:color w:val="auto"/>
        </w:rPr>
        <w:t>Award Agreements</w:t>
      </w:r>
      <w:r>
        <w:rPr>
          <w:rFonts w:ascii="Times New Roman" w:cs="Times New Roman" w:eastAsia="Times New Roman" w:hAnsi="Times New Roman"/>
          <w:sz w:val="20"/>
          <w:szCs w:val="20"/>
          <w:color w:val="auto"/>
        </w:rPr>
        <w:t>”), between Employee and WM Tech, or any rights of Employee as an RSU holder of WM Tech under the 2021 Equity Incentive Plan as may be amended, restated, supplemented, or otherwise modified from time to time of WM Tech, dated as of June 16, 2021 (the “</w:t>
      </w:r>
      <w:r>
        <w:rPr>
          <w:rFonts w:ascii="Times New Roman" w:cs="Times New Roman" w:eastAsia="Times New Roman" w:hAnsi="Times New Roman"/>
          <w:sz w:val="20"/>
          <w:szCs w:val="20"/>
          <w:b w:val="1"/>
          <w:bCs w:val="1"/>
          <w:i w:val="1"/>
          <w:iCs w:val="1"/>
          <w:u w:val="single" w:color="auto"/>
          <w:color w:val="auto"/>
        </w:rPr>
        <w:t>RSU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Employee acknowledges and agrees that Employee:</w:t>
      </w:r>
    </w:p>
    <w:p>
      <w:pPr>
        <w:spacing w:after="0" w:line="6" w:lineRule="exact"/>
        <w:rPr>
          <w:sz w:val="20"/>
          <w:szCs w:val="20"/>
          <w:color w:val="auto"/>
        </w:rPr>
      </w:pPr>
    </w:p>
    <w:p>
      <w:pPr>
        <w:jc w:val="both"/>
        <w:ind w:firstLine="8"/>
        <w:spacing w:after="0" w:line="253" w:lineRule="auto"/>
        <w:tabs>
          <w:tab w:leader="none" w:pos="26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will own </w:t>
      </w:r>
      <w:r>
        <w:rPr>
          <w:rFonts w:ascii="Times New Roman" w:cs="Times New Roman" w:eastAsia="Times New Roman" w:hAnsi="Times New Roman"/>
          <w:sz w:val="20"/>
          <w:szCs w:val="20"/>
          <w:b w:val="1"/>
          <w:bCs w:val="1"/>
          <w:color w:val="auto"/>
        </w:rPr>
        <w:t>one hundred twenty-three thousand nine hundred fifty-four (123,954)</w:t>
      </w:r>
      <w:r>
        <w:rPr>
          <w:rFonts w:ascii="Times New Roman" w:cs="Times New Roman" w:eastAsia="Times New Roman" w:hAnsi="Times New Roman"/>
          <w:sz w:val="20"/>
          <w:szCs w:val="20"/>
          <w:color w:val="auto"/>
        </w:rPr>
        <w:t xml:space="preserve"> vested Class P Units of WM Holding as of the Separation Date, all of which are retained by Employee following the Separation Date pursuant and subject to the Class P Unit Award Agreement, the Amended and Restated LLC Agreement and the WM Holding Third Amended and Restated Equity Incentive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51" w:lineRule="auto"/>
        <w:rPr>
          <w:sz w:val="20"/>
          <w:szCs w:val="20"/>
          <w:color w:val="auto"/>
        </w:rPr>
      </w:pPr>
      <w:r>
        <w:rPr>
          <w:rFonts w:ascii="Times New Roman" w:cs="Times New Roman" w:eastAsia="Times New Roman" w:hAnsi="Times New Roman"/>
          <w:sz w:val="20"/>
          <w:szCs w:val="20"/>
          <w:color w:val="auto"/>
        </w:rPr>
        <w:t>dated as of August 15, 2018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WM Holding Plan</w:t>
      </w:r>
      <w:r>
        <w:rPr>
          <w:rFonts w:ascii="Times New Roman" w:cs="Times New Roman" w:eastAsia="Times New Roman" w:hAnsi="Times New Roman"/>
          <w:sz w:val="20"/>
          <w:szCs w:val="20"/>
          <w:color w:val="auto"/>
        </w:rPr>
        <w:t>” and collectively with the RSU Plan, the “</w:t>
      </w:r>
      <w:r>
        <w:rPr>
          <w:rFonts w:ascii="Times New Roman" w:cs="Times New Roman" w:eastAsia="Times New Roman" w:hAnsi="Times New Roman"/>
          <w:sz w:val="20"/>
          <w:szCs w:val="20"/>
          <w:b w:val="1"/>
          <w:bCs w:val="1"/>
          <w:i w:val="1"/>
          <w:iCs w:val="1"/>
          <w:color w:val="auto"/>
        </w:rPr>
        <w:t>Plans</w:t>
      </w:r>
      <w:r>
        <w:rPr>
          <w:rFonts w:ascii="Times New Roman" w:cs="Times New Roman" w:eastAsia="Times New Roman" w:hAnsi="Times New Roman"/>
          <w:sz w:val="20"/>
          <w:szCs w:val="20"/>
          <w:color w:val="auto"/>
        </w:rPr>
        <w:t xml:space="preserve">”), and that Employee forfeits all Class P Units granted to Employee under the Class P Unit Award Agreement and which are unvested as of the Separation Date pursuant to the terms of the Class P Unit Award Agreement, the Amended and Restated LLC Agreement, and the WM Holding Plan. Employee acknowledges and agrees that </w:t>
      </w:r>
      <w:r>
        <w:rPr>
          <w:rFonts w:ascii="Times New Roman" w:cs="Times New Roman" w:eastAsia="Times New Roman" w:hAnsi="Times New Roman"/>
          <w:sz w:val="20"/>
          <w:szCs w:val="20"/>
          <w:b w:val="1"/>
          <w:bCs w:val="1"/>
          <w:color w:val="auto"/>
        </w:rPr>
        <w:t>three hundred ninety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thousand six hundred twenty-four (390,624) </w:t>
      </w:r>
      <w:r>
        <w:rPr>
          <w:rFonts w:ascii="Times New Roman" w:cs="Times New Roman" w:eastAsia="Times New Roman" w:hAnsi="Times New Roman"/>
          <w:sz w:val="20"/>
          <w:szCs w:val="20"/>
          <w:color w:val="auto"/>
        </w:rPr>
        <w:t>of the RSUs granted under the RSU Award Agreement will be vested as of the Separation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and Employee will own the shares of WM Tech Class A Common Stock issued upon settlement of those vested RSUs (subject to sell-to-cover transactions and any other transactions initiated by the Employee), all of which will be retained by Employee following the Separation Date pursuant and subject to the RSU Award Agreement and the Plan, and that Employee forfeits all RSUs granted to Employee under the RSU Award Agreement and which will be unvested as of the Separation Date pursuant to the terms of the RSU Award Agreement and the Plan.</w:t>
      </w:r>
    </w:p>
    <w:p>
      <w:pPr>
        <w:spacing w:after="0" w:line="214" w:lineRule="exact"/>
        <w:rPr>
          <w:sz w:val="20"/>
          <w:szCs w:val="20"/>
          <w:color w:val="auto"/>
        </w:rPr>
      </w:pPr>
    </w:p>
    <w:p>
      <w:pPr>
        <w:jc w:val="both"/>
        <w:ind w:firstLine="656"/>
        <w:spacing w:after="0" w:line="254" w:lineRule="auto"/>
        <w:tabs>
          <w:tab w:leader="none" w:pos="129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Release of All Unknown Claims. </w:t>
      </w:r>
      <w:r>
        <w:rPr>
          <w:rFonts w:ascii="Times New Roman" w:cs="Times New Roman" w:eastAsia="Times New Roman" w:hAnsi="Times New Roman"/>
          <w:sz w:val="20"/>
          <w:szCs w:val="20"/>
          <w:color w:val="auto"/>
        </w:rPr>
        <w:t>The general release above is intended to be a full and final release covering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unsuspected, unknown, undisclosed and unanticipated Claims which may have arisen, or may arise, from any act or omission up to and including the date Employee signs this Agreement, and which arise out of or are related, directly or indirectly, to the dealings between the Parties or any matters described in this Agreement. Employee, and on behalf of anyone or any entity claiming through Employee, each waive any and all rights or benefits which they may now have, or in the future may have, under the terms of Section 1542 of the California Civil Code, which provides as follows:</w:t>
      </w:r>
    </w:p>
    <w:p>
      <w:pPr>
        <w:spacing w:after="0" w:line="19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provision of Section 1542, and for the purpose of implementing a full and complete release and discharge, Employee expressly acknowledges that the general release above is intended to include and does include in its effect, without limitation, all Claims which Employee does not know or suspect to exist in Employee’s favor against any of the Releasees up to and including the date Employee signs this Agreement and that the release in this Agreement expressly contemplates the extinguishment of all such Claims.</w:t>
      </w:r>
    </w:p>
    <w:p>
      <w:pPr>
        <w:spacing w:after="0" w:line="182" w:lineRule="exact"/>
        <w:rPr>
          <w:sz w:val="20"/>
          <w:szCs w:val="20"/>
          <w:color w:val="auto"/>
        </w:rPr>
      </w:pPr>
    </w:p>
    <w:p>
      <w:pPr>
        <w:jc w:val="both"/>
        <w:ind w:right="20" w:firstLine="656"/>
        <w:spacing w:after="0" w:line="263" w:lineRule="auto"/>
        <w:tabs>
          <w:tab w:leader="none" w:pos="12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Admissions</w:t>
      </w:r>
      <w:r>
        <w:rPr>
          <w:rFonts w:ascii="Times New Roman" w:cs="Times New Roman" w:eastAsia="Times New Roman" w:hAnsi="Times New Roman"/>
          <w:sz w:val="20"/>
          <w:szCs w:val="20"/>
          <w:color w:val="auto"/>
        </w:rPr>
        <w:t>. Neither this Agreement nor the furnishing of the consideration for this Agreement shall be deemed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as an admission of liability or wrongdoing on the part of either Party, nor shall they be admissible as evidence in any proceeding other than for the enforcement of this Agreement.</w:t>
      </w:r>
    </w:p>
    <w:p>
      <w:pPr>
        <w:spacing w:after="0" w:line="175" w:lineRule="exact"/>
        <w:rPr>
          <w:rFonts w:ascii="Times New Roman" w:cs="Times New Roman" w:eastAsia="Times New Roman" w:hAnsi="Times New Roman"/>
          <w:sz w:val="20"/>
          <w:szCs w:val="20"/>
          <w:color w:val="auto"/>
        </w:rPr>
      </w:pPr>
    </w:p>
    <w:p>
      <w:pPr>
        <w:jc w:val="both"/>
        <w:ind w:firstLine="656"/>
        <w:spacing w:after="0" w:line="263" w:lineRule="auto"/>
        <w:tabs>
          <w:tab w:leader="none" w:pos="12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Covenant Not to Sue</w:t>
      </w:r>
      <w:r>
        <w:rPr>
          <w:rFonts w:ascii="Times New Roman" w:cs="Times New Roman" w:eastAsia="Times New Roman" w:hAnsi="Times New Roman"/>
          <w:sz w:val="20"/>
          <w:szCs w:val="20"/>
          <w:color w:val="auto"/>
        </w:rPr>
        <w:t>. Employee has not and will not directly or indirectly institute any legal action against the Releasees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based upon, arising out of, or relating to any Claims released herein (including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Employee has not and will not directly or indirectly encourage and/or solicit any third party to institute any legal action against the Releasees.</w:t>
      </w:r>
    </w:p>
    <w:p>
      <w:pPr>
        <w:spacing w:after="0" w:line="161" w:lineRule="exact"/>
        <w:rPr>
          <w:rFonts w:ascii="Times New Roman" w:cs="Times New Roman" w:eastAsia="Times New Roman" w:hAnsi="Times New Roman"/>
          <w:sz w:val="20"/>
          <w:szCs w:val="20"/>
          <w:color w:val="auto"/>
        </w:rPr>
      </w:pPr>
    </w:p>
    <w:p>
      <w:pPr>
        <w:ind w:firstLine="656"/>
        <w:spacing w:after="0" w:line="287" w:lineRule="auto"/>
        <w:tabs>
          <w:tab w:leader="none" w:pos="12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Intellectual Property of the Company</w:t>
      </w:r>
      <w:r>
        <w:rPr>
          <w:rFonts w:ascii="Times New Roman" w:cs="Times New Roman" w:eastAsia="Times New Roman" w:hAnsi="Times New Roman"/>
          <w:sz w:val="20"/>
          <w:szCs w:val="20"/>
          <w:color w:val="auto"/>
        </w:rPr>
        <w:t>. As additional consideration for the execution and delivery of this Agreement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extent not already obligated to do so with respect to the Company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0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color w:val="auto"/>
        </w:rPr>
        <w:t>and without limitation to any other agreement Employee has with the Company with respect to the following matters:</w:t>
      </w:r>
    </w:p>
    <w:p>
      <w:pPr>
        <w:spacing w:after="0" w:line="229" w:lineRule="exact"/>
        <w:rPr>
          <w:sz w:val="20"/>
          <w:szCs w:val="20"/>
          <w:color w:val="auto"/>
        </w:rPr>
      </w:pPr>
    </w:p>
    <w:p>
      <w:pPr>
        <w:jc w:val="both"/>
        <w:ind w:firstLine="1304"/>
        <w:spacing w:after="0" w:line="253" w:lineRule="auto"/>
        <w:tabs>
          <w:tab w:leader="none" w:pos="1832"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Employee agrees to disclose in writing to the Company all source code, passwords, inventions, products, designs, drawings, notes, information, documentation, improvements, works of authorship, processes, techniques, know-how, technical specifications, hardware, computer programs, databases, user interfaces, encoding techniques, and other materials or innovations of any kind that Employee has made, conceived, developed or reduced to practice, alone or jointly with others, in connection with Employee’s term of service to the Company prior to the CTO Resignation Date or that resulted from or that related thereto, whether or not they are eligible for patent, copyright, mask work, trade secret, trademark or other legal protection (“</w:t>
      </w:r>
      <w:r>
        <w:rPr>
          <w:rFonts w:ascii="Times New Roman" w:cs="Times New Roman" w:eastAsia="Times New Roman" w:hAnsi="Times New Roman"/>
          <w:sz w:val="20"/>
          <w:szCs w:val="20"/>
          <w:b w:val="1"/>
          <w:bCs w:val="1"/>
          <w:i w:val="1"/>
          <w:iCs w:val="1"/>
          <w:color w:val="auto"/>
        </w:rPr>
        <w:t>Innovations</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b w:val="1"/>
          <w:bCs w:val="1"/>
          <w:color w:val="auto"/>
        </w:rPr>
      </w:pPr>
    </w:p>
    <w:p>
      <w:pPr>
        <w:jc w:val="both"/>
        <w:ind w:firstLine="1304"/>
        <w:spacing w:after="0" w:line="250" w:lineRule="auto"/>
        <w:tabs>
          <w:tab w:leader="none" w:pos="1736"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Employee and the Company agree that, to the fullest extent legally possible, all Innovations (as defined in Section 8(a)) will be “works for hire” as that term is defined in Section 101 of the 1976 Copyright Act, and shall be owned exclusively by the Company. Employee agrees that, regardless of whether the Innovations are legally works for hire, all Innovations will be the sole and exclusive property of the Company. Employee hereby irrevocably transfers and assigns to the Company, and agrees to irrevocably transfer and assign to the Company, all of Employee’s right, title and interest in and to the Innovations, including all worldwide patent rights (including patent applications and disclosures), copyright rights, mask work rights, trade secret rights, know-how, and any and all other intellectual property or proprietary rights therein (collectively, “</w:t>
      </w:r>
      <w:r>
        <w:rPr>
          <w:rFonts w:ascii="Times New Roman" w:cs="Times New Roman" w:eastAsia="Times New Roman" w:hAnsi="Times New Roman"/>
          <w:sz w:val="20"/>
          <w:szCs w:val="20"/>
          <w:b w:val="1"/>
          <w:bCs w:val="1"/>
          <w:i w:val="1"/>
          <w:iCs w:val="1"/>
          <w:color w:val="auto"/>
        </w:rPr>
        <w:t>Intellectual Property Rights</w:t>
      </w:r>
      <w:r>
        <w:rPr>
          <w:rFonts w:ascii="Times New Roman" w:cs="Times New Roman" w:eastAsia="Times New Roman" w:hAnsi="Times New Roman"/>
          <w:sz w:val="20"/>
          <w:szCs w:val="20"/>
          <w:color w:val="auto"/>
        </w:rPr>
        <w:t>”). At the Company’s request and expense, during and after the term of this Agreement, Employee will assist and cooperate with the Company in all respects and will execute documents (including, without limitation, assignments as to any Intellectual Property Rights which become the property of the Company pursuant to this Section 8) and, subject to the reasonable availability of Employee, will give testimony and take such further acts reasonably requested by the Company to enable the Company to acquire, transfer, maintain, perfect and enforce its Intellectual Property Rights and other legal protections for the Innovations. Employee hereby appoints the Company as attorney-in-fact to execute documents on behalf of Employee for this limited purpose.</w:t>
      </w:r>
    </w:p>
    <w:p>
      <w:pPr>
        <w:spacing w:after="0" w:line="193" w:lineRule="exact"/>
        <w:rPr>
          <w:rFonts w:ascii="Times New Roman" w:cs="Times New Roman" w:eastAsia="Times New Roman" w:hAnsi="Times New Roman"/>
          <w:sz w:val="20"/>
          <w:szCs w:val="20"/>
          <w:b w:val="1"/>
          <w:bCs w:val="1"/>
          <w:color w:val="auto"/>
        </w:rPr>
      </w:pPr>
    </w:p>
    <w:p>
      <w:pPr>
        <w:jc w:val="both"/>
        <w:ind w:firstLine="1304"/>
        <w:spacing w:after="0" w:line="253" w:lineRule="auto"/>
        <w:tabs>
          <w:tab w:leader="none" w:pos="1713"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Employee hereby irrevocably transfers and assigns to the Company, and agrees to irrevocably transfer and assign to the Company, and waives and agrees never to assert, any and all Moral Rights (as defined below) that Employee may have in or with respect to any Innovation, during and after the term of this Agreement. “</w:t>
      </w:r>
      <w:r>
        <w:rPr>
          <w:rFonts w:ascii="Times New Roman" w:cs="Times New Roman" w:eastAsia="Times New Roman" w:hAnsi="Times New Roman"/>
          <w:sz w:val="20"/>
          <w:szCs w:val="20"/>
          <w:b w:val="1"/>
          <w:bCs w:val="1"/>
          <w:i w:val="1"/>
          <w:iCs w:val="1"/>
          <w:color w:val="auto"/>
        </w:rPr>
        <w:t>Moral Rights</w:t>
      </w:r>
      <w:r>
        <w:rPr>
          <w:rFonts w:ascii="Times New Roman" w:cs="Times New Roman" w:eastAsia="Times New Roman" w:hAnsi="Times New Roman"/>
          <w:sz w:val="20"/>
          <w:szCs w:val="20"/>
          <w:color w:val="auto"/>
        </w:rPr>
        <w:t>” mean any rights to claim authorship of an Innovation (as defined in Section 8(a)), to object to or prevent the modification or destruction of any Innovation, to withdraw from circulation or control the publication or distribution of any Innovation, and any similar right, existing under judicial or statutory law of any country in the world, or under any treaty, regardless of whether or not such right is called or generally referred to as a “moral right.”</w:t>
      </w:r>
    </w:p>
    <w:p>
      <w:pPr>
        <w:spacing w:after="0" w:line="178" w:lineRule="exact"/>
        <w:rPr>
          <w:rFonts w:ascii="Times New Roman" w:cs="Times New Roman" w:eastAsia="Times New Roman" w:hAnsi="Times New Roman"/>
          <w:sz w:val="20"/>
          <w:szCs w:val="20"/>
          <w:b w:val="1"/>
          <w:bCs w:val="1"/>
          <w:color w:val="auto"/>
        </w:rPr>
      </w:pPr>
    </w:p>
    <w:p>
      <w:pPr>
        <w:jc w:val="both"/>
        <w:ind w:firstLine="1304"/>
        <w:spacing w:after="0" w:line="253" w:lineRule="auto"/>
        <w:tabs>
          <w:tab w:leader="none" w:pos="1749"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that Employee owns or controls any patent rights, copyright rights, mask work rights, trade secret rights, or any other intellectual property or proprietary rights that block or interfere with the rights assigned to the Company under this Agreement (collectively, “</w:t>
      </w:r>
      <w:r>
        <w:rPr>
          <w:rFonts w:ascii="Times New Roman" w:cs="Times New Roman" w:eastAsia="Times New Roman" w:hAnsi="Times New Roman"/>
          <w:sz w:val="20"/>
          <w:szCs w:val="20"/>
          <w:b w:val="1"/>
          <w:bCs w:val="1"/>
          <w:i w:val="1"/>
          <w:iCs w:val="1"/>
          <w:color w:val="auto"/>
        </w:rPr>
        <w:t>Related Rights</w:t>
      </w:r>
      <w:r>
        <w:rPr>
          <w:rFonts w:ascii="Times New Roman" w:cs="Times New Roman" w:eastAsia="Times New Roman" w:hAnsi="Times New Roman"/>
          <w:sz w:val="20"/>
          <w:szCs w:val="20"/>
          <w:color w:val="auto"/>
        </w:rPr>
        <w:t>”), Employee hereby grants or will cause to be granted to the Company a non-exclusive, royalty-free, irrevocable, worldwide 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the Company to exercise all of the rights assigned to the Company under this Agreement.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13" w:right="339" w:bottom="1440" w:gutter="0" w:footer="0" w:header="0"/>
        </w:sectPr>
      </w:pPr>
    </w:p>
    <w:bookmarkStart w:id="61" w:name="page62"/>
    <w:bookmarkEnd w:id="61"/>
    <w:p>
      <w:pPr>
        <w:jc w:val="both"/>
        <w:ind w:firstLine="656"/>
        <w:spacing w:after="0" w:line="252" w:lineRule="auto"/>
        <w:tabs>
          <w:tab w:leader="none" w:pos="129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Employee agrees to cooperate with the Company and make himself generally available to the Company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disputes between the Company and third parties. This cooperation may include, but is not limited to, conferring with and assisting the Company in preparatory work in litigation matters, providing factual information to the Company, and giving depositions and testimony in judicial and administrative proceedings. Employee agrees that Employee will not be paid by the Company for Employee’s cooperation, however, Company agrees to pay or reimburse Employee, as applicable, for all travel, accommodation or other reasonable out-of-pocket expenses, including for mileage at the then-applicable Internal Revenue Service rate, that Employee incurs in providing such cooperation (provided such expenses shall be pre-approved by Company). Employee further agrees to make himself available on a reasonable basis with respect to any outstanding legal, business or strategic matters as necessary following the Effective Date and Company agrees to reasonably accommodate Employee’s scheduling needs with respect thereto.</w:t>
      </w:r>
    </w:p>
    <w:p>
      <w:pPr>
        <w:spacing w:after="0" w:line="175"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Except as otherwise prohibited by law, Employee agrees that neither Employee nor any of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agents or representatives will disclose, disseminate and/or publicize, or cause or permit to be disclosed, disseminated or publicized, any attorney client privileged information, attorney work product, confidential information or trade secrets of the Company, the existence of this Agreement or the Award Agreements, any of the terms of this Agreement or the Award Agreements, or any claims or allegations which Employee could have made or asserted against the Company, to any person, corporation, association or governmental agency or other entity except: (a) to the extent necessary to report income to appropriate taxing authorities; (b) to members of Employee’s immediate family; (c) to the extent permitted by federal, state, and/or local laws (such as the National Labor Relations Act, the Securities Exchange Act of 1934, and any other applicable law(s)), without notice to, or approval from, the Company; (d) in response to an order of a court of competent jurisdiction or subpoena issued under the authority thereof; (e) to Employee’s legal, financial or tax advisors; or (f) in response to any inquiry or subpoena issued by a state or federal governmental agency; provided, however, that notice of receipt of such judicial order or subpoena shall be immediately communicated by Employee to the Company telephonically, and confirmed immediately thereafter in writing, so that the Company will have the opportunity to assert what rights it has to non-disclosure prior to Employee’s response to the order, inquiry or subpoena. Should Employee disclose to Employee’s immediate family members or advisors any of the terms this Agreement, Employee will advise them that they are under the same obligation of confidentiality as described in this Section. Employee also agrees not to disclose any confidential or proprietary information pertaining to the business of the Company and/or its customers. For the avoidance of doubt, the confidentiality obligations of this Section shall extend to any information Employee has with respect to the businesses or activities of the Company Entities and any prospective opportunities which such equity holders have discussed or considered pursuing as well as any information received from any actual or potential customers of the Company.</w:t>
      </w:r>
    </w:p>
    <w:p>
      <w:pPr>
        <w:spacing w:after="0" w:line="20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Any violation of the confidentiality provision contained in this Agreement by Employee shall be considered a material breach of this Agreement.</w:t>
      </w:r>
    </w:p>
    <w:p>
      <w:pPr>
        <w:spacing w:after="0" w:line="169" w:lineRule="exact"/>
        <w:rPr>
          <w:sz w:val="20"/>
          <w:szCs w:val="20"/>
          <w:color w:val="auto"/>
        </w:rPr>
      </w:pPr>
    </w:p>
    <w:p>
      <w:pPr>
        <w:jc w:val="both"/>
        <w:ind w:firstLine="656"/>
        <w:spacing w:after="0" w:line="254" w:lineRule="auto"/>
        <w:tabs>
          <w:tab w:leader="none" w:pos="127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Non-Disparagement</w:t>
      </w:r>
      <w:r>
        <w:rPr>
          <w:rFonts w:ascii="Times New Roman" w:cs="Times New Roman" w:eastAsia="Times New Roman" w:hAnsi="Times New Roman"/>
          <w:sz w:val="20"/>
          <w:szCs w:val="20"/>
          <w:color w:val="auto"/>
        </w:rPr>
        <w:t>. Employee agrees that for a term of one (1) year from the Separation Date, Employee will not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disloyal, reckless, or maliciously untrue comments (whether verbally or in writing) to any third party concerning the Company Entities, or any of their current and former officers, directors, shareholders, employees, representatives, attorneys and agents, as well as their predecessors, parents, subsidiaries, affiliates, divisions, and successors-in-interest. The foregoing shall not apply to any communication or disclosure to the extent required to institute any proceedings to enforce the terms of this Agreement. The Company will respond to any inquiries about Employee’s employment by providing only Employee’s dates of employment, job title, and, if authorized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09" w:right="339" w:bottom="1440" w:gutter="0" w:footer="0" w:header="0"/>
        </w:sectPr>
      </w:pPr>
    </w:p>
    <w:bookmarkStart w:id="62" w:name="page63"/>
    <w:bookmarkEnd w:id="62"/>
    <w:p>
      <w:pPr>
        <w:ind w:right="20"/>
        <w:spacing w:after="0" w:line="283" w:lineRule="auto"/>
        <w:rPr>
          <w:sz w:val="20"/>
          <w:szCs w:val="20"/>
          <w:color w:val="auto"/>
        </w:rPr>
      </w:pPr>
      <w:r>
        <w:rPr>
          <w:rFonts w:ascii="Times New Roman" w:cs="Times New Roman" w:eastAsia="Times New Roman" w:hAnsi="Times New Roman"/>
          <w:sz w:val="20"/>
          <w:szCs w:val="20"/>
          <w:color w:val="auto"/>
        </w:rPr>
        <w:t>by Employee in writing, Employee’s last rate of pay. Employee will direct all such inquiries only to the Company’s People Operations Department.</w:t>
      </w:r>
    </w:p>
    <w:p>
      <w:pPr>
        <w:spacing w:after="0" w:line="169" w:lineRule="exact"/>
        <w:rPr>
          <w:sz w:val="20"/>
          <w:szCs w:val="20"/>
          <w:color w:val="auto"/>
        </w:rPr>
      </w:pPr>
    </w:p>
    <w:p>
      <w:pPr>
        <w:jc w:val="both"/>
        <w:ind w:firstLine="656"/>
        <w:spacing w:after="0" w:line="254" w:lineRule="auto"/>
        <w:tabs>
          <w:tab w:leader="none" w:pos="12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Unimpeded Actions and Activities</w:t>
      </w:r>
      <w:r>
        <w:rPr>
          <w:rFonts w:ascii="Times New Roman" w:cs="Times New Roman" w:eastAsia="Times New Roman" w:hAnsi="Times New Roman"/>
          <w:sz w:val="20"/>
          <w:szCs w:val="20"/>
          <w:color w:val="auto"/>
        </w:rPr>
        <w:t>. Nothing in this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shall be construed to prevent or limit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from: (a) discussing or disclosing information about unlawful acts in the workplace, including, but not limited to, harassment or discrimination or any other conduct that Employee has reason to believe is unlawful; (b) engaging in any activity protected by the National Labor Relations Act; (c) making a report to the Securities and Exchange Commission pursuant to Section 21F of the Securities Exchange Act of 1934; (d) communicating with any other federal, state or local government agency; (e) filing a charge with any federal, state or local agency; or (f) participating, testifying and/or assisting in any investigation, hearing or other proceeding before any federal, state or local agency or brought by any federal, state or local agency.</w:t>
      </w:r>
    </w:p>
    <w:p>
      <w:pPr>
        <w:spacing w:after="0" w:line="199" w:lineRule="exact"/>
        <w:rPr>
          <w:rFonts w:ascii="Times New Roman" w:cs="Times New Roman" w:eastAsia="Times New Roman" w:hAnsi="Times New Roman"/>
          <w:sz w:val="20"/>
          <w:szCs w:val="20"/>
          <w:color w:val="auto"/>
        </w:rPr>
      </w:pPr>
    </w:p>
    <w:p>
      <w:pPr>
        <w:jc w:val="both"/>
        <w:ind w:firstLine="656"/>
        <w:spacing w:after="0" w:line="260" w:lineRule="auto"/>
        <w:tabs>
          <w:tab w:leader="none" w:pos="12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to an Attorney; Time to Consider</w:t>
      </w:r>
      <w:r>
        <w:rPr>
          <w:rFonts w:ascii="Times New Roman" w:cs="Times New Roman" w:eastAsia="Times New Roman" w:hAnsi="Times New Roman"/>
          <w:sz w:val="20"/>
          <w:szCs w:val="20"/>
          <w:color w:val="auto"/>
        </w:rPr>
        <w:t>. Employee acknowledges and agrees that Employee has had seven (7) days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 this Agreement and to consult with counsel, and the Company has advised Employee of Employee’s right to do so. To the extent that Employee has taken less than seven (7) days to consider this Agreement, Employee acknowledges that Employee has had sufficient time to consider the Agreement and to consult with counsel and that Employee did not desire additional time.</w:t>
      </w:r>
    </w:p>
    <w:p>
      <w:pPr>
        <w:spacing w:after="0" w:line="204"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Cancellation and Repayment of Severance Payment</w:t>
      </w:r>
      <w:r>
        <w:rPr>
          <w:rFonts w:ascii="Times New Roman" w:cs="Times New Roman" w:eastAsia="Times New Roman" w:hAnsi="Times New Roman"/>
          <w:sz w:val="20"/>
          <w:szCs w:val="20"/>
          <w:color w:val="auto"/>
        </w:rPr>
        <w:t>. In the event of breach of this Agreement by Employee,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not limited to, the confidentiality and non-disparagement provisions during the period that begins on the Effective Date, then in addition to any remedies available to the Company at law or equity, the Company shall be immediately entitled to withhold any and all payments owed to Employee or owed to cover COBRA premiums pursuant to Section 2 of this Agreement and Employee agrees to promptly return to Company the full monetary value of the Severance Payment and Severance Insurance Benefit in Section 2 that was received by Employee and to indemnify and hold harmless the Releasees for and against any and all costs, losses, or liability whatsoever, including reasonable attorneys’ fees, caused by Employee’s breach of this Agreement. Furthermore, Employee agrees that the return or obligation to return the amount of the Severance Payment and Severance Insurance Benefit referenced in Section 2 above to Company will not abrogate or affect in any way Employee’s full release of any and all Claims against the Releasees. Employee acknowledges and agrees that the provisions contained in this Section 14 are reasonable and necessary for the protection of the Company’s legitimate business interests, and further agrees not to challenge the reasonableness of such restrictions.</w:t>
      </w:r>
    </w:p>
    <w:p>
      <w:pPr>
        <w:spacing w:after="0" w:line="175"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 of the Code</w:t>
      </w:r>
      <w:r>
        <w:rPr>
          <w:rFonts w:ascii="Times New Roman" w:cs="Times New Roman" w:eastAsia="Times New Roman" w:hAnsi="Times New Roman"/>
          <w:sz w:val="20"/>
          <w:szCs w:val="20"/>
          <w:color w:val="auto"/>
        </w:rPr>
        <w:t>. While the tax treatment of the payments provided under this Agreement is not warranted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guaranteed, it is intended that such payments shall either be exempt from, or comply with, the requirements of Section 409A of the Internal Revenue Code of 1986, as amended. This Agreement shall be construed, administered and governed in a manner that effects such intent.</w:t>
      </w:r>
    </w:p>
    <w:p>
      <w:pPr>
        <w:spacing w:after="0" w:line="175"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and Modification</w:t>
      </w:r>
      <w:r>
        <w:rPr>
          <w:rFonts w:ascii="Times New Roman" w:cs="Times New Roman" w:eastAsia="Times New Roman" w:hAnsi="Times New Roman"/>
          <w:sz w:val="20"/>
          <w:szCs w:val="20"/>
          <w:color w:val="auto"/>
        </w:rPr>
        <w:t>. The failure to enforce any provision of this Agreement shall not be construed to be a waiver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provision or to affect either the validity of this Agreement or the right of any Party to enforce the Agreement. This Agreement may be modified or amended only by a written agreement executed by Employee and the Company.</w:t>
      </w:r>
    </w:p>
    <w:p>
      <w:pPr>
        <w:spacing w:after="0" w:line="175" w:lineRule="exact"/>
        <w:rPr>
          <w:rFonts w:ascii="Times New Roman" w:cs="Times New Roman" w:eastAsia="Times New Roman" w:hAnsi="Times New Roman"/>
          <w:sz w:val="20"/>
          <w:szCs w:val="20"/>
          <w:color w:val="auto"/>
        </w:rPr>
      </w:pPr>
    </w:p>
    <w:p>
      <w:pPr>
        <w:ind w:firstLine="656"/>
        <w:spacing w:after="0" w:line="273" w:lineRule="auto"/>
        <w:tabs>
          <w:tab w:leader="none" w:pos="12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 and Savings Provision</w:t>
      </w:r>
      <w:r>
        <w:rPr>
          <w:rFonts w:ascii="Times New Roman" w:cs="Times New Roman" w:eastAsia="Times New Roman" w:hAnsi="Times New Roman"/>
          <w:sz w:val="20"/>
          <w:szCs w:val="20"/>
          <w:color w:val="auto"/>
        </w:rPr>
        <w:t>. In the event that any provision of this Agreement should be held to be void, voidable,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unenforceable, the remaining portions hereof shall remain in full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13" w:right="339" w:bottom="1440" w:gutter="0" w:footer="0" w:header="0"/>
        </w:sectPr>
      </w:pPr>
    </w:p>
    <w:bookmarkStart w:id="63" w:name="page64"/>
    <w:bookmarkEnd w:id="63"/>
    <w:p>
      <w:pPr>
        <w:spacing w:after="0" w:line="283" w:lineRule="auto"/>
        <w:rPr>
          <w:sz w:val="20"/>
          <w:szCs w:val="20"/>
          <w:color w:val="auto"/>
        </w:rPr>
      </w:pPr>
      <w:r>
        <w:rPr>
          <w:rFonts w:ascii="Times New Roman" w:cs="Times New Roman" w:eastAsia="Times New Roman" w:hAnsi="Times New Roman"/>
          <w:sz w:val="20"/>
          <w:szCs w:val="20"/>
          <w:color w:val="auto"/>
        </w:rPr>
        <w:t>force and effect. Additionally, in the event that any portion of this Agreement is deemed void or unenforceable, the Parties will be excused from performing that portion of the Agreement.</w:t>
      </w:r>
    </w:p>
    <w:p>
      <w:pPr>
        <w:spacing w:after="0" w:line="142" w:lineRule="exact"/>
        <w:rPr>
          <w:sz w:val="20"/>
          <w:szCs w:val="20"/>
          <w:color w:val="auto"/>
        </w:rPr>
      </w:pPr>
    </w:p>
    <w:p>
      <w:pPr>
        <w:jc w:val="both"/>
        <w:ind w:firstLine="656"/>
        <w:spacing w:after="0" w:line="260" w:lineRule="auto"/>
        <w:tabs>
          <w:tab w:leader="none" w:pos="128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constitutes the entire agreement between Employee and the Company and supersedes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cancels all prior agreements, oral or written, if any, between Employee and the Company, except that this Agreement does not alter, modify, or impact any pre-existing confidentiality provisions and restrictive covenants between the Parties, nor does it affect Employee’s obligation to comply with those provisions and covenants.</w:t>
      </w:r>
    </w:p>
    <w:p>
      <w:pPr>
        <w:spacing w:after="0" w:line="177"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Arbitration</w:t>
      </w:r>
      <w:r>
        <w:rPr>
          <w:rFonts w:ascii="Times New Roman" w:cs="Times New Roman" w:eastAsia="Times New Roman" w:hAnsi="Times New Roman"/>
          <w:sz w:val="20"/>
          <w:szCs w:val="20"/>
          <w:color w:val="auto"/>
        </w:rPr>
        <w:t>. The Parties hereby agree to submit any claim or dispute arising out of the terms of this Agreement to private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confidential arbitration by a single neutral arbitrator through Judicial Arbitration and Mediation Services, Inc. (“JAMS”). This arbitration provision covers all claims that Employee may have against Company, or that Company may have against Employee. The JAMS Streamlined Arbitration Rules &amp; Procedures in effect at the time the claim or dispute is arbitrated will govern the procedure for the arbitration proceedings between the Parties. The arbitration shall take place in Orange County, California. The arbitrator in this matter shall not have the power to modify any of the provisions of this Agreement. The decision of the arbitrator shall be final and binding on all Parties to this Agreement, and judgment thereon may be entered in any court having jurisdiction. The arbitrator’s decision must be in writing and contain sufficient detail to reveal the essential factual findings and legal conclusions on which the decision is based. Company shall initially advance the arbitrator’s fee and all costs of services provided by the arbitrator and arbitration organization. However, the arbitrator’s fee and all costs of services provided by the arbitration organization, as well as reasonable attorneys’ fees and recoverable costs, shall be paid as the arbitrator or court awards in accordance with applicable law. The Parties hereby waive any right to a jury trial on any dispute or claim covered by this Agreement.</w:t>
      </w:r>
    </w:p>
    <w:p>
      <w:pPr>
        <w:spacing w:after="0" w:line="189" w:lineRule="exact"/>
        <w:rPr>
          <w:rFonts w:ascii="Times New Roman" w:cs="Times New Roman" w:eastAsia="Times New Roman" w:hAnsi="Times New Roman"/>
          <w:sz w:val="20"/>
          <w:szCs w:val="20"/>
          <w:color w:val="auto"/>
        </w:rPr>
      </w:pPr>
    </w:p>
    <w:p>
      <w:pPr>
        <w:ind w:firstLine="656"/>
        <w:spacing w:after="0" w:line="273" w:lineRule="auto"/>
        <w:tabs>
          <w:tab w:leader="none" w:pos="128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construed in accordance with, and be governed by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 both procedural and substantive.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13" w:right="339" w:bottom="1440" w:gutter="0" w:footer="0" w:header="0"/>
        </w:sectPr>
      </w:pPr>
    </w:p>
    <w:bookmarkStart w:id="64" w:name="page65"/>
    <w:bookmarkEnd w:id="64"/>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PLEASE READ CAREFULLY. THIS AGREEMENT CONTAINS A RELEASE OF ALL KNOWN AND UNKNOWN CLAIMS. THE UNDERSIGNED AGREE TO THE TERMS OF THIS AGREEMENT AND VOLUNTARILY ENTER INTO IT WITH THE INTENT TO BE BOUND THEREBY.</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undersigned have carefully read this Agreement and understand that it contains a release of known and unknown claims. The undersigned acknowledge and agree to all of the terms and conditions of this Agreement. The undersigned further acknowledge that they are entering into this Agreement voluntarily as of the Effective Date with a full understanding of its terms.</w:t>
      </w: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u w:val="single" w:color="auto"/>
          <w:color w:val="auto"/>
        </w:rPr>
        <w:t>/s/ Duncan Grazier</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Duncan Grazier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Ghost Management Group, LLC</w:t>
      </w: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Doug Francis</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Doug Francis</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0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Post Separation Release</w:t>
      </w:r>
    </w:p>
    <w:p>
      <w:pPr>
        <w:spacing w:after="0" w:line="239" w:lineRule="exact"/>
        <w:rPr>
          <w:sz w:val="20"/>
          <w:szCs w:val="20"/>
          <w:color w:val="auto"/>
        </w:rPr>
      </w:pPr>
    </w:p>
    <w:p>
      <w:pPr>
        <w:jc w:val="both"/>
        <w:ind w:firstLine="8"/>
        <w:spacing w:after="0" w:line="253"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Employee acknowledges that the Severance Payment as set forth in paragraph 2 of the Separation and Release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dated August 2, 2024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entered into by and between Duncan Grazier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and Ghost Management Group, LLC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is sufficient consideration for the release contained in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 referred to hereafter as the “</w:t>
      </w:r>
      <w:r>
        <w:rPr>
          <w:rFonts w:ascii="Times New Roman" w:cs="Times New Roman" w:eastAsia="Times New Roman" w:hAnsi="Times New Roman"/>
          <w:sz w:val="20"/>
          <w:szCs w:val="20"/>
          <w:b w:val="1"/>
          <w:bCs w:val="1"/>
          <w:i w:val="1"/>
          <w:iCs w:val="1"/>
          <w:color w:val="auto"/>
        </w:rPr>
        <w:t>Post Separation Release</w:t>
      </w:r>
      <w:r>
        <w:rPr>
          <w:rFonts w:ascii="Times New Roman" w:cs="Times New Roman" w:eastAsia="Times New Roman" w:hAnsi="Times New Roman"/>
          <w:sz w:val="20"/>
          <w:szCs w:val="20"/>
          <w:color w:val="auto"/>
        </w:rPr>
        <w:t>”), and that Employee must sign this Post Separation Release as a condition for receipt of the Severance Payment. Capitalized terms used herein but not defined shall have the meanings assigned thereto in the Agreement.</w:t>
      </w:r>
    </w:p>
    <w:p>
      <w:pPr>
        <w:spacing w:after="0" w:line="1" w:lineRule="exact"/>
        <w:rPr>
          <w:rFonts w:ascii="Times New Roman" w:cs="Times New Roman" w:eastAsia="Times New Roman" w:hAnsi="Times New Roman"/>
          <w:sz w:val="20"/>
          <w:szCs w:val="20"/>
          <w:color w:val="auto"/>
        </w:rPr>
      </w:pPr>
    </w:p>
    <w:p>
      <w:pPr>
        <w:jc w:val="both"/>
        <w:ind w:firstLine="8"/>
        <w:spacing w:after="0" w:line="251"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Employee’s employment with the Company in all capacities has been terminated effective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Separation Date. Employee acknowledges that Employee has received all wages, benefits and other amounts due up to the Separation Date, including without limitation any and all wages, compensation, vacation, sick leave, overtime, commissions, options, bonuses, profit sharing, benefits, insurance, or any other form of payment. Employee acknowledges that payment of Employee’s final wages, including vacation pay, was not conditioned on Employee signing the Agreement or this Post Separation Release.</w:t>
      </w:r>
    </w:p>
    <w:p>
      <w:pPr>
        <w:spacing w:after="0" w:line="202" w:lineRule="exact"/>
        <w:rPr>
          <w:rFonts w:ascii="Times New Roman" w:cs="Times New Roman" w:eastAsia="Times New Roman" w:hAnsi="Times New Roman"/>
          <w:sz w:val="20"/>
          <w:szCs w:val="20"/>
          <w:color w:val="auto"/>
        </w:rPr>
      </w:pPr>
    </w:p>
    <w:p>
      <w:pPr>
        <w:jc w:val="both"/>
        <w:ind w:firstLine="8"/>
        <w:spacing w:after="0" w:line="252"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of All Company Materials</w:t>
      </w:r>
      <w:r>
        <w:rPr>
          <w:rFonts w:ascii="Times New Roman" w:cs="Times New Roman" w:eastAsia="Times New Roman" w:hAnsi="Times New Roman"/>
          <w:sz w:val="20"/>
          <w:szCs w:val="20"/>
          <w:color w:val="auto"/>
        </w:rPr>
        <w:t>. Employee hereby certifies that as of the Separation Date, Employee has returned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Company records, documents, electronically stored information, and tangible embodiments of such, prepared by Employee or coming into Employee’s possession by virtue of Employee’s employment with the Company. To the extent Employee is unable to return such materials that are in a digital form, Employee shall remove all copies of such digital material and certify the destruction or deletion of such digital copies. Employee further certifies that Employee has returned to the Company all property of the Company, including but not limited to pagers, keys, key cards, cellular phones, credit cards, personal and laptop computers, and other electronic equipment. Employee agrees that should Employee at any future time discover additional items of property belonging to the Company, Employee will promptly return such property to the Company.</w:t>
      </w:r>
    </w:p>
    <w:p>
      <w:pPr>
        <w:spacing w:after="0" w:line="187" w:lineRule="exact"/>
        <w:rPr>
          <w:rFonts w:ascii="Times New Roman" w:cs="Times New Roman" w:eastAsia="Times New Roman" w:hAnsi="Times New Roman"/>
          <w:sz w:val="20"/>
          <w:szCs w:val="20"/>
          <w:color w:val="auto"/>
        </w:rPr>
      </w:pPr>
    </w:p>
    <w:p>
      <w:pPr>
        <w:jc w:val="both"/>
        <w:ind w:firstLine="8"/>
        <w:spacing w:after="0" w:line="250"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Release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22222"/>
        </w:rPr>
        <w:t>Except as to such rights or claims as may be created by this Post Separation Release, Employee and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22222"/>
        </w:rPr>
        <w:t>respective heirs, administrators, successors in interest, assigns and agents, hereby release and forever discharge the Company and its current and former officers, directors, shareholders, employees, representatives, attorneys, agents, members, trustees, administrators, owners, partners, insurers, fiduciaries, subsidiaries, parent companies, affiliates, related entities, assigns, predecessors and successors in interest, jointly and severally (referred to collectively hereafter as the “</w:t>
      </w:r>
      <w:r>
        <w:rPr>
          <w:rFonts w:ascii="Times New Roman" w:cs="Times New Roman" w:eastAsia="Times New Roman" w:hAnsi="Times New Roman"/>
          <w:sz w:val="20"/>
          <w:szCs w:val="20"/>
          <w:b w:val="1"/>
          <w:bCs w:val="1"/>
          <w:i w:val="1"/>
          <w:iCs w:val="1"/>
          <w:color w:val="222222"/>
        </w:rPr>
        <w:t>Releasees</w:t>
      </w:r>
      <w:r>
        <w:rPr>
          <w:rFonts w:ascii="Times New Roman" w:cs="Times New Roman" w:eastAsia="Times New Roman" w:hAnsi="Times New Roman"/>
          <w:sz w:val="20"/>
          <w:szCs w:val="20"/>
          <w:color w:val="222222"/>
        </w:rPr>
        <w:t>”), from any and all claims, demands, liabilities, suits, causes of action, charges, complaints, obligations, costs, losses, damages, injuries, penalties, interest, attorneys’ fees, and other legal responsibilities, of any form whatsoever, whether known or unknown, unforeseen, unanticipated, unsuspected or latent (referred to collectively hereafter as “</w:t>
      </w:r>
      <w:r>
        <w:rPr>
          <w:rFonts w:ascii="Times New Roman" w:cs="Times New Roman" w:eastAsia="Times New Roman" w:hAnsi="Times New Roman"/>
          <w:sz w:val="20"/>
          <w:szCs w:val="20"/>
          <w:b w:val="1"/>
          <w:bCs w:val="1"/>
          <w:i w:val="1"/>
          <w:iCs w:val="1"/>
          <w:color w:val="222222"/>
        </w:rPr>
        <w:t>Claim</w:t>
      </w:r>
      <w:r>
        <w:rPr>
          <w:rFonts w:ascii="Times New Roman" w:cs="Times New Roman" w:eastAsia="Times New Roman" w:hAnsi="Times New Roman"/>
          <w:sz w:val="20"/>
          <w:szCs w:val="20"/>
          <w:color w:val="222222"/>
        </w:rPr>
        <w:t>” or “</w:t>
      </w:r>
      <w:r>
        <w:rPr>
          <w:rFonts w:ascii="Times New Roman" w:cs="Times New Roman" w:eastAsia="Times New Roman" w:hAnsi="Times New Roman"/>
          <w:sz w:val="20"/>
          <w:szCs w:val="20"/>
          <w:b w:val="1"/>
          <w:bCs w:val="1"/>
          <w:i w:val="1"/>
          <w:iCs w:val="1"/>
          <w:color w:val="222222"/>
        </w:rPr>
        <w:t>Claims</w:t>
      </w:r>
      <w:r>
        <w:rPr>
          <w:rFonts w:ascii="Times New Roman" w:cs="Times New Roman" w:eastAsia="Times New Roman" w:hAnsi="Times New Roman"/>
          <w:sz w:val="20"/>
          <w:szCs w:val="20"/>
          <w:color w:val="222222"/>
        </w:rPr>
        <w:t>”), which Employee has at any time owned or held up to and including the date Employee signs this Post Separation Release, including, and without limiting the generality of the foregoing, any and all Claims arising out of, connected with, or relating to: (1) Employee’s employment with the Company or the termination of that employment; (2) any act or omission by or on the part of any of the Releasees; (3) any alleged violation of California Labor Code, applicable California Wage Order, Fair Labor Standards Act, or the Consolidated Omnibus Budget Reconciliation Act (COBRA), as amended; (4) any Claim arising under the Labor Code Private Attorneys General Act (PAGA), Labor Code §§ 2699, et seq.; (5) any federal, state or local law regulating compensation, salaries, wages, meal periods, rest periods, itemized wage statements, pay stubs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09" w:right="339" w:bottom="1440" w:gutter="0" w:footer="0" w:header="0"/>
        </w:sectPr>
      </w:pPr>
    </w:p>
    <w:bookmarkStart w:id="66" w:name="page67"/>
    <w:bookmarkEnd w:id="66"/>
    <w:p>
      <w:pPr>
        <w:jc w:val="both"/>
        <w:spacing w:after="0" w:line="250" w:lineRule="auto"/>
        <w:rPr>
          <w:sz w:val="20"/>
          <w:szCs w:val="20"/>
          <w:color w:val="auto"/>
        </w:rPr>
      </w:pPr>
      <w:r>
        <w:rPr>
          <w:rFonts w:ascii="Times New Roman" w:cs="Times New Roman" w:eastAsia="Times New Roman" w:hAnsi="Times New Roman"/>
          <w:sz w:val="20"/>
          <w:szCs w:val="20"/>
          <w:color w:val="222222"/>
        </w:rPr>
        <w:t>or payroll records, hours, bonuses, commissions, overtime, benefits, monies, pay, allowances, benefits, sick pay, severance pay, retention pay or benefits, paid leave benefits, vacation pay, penalties, interest or damages; (6) any Claim for violation of any federal, state or local law or regulation prohibiting discrimination, harassment or retaliation of any kind; (7) breach of any express or implied employment contract or agreement, wrongful discharge, breach of the implied covenant of good faith and fair dealing, intentional or negligent infliction of emotional distress, fraud, misrepresentation, defamation, trespass, conversion, interference with prospective economic advantage, and invasion of privacy; and (8) that certain Participation Agreement, executed June 12, 2023 by and between WM Tech and Employee; (9) any other established and/or existing Company or executive bonus programs and (10) any Claim for attorneys’ fees, costs or expenses. The foregoing general release does not apply to any Claim that cannot be released as a matter of law, as well as those obligations set forth in that certain Indemnification Agreement, dated December 5, 2022, by and between WM Tech and Employee. Nothing in this Post Separation Release prohibits or prevents Employee from filing a charge with or participating, testifying, or assisting in any investigation, hearing, or other proceeding before any federal, state, or local government agency.</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Employee agrees that the release provided by this Post Separation Release applies to any Claims brought by any person or agency on behalf of Employee or any class action, representative action or collective action pursuant to which Employee may have any right or benefit. Employee agrees not to participate in any class action, representative action or collective action that may include or encompass any of the Claims released by this Post Separation Release. With respect to any Claims released by this Post Separation Release, Employee further agrees not to accept any recovery or benefit that may be obtained on Employee’s behalf by any other person or agency or in any class action, representative action or collective action, and does hereby assign any such recovery or benefit to the Company. In addition, Employee agrees that in the event Employee receives any notice from any claims administrator, attorney, law firm or other person purporting to represent Employee or any class or group which includes Employee, and such notice references any lawsuit or threatened lawsuit against the Company or any of the Releasees that encompasses any of the Claims released by this Post Separation Release, Employee will promptly notify such claims administrator, attorney, law firm, or other person that Employee does not wish to participate in and specifically “opts out” of any class action, representative action or collective action against the Company or any of the Releasees. Finally, by signing this Post Separation Release, Employee acknowledges and agrees that with respect to any Claims released by this Post Separation Release, Employee is not an “aggrieved employee,” as that term is defined by PAGA.</w:t>
      </w:r>
    </w:p>
    <w:p>
      <w:pPr>
        <w:spacing w:after="0" w:line="203" w:lineRule="exact"/>
        <w:rPr>
          <w:sz w:val="20"/>
          <w:szCs w:val="20"/>
          <w:color w:val="auto"/>
        </w:rPr>
      </w:pPr>
    </w:p>
    <w:p>
      <w:pPr>
        <w:jc w:val="both"/>
        <w:ind w:firstLine="8"/>
        <w:spacing w:after="0" w:line="254"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 of All Unknown Claims</w:t>
      </w:r>
      <w:r>
        <w:rPr>
          <w:rFonts w:ascii="Times New Roman" w:cs="Times New Roman" w:eastAsia="Times New Roman" w:hAnsi="Times New Roman"/>
          <w:sz w:val="20"/>
          <w:szCs w:val="20"/>
          <w:color w:val="auto"/>
        </w:rPr>
        <w:t>. The general release above is intended to be a full and final release covering all unsuspected,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unknown, undisclosed and unanticipated Claims which may have arisen, or may arise, from any act or omission up to and including the date Employee signs this Post Separation Release, and which arise out of or are related, directly or indirectly, to the dealings between the Parties or any matters described in this Post Separation Release. Employee, and on behalf of anyone or any entity claiming through Employee, each waive any and all rights or benefits which they may now have, or in the future may have, under the terms of Section 1542 of the California Civil Code, which provides as follows:</w:t>
      </w:r>
    </w:p>
    <w:p>
      <w:pPr>
        <w:spacing w:after="0" w:line="19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13" w:right="339" w:bottom="1440" w:gutter="0" w:footer="0" w:header="0"/>
        </w:sectPr>
      </w:pPr>
    </w:p>
    <w:bookmarkStart w:id="67" w:name="page68"/>
    <w:bookmarkEnd w:id="67"/>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provision of Section 1542, and for the purpose of implementing a full and complete release and discharge, Employee expressly acknowledges that the general release above is intended to include and does include in its effect, without limitation, all Claims which Employee does not know or suspect to exist in Employee’s favor against any of the Releasees up to and including the date Employee signs this Post Separation Release and that the release in this Post Separation Release expressly contemplates the extinguishment of all such Claims.</w:t>
      </w:r>
    </w:p>
    <w:p>
      <w:pPr>
        <w:spacing w:after="0" w:line="215" w:lineRule="exact"/>
        <w:rPr>
          <w:sz w:val="20"/>
          <w:szCs w:val="20"/>
          <w:color w:val="auto"/>
        </w:rPr>
      </w:pPr>
    </w:p>
    <w:p>
      <w:pPr>
        <w:jc w:val="both"/>
        <w:ind w:firstLine="8"/>
        <w:spacing w:after="0" w:line="263"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Covenant Not to Sue</w:t>
      </w:r>
      <w:r>
        <w:rPr>
          <w:rFonts w:ascii="Times New Roman" w:cs="Times New Roman" w:eastAsia="Times New Roman" w:hAnsi="Times New Roman"/>
          <w:sz w:val="20"/>
          <w:szCs w:val="20"/>
          <w:color w:val="auto"/>
        </w:rPr>
        <w:t>. Employee has not and will not directly or indirectly institute any legal action against the Releasees based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arising out of, or relating to any Claims released in this Post Separation Release. Employee has not and will not directly or indirectly encourage and/or solicit any third party to institute any legal action against the Releasees.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Duncan Grazier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Duncan Grazier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0"/>
          <w:szCs w:val="20"/>
          <w:u w:val="single" w:color="auto"/>
          <w:color w:val="auto"/>
        </w:rPr>
        <w:t>Nov 02,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6.2023</w:t>
      </w:r>
    </w:p>
    <w:p>
      <w:pPr>
        <w:sectPr>
          <w:pgSz w:w="11900" w:h="16838" w:orient="portrait"/>
          <w:cols w:equalWidth="0" w:num="1">
            <w:col w:w="11240"/>
          </w:cols>
          <w:pgMar w:left="320" w:top="141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10.2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FIFTH AMENDMENT TO LEASE</w:t>
      </w:r>
    </w:p>
    <w:p>
      <w:pPr>
        <w:spacing w:after="0" w:line="200" w:lineRule="exact"/>
        <w:rPr>
          <w:sz w:val="20"/>
          <w:szCs w:val="20"/>
          <w:color w:val="auto"/>
        </w:rPr>
      </w:pPr>
    </w:p>
    <w:p>
      <w:pPr>
        <w:spacing w:after="0" w:line="277" w:lineRule="exact"/>
        <w:rPr>
          <w:sz w:val="20"/>
          <w:szCs w:val="20"/>
          <w:color w:val="auto"/>
        </w:rPr>
      </w:pPr>
    </w:p>
    <w:p>
      <w:pPr>
        <w:ind w:left="300" w:hanging="292"/>
        <w:spacing w:after="0"/>
        <w:tabs>
          <w:tab w:leader="none" w:pos="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PARTIES AND DATE.</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This Fifth Amendment to Lease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dated September 30, 2024 , is by and between </w:t>
      </w:r>
      <w:r>
        <w:rPr>
          <w:rFonts w:ascii="Arial" w:cs="Arial" w:eastAsia="Arial" w:hAnsi="Arial"/>
          <w:sz w:val="18"/>
          <w:szCs w:val="18"/>
          <w:b w:val="1"/>
          <w:bCs w:val="1"/>
          <w:color w:val="auto"/>
        </w:rPr>
        <w:t>DISCOVERY BUSINESS CENTER</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GHOST MANAGEMENT GROUP, LLC</w:t>
      </w:r>
      <w:r>
        <w:rPr>
          <w:rFonts w:ascii="Arial" w:cs="Arial" w:eastAsia="Arial" w:hAnsi="Arial"/>
          <w:sz w:val="18"/>
          <w:szCs w:val="18"/>
          <w:color w:val="auto"/>
        </w:rPr>
        <w:t>, a Delaware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5"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RECITALS.</w:t>
      </w:r>
    </w:p>
    <w:p>
      <w:pPr>
        <w:spacing w:after="0" w:line="252" w:lineRule="exact"/>
        <w:rPr>
          <w:rFonts w:ascii="Arial" w:cs="Arial" w:eastAsia="Arial" w:hAnsi="Arial"/>
          <w:sz w:val="18"/>
          <w:szCs w:val="18"/>
          <w:b w:val="1"/>
          <w:bCs w:val="1"/>
          <w:color w:val="auto"/>
        </w:rPr>
      </w:pPr>
    </w:p>
    <w:p>
      <w:pPr>
        <w:jc w:val="both"/>
        <w:ind w:firstLine="656"/>
        <w:spacing w:after="0" w:line="259"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Landlord and Tenant (as successor-in-interest to Ghost Media Group, LLC, a Nevada limited liability company) entered into a lease dated November 11, 2013, as amended by a First Amendment to Lease and Consent to Assignment dated January 27, 2016, a Second Amendment to Lease dated April 7, 2017, a Third Amendment to Lease dated December 29, 2017, and a Fourth Amendment to Lease dated May 3, 2018 (collectively, the “</w:t>
      </w:r>
      <w:r>
        <w:rPr>
          <w:rFonts w:ascii="Arial" w:cs="Arial" w:eastAsia="Arial" w:hAnsi="Arial"/>
          <w:sz w:val="18"/>
          <w:szCs w:val="18"/>
          <w:b w:val="1"/>
          <w:bCs w:val="1"/>
          <w:color w:val="auto"/>
        </w:rPr>
        <w:t>Lease</w:t>
      </w:r>
      <w:r>
        <w:rPr>
          <w:rFonts w:ascii="Arial" w:cs="Arial" w:eastAsia="Arial" w:hAnsi="Arial"/>
          <w:sz w:val="18"/>
          <w:szCs w:val="18"/>
          <w:color w:val="auto"/>
        </w:rPr>
        <w:t>”), in connection with approximately 76,227 rentable square feet, consisting of approximately 31,407 rentable square feet of space located at 43 Discovery, Suite 200, Irvine, California (the “</w:t>
      </w:r>
      <w:r>
        <w:rPr>
          <w:rFonts w:ascii="Arial" w:cs="Arial" w:eastAsia="Arial" w:hAnsi="Arial"/>
          <w:sz w:val="18"/>
          <w:szCs w:val="18"/>
          <w:b w:val="1"/>
          <w:bCs w:val="1"/>
          <w:color w:val="auto"/>
        </w:rPr>
        <w:t>Giveback Space</w:t>
      </w:r>
      <w:r>
        <w:rPr>
          <w:rFonts w:ascii="Arial" w:cs="Arial" w:eastAsia="Arial" w:hAnsi="Arial"/>
          <w:sz w:val="18"/>
          <w:szCs w:val="18"/>
          <w:color w:val="auto"/>
        </w:rPr>
        <w:t>”) and approximately 44,820 rentable square feet of space located at 41 Discovery, Irvine, California (the “</w:t>
      </w:r>
      <w:r>
        <w:rPr>
          <w:rFonts w:ascii="Arial" w:cs="Arial" w:eastAsia="Arial" w:hAnsi="Arial"/>
          <w:sz w:val="18"/>
          <w:szCs w:val="18"/>
          <w:b w:val="1"/>
          <w:bCs w:val="1"/>
          <w:color w:val="auto"/>
        </w:rPr>
        <w:t>Renewal Space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firstLine="656"/>
        <w:spacing w:after="0" w:line="268"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Landlord and Tenant each desire to modify the Lease to terminate the Lease with respect to the Giveback Space, extend the Term in connection with the Renewal Space, adjust the Basic Rent and make such other modifications as are set forth in "III. MODIFICATIONS" next below.</w:t>
      </w:r>
    </w:p>
    <w:p>
      <w:pPr>
        <w:spacing w:after="0" w:line="198"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w:t>
      </w:r>
    </w:p>
    <w:p>
      <w:pPr>
        <w:spacing w:after="0" w:line="252" w:lineRule="exact"/>
        <w:rPr>
          <w:rFonts w:ascii="Arial" w:cs="Arial" w:eastAsia="Arial" w:hAnsi="Arial"/>
          <w:sz w:val="18"/>
          <w:szCs w:val="18"/>
          <w:b w:val="1"/>
          <w:bCs w:val="1"/>
          <w:color w:val="auto"/>
        </w:rPr>
      </w:pPr>
    </w:p>
    <w:p>
      <w:pPr>
        <w:jc w:val="both"/>
        <w:ind w:firstLine="656"/>
        <w:spacing w:after="0" w:line="256"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as to the Giveback Space</w:t>
      </w:r>
      <w:r>
        <w:rPr>
          <w:rFonts w:ascii="Arial" w:cs="Arial" w:eastAsia="Arial" w:hAnsi="Arial"/>
          <w:sz w:val="18"/>
          <w:szCs w:val="18"/>
          <w:color w:val="auto"/>
        </w:rPr>
        <w:t>. The parties agree that Tenant’s lease as to the Giveback Space will be terminated as of October 31, 2024 (the “</w:t>
      </w:r>
      <w:r>
        <w:rPr>
          <w:rFonts w:ascii="Arial" w:cs="Arial" w:eastAsia="Arial" w:hAnsi="Arial"/>
          <w:sz w:val="18"/>
          <w:szCs w:val="18"/>
          <w:b w:val="1"/>
          <w:bCs w:val="1"/>
          <w:color w:val="auto"/>
        </w:rPr>
        <w:t>Termination Date for the Giveback Space</w:t>
      </w:r>
      <w:r>
        <w:rPr>
          <w:rFonts w:ascii="Arial" w:cs="Arial" w:eastAsia="Arial" w:hAnsi="Arial"/>
          <w:sz w:val="18"/>
          <w:szCs w:val="18"/>
          <w:color w:val="auto"/>
        </w:rPr>
        <w:t>”), provided that such termination will not relieve Tenant of (i) any rent or other charges owed by Tenant, or other obligations required of Tenant, as are set forth in the Lease from and after the date of this Amendment through and including the Termination Date for the Giveback Space, (ii) any obligations which are set forth in this Amendment, and (iii) any indemnity or hold harmless obligations set forth in the Lease as to the Giveback Space. Tenant will quit and surrender possession of the Giveback Space to Landlord on or before the Termination Date for the Giveback Space as required by the provisions of the Lease, including, but not limited to Section 15.2 thereof.</w:t>
      </w:r>
    </w:p>
    <w:p>
      <w:pPr>
        <w:spacing w:after="0" w:line="209" w:lineRule="exact"/>
        <w:rPr>
          <w:rFonts w:ascii="Arial" w:cs="Arial" w:eastAsia="Arial" w:hAnsi="Arial"/>
          <w:sz w:val="18"/>
          <w:szCs w:val="18"/>
          <w:color w:val="auto"/>
        </w:rPr>
      </w:pPr>
    </w:p>
    <w:p>
      <w:pPr>
        <w:ind w:left="1300" w:hanging="644"/>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Basic Lease Provisions</w:t>
      </w:r>
      <w:r>
        <w:rPr>
          <w:rFonts w:ascii="Arial" w:cs="Arial" w:eastAsia="Arial" w:hAnsi="Arial"/>
          <w:sz w:val="18"/>
          <w:szCs w:val="18"/>
          <w:color w:val="auto"/>
        </w:rPr>
        <w:t>. The Basic Lease Provisions are hereby amended as follows:</w:t>
      </w:r>
    </w:p>
    <w:p>
      <w:pPr>
        <w:spacing w:after="0" w:line="252" w:lineRule="exact"/>
        <w:rPr>
          <w:rFonts w:ascii="Arial" w:cs="Arial" w:eastAsia="Arial" w:hAnsi="Arial"/>
          <w:sz w:val="18"/>
          <w:szCs w:val="18"/>
          <w:color w:val="auto"/>
        </w:rPr>
      </w:pPr>
    </w:p>
    <w:p>
      <w:pPr>
        <w:ind w:left="1960" w:right="300" w:hanging="656"/>
        <w:spacing w:after="0" w:line="563" w:lineRule="auto"/>
        <w:tabs>
          <w:tab w:leader="none" w:pos="1948" w:val="left"/>
        </w:tabs>
        <w:numPr>
          <w:ilvl w:val="2"/>
          <w:numId w:val="50"/>
        </w:numPr>
        <w:rPr>
          <w:rFonts w:ascii="Arial" w:cs="Arial" w:eastAsia="Arial" w:hAnsi="Arial"/>
          <w:sz w:val="17"/>
          <w:szCs w:val="17"/>
          <w:color w:val="auto"/>
        </w:rPr>
      </w:pPr>
      <w:r>
        <w:rPr>
          <w:rFonts w:ascii="Arial" w:cs="Arial" w:eastAsia="Arial" w:hAnsi="Arial"/>
          <w:sz w:val="17"/>
          <w:szCs w:val="17"/>
          <w:color w:val="auto"/>
        </w:rPr>
        <w:t xml:space="preserve">Effective as of November 1, 2024, Item 2 will be deleted in its entirety and the following substituted in lieu thereof: “2.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41 Discovery, Irvine, CA 92618 (The Premises are more particularly set forth in Section 2.1.)</w:t>
      </w:r>
    </w:p>
    <w:p>
      <w:pPr>
        <w:ind w:left="2140"/>
        <w:spacing w:after="0"/>
        <w:rPr>
          <w:rFonts w:ascii="Arial" w:cs="Arial" w:eastAsia="Arial" w:hAnsi="Arial"/>
          <w:sz w:val="17"/>
          <w:szCs w:val="17"/>
          <w:color w:val="auto"/>
        </w:rPr>
      </w:pPr>
      <w:r>
        <w:rPr>
          <w:rFonts w:ascii="Arial" w:cs="Arial" w:eastAsia="Arial" w:hAnsi="Arial"/>
          <w:sz w:val="18"/>
          <w:szCs w:val="18"/>
          <w:b w:val="1"/>
          <w:bCs w:val="1"/>
          <w:color w:val="auto"/>
        </w:rPr>
        <w:t>Address of Building</w:t>
      </w:r>
      <w:r>
        <w:rPr>
          <w:rFonts w:ascii="Arial" w:cs="Arial" w:eastAsia="Arial" w:hAnsi="Arial"/>
          <w:sz w:val="18"/>
          <w:szCs w:val="18"/>
          <w:color w:val="auto"/>
        </w:rPr>
        <w:t>:  41 Discovery, Irvine, CA 92618</w:t>
      </w:r>
    </w:p>
    <w:p>
      <w:pPr>
        <w:spacing w:after="0" w:line="252" w:lineRule="exact"/>
        <w:rPr>
          <w:rFonts w:ascii="Arial" w:cs="Arial" w:eastAsia="Arial" w:hAnsi="Arial"/>
          <w:sz w:val="17"/>
          <w:szCs w:val="17"/>
          <w:color w:val="auto"/>
        </w:rPr>
      </w:pPr>
    </w:p>
    <w:p>
      <w:pPr>
        <w:ind w:left="2160"/>
        <w:spacing w:after="0"/>
        <w:rPr>
          <w:rFonts w:ascii="Arial" w:cs="Arial" w:eastAsia="Arial" w:hAnsi="Arial"/>
          <w:sz w:val="17"/>
          <w:szCs w:val="17"/>
          <w:color w:val="auto"/>
        </w:rPr>
      </w:pPr>
      <w:r>
        <w:rPr>
          <w:rFonts w:ascii="Arial" w:cs="Arial" w:eastAsia="Arial" w:hAnsi="Arial"/>
          <w:sz w:val="18"/>
          <w:szCs w:val="18"/>
          <w:b w:val="1"/>
          <w:bCs w:val="1"/>
          <w:color w:val="auto"/>
        </w:rPr>
        <w:t>Project</w:t>
      </w:r>
      <w:r>
        <w:rPr>
          <w:rFonts w:ascii="Arial" w:cs="Arial" w:eastAsia="Arial" w:hAnsi="Arial"/>
          <w:sz w:val="18"/>
          <w:szCs w:val="18"/>
          <w:color w:val="auto"/>
        </w:rPr>
        <w:t>:  Discovery Park (as shown on</w:t>
      </w:r>
      <w:r>
        <w:rPr>
          <w:rFonts w:ascii="Arial" w:cs="Arial" w:eastAsia="Arial" w:hAnsi="Arial"/>
          <w:sz w:val="18"/>
          <w:szCs w:val="18"/>
          <w:b w:val="1"/>
          <w:bCs w:val="1"/>
          <w:color w:val="auto"/>
        </w:rPr>
        <w:t xml:space="preserve"> Exhibit Y </w:t>
      </w:r>
      <w:r>
        <w:rPr>
          <w:rFonts w:ascii="Arial" w:cs="Arial" w:eastAsia="Arial" w:hAnsi="Arial"/>
          <w:sz w:val="18"/>
          <w:szCs w:val="18"/>
          <w:color w:val="auto"/>
        </w:rPr>
        <w:t>to this Lease)”</w:t>
      </w:r>
    </w:p>
    <w:p>
      <w:pPr>
        <w:spacing w:after="0" w:line="252" w:lineRule="exact"/>
        <w:rPr>
          <w:rFonts w:ascii="Arial" w:cs="Arial" w:eastAsia="Arial" w:hAnsi="Arial"/>
          <w:sz w:val="17"/>
          <w:szCs w:val="17"/>
          <w:color w:val="auto"/>
        </w:rPr>
      </w:pPr>
    </w:p>
    <w:p>
      <w:pPr>
        <w:ind w:left="1960" w:right="2820" w:hanging="656"/>
        <w:spacing w:after="0" w:line="563" w:lineRule="auto"/>
        <w:tabs>
          <w:tab w:leader="none" w:pos="1948" w:val="left"/>
        </w:tabs>
        <w:numPr>
          <w:ilvl w:val="2"/>
          <w:numId w:val="50"/>
        </w:numPr>
        <w:rPr>
          <w:rFonts w:ascii="Arial" w:cs="Arial" w:eastAsia="Arial" w:hAnsi="Arial"/>
          <w:sz w:val="17"/>
          <w:szCs w:val="17"/>
          <w:color w:val="auto"/>
        </w:rPr>
      </w:pPr>
      <w:r>
        <w:rPr>
          <w:rFonts w:ascii="Arial" w:cs="Arial" w:eastAsia="Arial" w:hAnsi="Arial"/>
          <w:sz w:val="17"/>
          <w:szCs w:val="17"/>
          <w:color w:val="auto"/>
        </w:rPr>
        <w:t xml:space="preserve">Item 5 is hereby deleted in its entirety and the following substituted in lieu thereof: “5. </w:t>
      </w:r>
      <w:r>
        <w:rPr>
          <w:rFonts w:ascii="Arial" w:cs="Arial" w:eastAsia="Arial" w:hAnsi="Arial"/>
          <w:sz w:val="17"/>
          <w:szCs w:val="17"/>
          <w:b w:val="1"/>
          <w:bCs w:val="1"/>
          <w:color w:val="auto"/>
        </w:rPr>
        <w:t>Lease Term</w:t>
      </w:r>
      <w:r>
        <w:rPr>
          <w:rFonts w:ascii="Arial" w:cs="Arial" w:eastAsia="Arial" w:hAnsi="Arial"/>
          <w:sz w:val="17"/>
          <w:szCs w:val="17"/>
          <w:color w:val="auto"/>
        </w:rPr>
        <w:t>: The Term of this Lease will expire on February 28, 2030.”</w:t>
      </w:r>
    </w:p>
    <w:p>
      <w:pPr>
        <w:jc w:val="both"/>
        <w:ind w:left="1960" w:hanging="656"/>
        <w:spacing w:after="0" w:line="268" w:lineRule="auto"/>
        <w:tabs>
          <w:tab w:leader="none" w:pos="1948" w:val="left"/>
        </w:tabs>
        <w:numPr>
          <w:ilvl w:val="2"/>
          <w:numId w:val="50"/>
        </w:numPr>
        <w:rPr>
          <w:rFonts w:ascii="Arial" w:cs="Arial" w:eastAsia="Arial" w:hAnsi="Arial"/>
          <w:sz w:val="18"/>
          <w:szCs w:val="18"/>
          <w:color w:val="auto"/>
        </w:rPr>
      </w:pPr>
      <w:r>
        <w:rPr>
          <w:rFonts w:ascii="Arial" w:cs="Arial" w:eastAsia="Arial" w:hAnsi="Arial"/>
          <w:sz w:val="18"/>
          <w:szCs w:val="18"/>
          <w:color w:val="auto"/>
        </w:rPr>
        <w:t>3. Effective retroactively as of August 1, 2024, if this Amendment is executed by Tenant and delivered to Landlord by September 30, 2024, otherwise, effective October 1, 2024, Item 6 will be deleted in its entirety and the following will be substituted in lieu thereof:</w:t>
      </w:r>
    </w:p>
    <w:p>
      <w:pPr>
        <w:spacing w:after="0" w:line="197"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Basic Rent for the Giveback Space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31,407 rsf)</w:t>
      </w:r>
    </w:p>
    <w:p>
      <w:pPr>
        <w:spacing w:after="0" w:line="278" w:lineRule="exact"/>
        <w:rPr>
          <w:sz w:val="20"/>
          <w:szCs w:val="20"/>
          <w:color w:val="auto"/>
        </w:rPr>
      </w:pPr>
    </w:p>
    <w:tbl>
      <w:tblPr>
        <w:tblLayout w:type="fixed"/>
        <w:tblInd w:w="2340" w:type="dxa"/>
        <w:tblCellMar>
          <w:top w:w="0" w:type="dxa"/>
          <w:left w:w="0" w:type="dxa"/>
          <w:bottom w:w="0" w:type="dxa"/>
          <w:right w:w="0" w:type="dxa"/>
        </w:tblCellMar>
      </w:tblPr>
      <w:tr>
        <w:trPr>
          <w:trHeight w:val="202"/>
        </w:trPr>
        <w:tc>
          <w:tcPr>
            <w:tcW w:w="40" w:type="dxa"/>
            <w:vAlign w:val="bottom"/>
            <w:tcBorders>
              <w:top w:val="single" w:sz="8" w:color="auto"/>
              <w:right w:val="single" w:sz="8" w:color="auto"/>
            </w:tcBorders>
            <w:shd w:val="clear" w:color="auto" w:fill="000000"/>
          </w:tcPr>
          <w:p>
            <w:pPr>
              <w:spacing w:after="0"/>
              <w:rPr>
                <w:sz w:val="17"/>
                <w:szCs w:val="17"/>
                <w:color w:val="auto"/>
              </w:rPr>
            </w:pPr>
          </w:p>
        </w:tc>
        <w:tc>
          <w:tcPr>
            <w:tcW w:w="214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Months of Term or</w:t>
            </w:r>
          </w:p>
        </w:tc>
        <w:tc>
          <w:tcPr>
            <w:tcW w:w="212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Monthly Rate Per</w:t>
            </w:r>
          </w:p>
        </w:tc>
        <w:tc>
          <w:tcPr>
            <w:tcW w:w="212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Monthly Basic Rent</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Period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Square Foot</w:t>
            </w:r>
          </w:p>
        </w:tc>
        <w:tc>
          <w:tcPr>
            <w:tcW w:w="2120" w:type="dxa"/>
            <w:vAlign w:val="bottom"/>
            <w:tcBorders>
              <w:bottom w:val="single" w:sz="8" w:color="auto"/>
              <w:right w:val="single" w:sz="8" w:color="auto"/>
            </w:tcBorders>
          </w:tcPr>
          <w:p>
            <w:pPr>
              <w:spacing w:after="0"/>
              <w:rPr>
                <w:sz w:val="21"/>
                <w:szCs w:val="2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8/1/24 to 10/31/24</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$2.65</w:t>
            </w:r>
          </w:p>
        </w:tc>
        <w:tc>
          <w:tcPr>
            <w:tcW w:w="212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$83,228.55</w:t>
            </w:r>
          </w:p>
        </w:tc>
      </w:tr>
    </w:tbl>
    <w:p>
      <w:pPr>
        <w:spacing w:after="0" w:line="30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Basic Rent for the Renewal Space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xml:space="preserve">., </w:t>
      </w:r>
      <w:r>
        <w:rPr>
          <w:rFonts w:ascii="Arial" w:cs="Arial" w:eastAsia="Arial" w:hAnsi="Arial"/>
          <w:sz w:val="18"/>
          <w:szCs w:val="18"/>
          <w:color w:val="auto"/>
        </w:rPr>
        <w:t>44,820 rsf):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340" w:val="left"/>
        </w:tabs>
        <w:rPr>
          <w:sz w:val="20"/>
          <w:szCs w:val="20"/>
          <w:color w:val="auto"/>
        </w:rPr>
      </w:pPr>
      <w:r>
        <w:rPr>
          <w:rFonts w:ascii="Arial" w:cs="Arial" w:eastAsia="Arial" w:hAnsi="Arial"/>
          <w:sz w:val="13"/>
          <w:szCs w:val="13"/>
          <w:color w:val="auto"/>
        </w:rPr>
        <w:t>GHOST MANAGEMENT GROUP, LLC-41 Discovery-5A7</w:t>
      </w:r>
      <w:r>
        <w:rPr>
          <w:sz w:val="20"/>
          <w:szCs w:val="20"/>
          <w:color w:val="auto"/>
        </w:rPr>
        <w:tab/>
      </w:r>
      <w:r>
        <w:rPr>
          <w:rFonts w:ascii="Arial" w:cs="Arial" w:eastAsia="Arial" w:hAnsi="Arial"/>
          <w:sz w:val="12"/>
          <w:szCs w:val="12"/>
          <w:color w:val="auto"/>
        </w:rPr>
        <w:t>9/27/2024-Opp-050257</w:t>
      </w:r>
    </w:p>
    <w:p>
      <w:pPr>
        <w:sectPr>
          <w:pgSz w:w="11900" w:h="16838" w:orient="portrait"/>
          <w:cols w:equalWidth="0" w:num="1">
            <w:col w:w="11240"/>
          </w:cols>
          <w:pgMar w:left="320" w:top="1412" w:right="339" w:bottom="70" w:gutter="0" w:footer="0" w:header="0"/>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12" w:right="339" w:bottom="70" w:gutter="0" w:footer="0" w:header="0"/>
          <w:type w:val="continuous"/>
        </w:sectPr>
      </w:pPr>
    </w:p>
    <w:bookmarkStart w:id="69" w:name="page70"/>
    <w:bookmarkEnd w:id="69"/>
    <w:p>
      <w:pPr>
        <w:spacing w:after="0" w:line="3" w:lineRule="exact"/>
        <w:rPr>
          <w:sz w:val="20"/>
          <w:szCs w:val="20"/>
          <w:color w:val="auto"/>
        </w:rPr>
      </w:pPr>
    </w:p>
    <w:tbl>
      <w:tblPr>
        <w:tblLayout w:type="fixed"/>
        <w:tblInd w:w="2340" w:type="dxa"/>
        <w:tblCellMar>
          <w:top w:w="0" w:type="dxa"/>
          <w:left w:w="0" w:type="dxa"/>
          <w:bottom w:w="0" w:type="dxa"/>
          <w:right w:w="0" w:type="dxa"/>
        </w:tblCellMar>
      </w:tblPr>
      <w:tr>
        <w:trPr>
          <w:trHeight w:val="203"/>
        </w:trPr>
        <w:tc>
          <w:tcPr>
            <w:tcW w:w="40" w:type="dxa"/>
            <w:vAlign w:val="bottom"/>
            <w:tcBorders>
              <w:top w:val="single" w:sz="8" w:color="auto"/>
              <w:right w:val="single" w:sz="8" w:color="auto"/>
            </w:tcBorders>
            <w:shd w:val="clear" w:color="auto" w:fill="000000"/>
          </w:tcPr>
          <w:p>
            <w:pPr>
              <w:spacing w:after="0"/>
              <w:rPr>
                <w:sz w:val="17"/>
                <w:szCs w:val="17"/>
                <w:color w:val="auto"/>
              </w:rPr>
            </w:pPr>
          </w:p>
        </w:tc>
        <w:tc>
          <w:tcPr>
            <w:tcW w:w="216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Months of Term or</w:t>
            </w:r>
          </w:p>
        </w:tc>
        <w:tc>
          <w:tcPr>
            <w:tcW w:w="210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Monthly Rate Per</w:t>
            </w:r>
          </w:p>
        </w:tc>
        <w:tc>
          <w:tcPr>
            <w:tcW w:w="2140" w:type="dxa"/>
            <w:vAlign w:val="bottom"/>
            <w:tcBorders>
              <w:top w:val="single" w:sz="8" w:color="auto"/>
              <w:right w:val="single" w:sz="8" w:color="auto"/>
            </w:tcBorders>
          </w:tcPr>
          <w:p>
            <w:pPr>
              <w:ind w:left="220"/>
              <w:spacing w:after="0" w:line="202" w:lineRule="exact"/>
              <w:rPr>
                <w:sz w:val="20"/>
                <w:szCs w:val="20"/>
                <w:color w:val="auto"/>
              </w:rPr>
            </w:pPr>
            <w:r>
              <w:rPr>
                <w:rFonts w:ascii="Arial" w:cs="Arial" w:eastAsia="Arial" w:hAnsi="Arial"/>
                <w:sz w:val="18"/>
                <w:szCs w:val="18"/>
                <w:b w:val="1"/>
                <w:bCs w:val="1"/>
                <w:color w:val="auto"/>
              </w:rPr>
              <w:t>Monthly Basic Rent</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Period</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Square Foot</w:t>
            </w:r>
          </w:p>
        </w:tc>
        <w:tc>
          <w:tcPr>
            <w:tcW w:w="2140" w:type="dxa"/>
            <w:vAlign w:val="bottom"/>
            <w:tcBorders>
              <w:bottom w:val="single" w:sz="8" w:color="auto"/>
              <w:right w:val="single" w:sz="8" w:color="auto"/>
            </w:tcBorders>
          </w:tcPr>
          <w:p>
            <w:pPr>
              <w:spacing w:after="0"/>
              <w:rPr>
                <w:sz w:val="21"/>
                <w:szCs w:val="2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8/1/24 to 7/31/25</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$1.75</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$78,435.00</w:t>
            </w:r>
          </w:p>
        </w:tc>
      </w:tr>
      <w:tr>
        <w:trPr>
          <w:trHeight w:val="223"/>
        </w:trPr>
        <w:tc>
          <w:tcPr>
            <w:tcW w:w="4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8/1/25 to 7/31/26</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$1.81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$81,124.20</w:t>
            </w:r>
          </w:p>
        </w:tc>
      </w:tr>
      <w:tr>
        <w:trPr>
          <w:trHeight w:val="223"/>
        </w:trPr>
        <w:tc>
          <w:tcPr>
            <w:tcW w:w="4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8/1/26 to 7/31/27</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$1.87</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$83,813.40</w:t>
            </w:r>
          </w:p>
        </w:tc>
      </w:tr>
      <w:tr>
        <w:trPr>
          <w:trHeight w:val="223"/>
        </w:trPr>
        <w:tc>
          <w:tcPr>
            <w:tcW w:w="4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8/1/27 to 7/31/28</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$1.93</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$86,502.60</w:t>
            </w:r>
          </w:p>
        </w:tc>
      </w:tr>
      <w:tr>
        <w:trPr>
          <w:trHeight w:val="223"/>
        </w:trPr>
        <w:tc>
          <w:tcPr>
            <w:tcW w:w="4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8/1/28 to 7/31/29</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$2.00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$89,640.00</w:t>
            </w:r>
          </w:p>
        </w:tc>
      </w:tr>
      <w:tr>
        <w:trPr>
          <w:trHeight w:val="223"/>
        </w:trPr>
        <w:tc>
          <w:tcPr>
            <w:tcW w:w="4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8/1/29 to 2/28/30</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$2.07</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$92,777.40”</w:t>
            </w:r>
          </w:p>
        </w:tc>
      </w:tr>
    </w:tbl>
    <w:p>
      <w:pPr>
        <w:spacing w:after="0" w:line="319" w:lineRule="exact"/>
        <w:rPr>
          <w:sz w:val="20"/>
          <w:szCs w:val="20"/>
          <w:color w:val="auto"/>
        </w:rPr>
      </w:pPr>
    </w:p>
    <w:p>
      <w:pPr>
        <w:ind w:left="1960" w:right="300" w:hanging="656"/>
        <w:spacing w:after="0" w:line="532" w:lineRule="auto"/>
        <w:tabs>
          <w:tab w:leader="none" w:pos="19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Effective as of November 1, 2024, Item 8 will be deleted in its entirety and the following substituted in lieu thereof: “8. </w:t>
      </w:r>
      <w:r>
        <w:rPr>
          <w:rFonts w:ascii="Arial" w:cs="Arial" w:eastAsia="Arial" w:hAnsi="Arial"/>
          <w:sz w:val="18"/>
          <w:szCs w:val="18"/>
          <w:b w:val="1"/>
          <w:bCs w:val="1"/>
          <w:color w:val="auto"/>
        </w:rPr>
        <w:t>Floor Area of Premises</w:t>
      </w:r>
      <w:r>
        <w:rPr>
          <w:rFonts w:ascii="Arial" w:cs="Arial" w:eastAsia="Arial" w:hAnsi="Arial"/>
          <w:sz w:val="18"/>
          <w:szCs w:val="18"/>
          <w:color w:val="auto"/>
        </w:rPr>
        <w:t>: approximately 44,820 rentable square feet</w:t>
      </w:r>
    </w:p>
    <w:p>
      <w:pPr>
        <w:ind w:left="2160"/>
        <w:spacing w:after="0"/>
        <w:rPr>
          <w:rFonts w:ascii="Arial" w:cs="Arial" w:eastAsia="Arial" w:hAnsi="Arial"/>
          <w:sz w:val="18"/>
          <w:szCs w:val="18"/>
          <w:color w:val="auto"/>
        </w:rPr>
      </w:pPr>
      <w:r>
        <w:rPr>
          <w:rFonts w:ascii="Arial" w:cs="Arial" w:eastAsia="Arial" w:hAnsi="Arial"/>
          <w:sz w:val="18"/>
          <w:szCs w:val="18"/>
          <w:b w:val="1"/>
          <w:bCs w:val="1"/>
          <w:color w:val="auto"/>
        </w:rPr>
        <w:t>Floor Area of Building</w:t>
      </w:r>
      <w:r>
        <w:rPr>
          <w:rFonts w:ascii="Arial" w:cs="Arial" w:eastAsia="Arial" w:hAnsi="Arial"/>
          <w:sz w:val="18"/>
          <w:szCs w:val="18"/>
          <w:color w:val="auto"/>
        </w:rPr>
        <w:t>: approximately 44,820 rentable square feet”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Effective as of November 1, 2024, Item 11 will be deleted in its entirety and the following substituted in lieu thereof:</w:t>
      </w:r>
    </w:p>
    <w:p>
      <w:pPr>
        <w:spacing w:after="0" w:line="252" w:lineRule="exact"/>
        <w:rPr>
          <w:rFonts w:ascii="Arial" w:cs="Arial" w:eastAsia="Arial" w:hAnsi="Arial"/>
          <w:sz w:val="18"/>
          <w:szCs w:val="18"/>
          <w:color w:val="auto"/>
        </w:rPr>
      </w:pPr>
    </w:p>
    <w:p>
      <w:pPr>
        <w:ind w:left="2360" w:right="380" w:hanging="405"/>
        <w:spacing w:after="0" w:line="296" w:lineRule="auto"/>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Parking</w:t>
      </w:r>
      <w:r>
        <w:rPr>
          <w:rFonts w:ascii="Arial" w:cs="Arial" w:eastAsia="Arial" w:hAnsi="Arial"/>
          <w:sz w:val="18"/>
          <w:szCs w:val="18"/>
          <w:color w:val="auto"/>
        </w:rPr>
        <w:t xml:space="preserve">: 202 parking spaces, together with the “Additional Parking”, in accordance with the provisions set forth in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to this Lease.”</w:t>
      </w:r>
    </w:p>
    <w:p>
      <w:pPr>
        <w:spacing w:after="0" w:line="164" w:lineRule="exact"/>
        <w:rPr>
          <w:rFonts w:ascii="Arial" w:cs="Arial" w:eastAsia="Arial" w:hAnsi="Arial"/>
          <w:sz w:val="18"/>
          <w:szCs w:val="18"/>
          <w:color w:val="auto"/>
        </w:rPr>
      </w:pPr>
    </w:p>
    <w:p>
      <w:pPr>
        <w:ind w:left="1960" w:right="200" w:hanging="656"/>
        <w:spacing w:after="0" w:line="555" w:lineRule="auto"/>
        <w:tabs>
          <w:tab w:leader="none" w:pos="19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Effective as of November 1, 2024, Item 12 will be deleted in its entirety and the following substituted in lieu thereof: “12. </w:t>
      </w:r>
      <w:r>
        <w:rPr>
          <w:rFonts w:ascii="Arial" w:cs="Arial" w:eastAsia="Arial" w:hAnsi="Arial"/>
          <w:sz w:val="18"/>
          <w:szCs w:val="18"/>
          <w:b w:val="1"/>
          <w:bCs w:val="1"/>
          <w:color w:val="auto"/>
        </w:rPr>
        <w:t>Address for Payments and Notices</w:t>
      </w:r>
      <w:r>
        <w:rPr>
          <w:rFonts w:ascii="Arial" w:cs="Arial" w:eastAsia="Arial" w:hAnsi="Arial"/>
          <w:sz w:val="18"/>
          <w:szCs w:val="18"/>
          <w:color w:val="auto"/>
        </w:rPr>
        <w:t>:</w:t>
      </w:r>
    </w:p>
    <w:p>
      <w:pPr>
        <w:spacing w:after="0" w:line="1" w:lineRule="exact"/>
        <w:rPr>
          <w:sz w:val="20"/>
          <w:szCs w:val="20"/>
          <w:color w:val="auto"/>
        </w:rPr>
      </w:pPr>
    </w:p>
    <w:tbl>
      <w:tblPr>
        <w:tblLayout w:type="fixed"/>
        <w:tblInd w:w="2520" w:type="dxa"/>
        <w:tblCellMar>
          <w:top w:w="0" w:type="dxa"/>
          <w:left w:w="0" w:type="dxa"/>
          <w:bottom w:w="0" w:type="dxa"/>
          <w:right w:w="0" w:type="dxa"/>
        </w:tblCellMar>
      </w:tblPr>
      <w:tr>
        <w:trPr>
          <w:trHeight w:val="243"/>
        </w:trPr>
        <w:tc>
          <w:tcPr>
            <w:tcW w:w="292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2960" w:type="dxa"/>
            <w:vAlign w:val="bottom"/>
          </w:tcPr>
          <w:p>
            <w:pPr>
              <w:ind w:left="240"/>
              <w:spacing w:after="0"/>
              <w:rPr>
                <w:sz w:val="20"/>
                <w:szCs w:val="20"/>
                <w:color w:val="auto"/>
              </w:rPr>
            </w:pPr>
            <w:r>
              <w:rPr>
                <w:rFonts w:ascii="Arial" w:cs="Arial" w:eastAsia="Arial" w:hAnsi="Arial"/>
                <w:sz w:val="18"/>
                <w:szCs w:val="18"/>
                <w:b w:val="1"/>
                <w:bCs w:val="1"/>
                <w:color w:val="auto"/>
              </w:rPr>
              <w:t>TENANT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Payment Registration Address:</w:t>
            </w:r>
          </w:p>
        </w:tc>
        <w:tc>
          <w:tcPr>
            <w:tcW w:w="2960" w:type="dxa"/>
            <w:vAlign w:val="bottom"/>
          </w:tcPr>
          <w:p>
            <w:pPr>
              <w:ind w:left="240"/>
              <w:spacing w:after="0"/>
              <w:rPr>
                <w:sz w:val="20"/>
                <w:szCs w:val="20"/>
                <w:color w:val="auto"/>
              </w:rPr>
            </w:pPr>
            <w:r>
              <w:rPr>
                <w:rFonts w:ascii="Arial" w:cs="Arial" w:eastAsia="Arial" w:hAnsi="Arial"/>
                <w:sz w:val="18"/>
                <w:szCs w:val="18"/>
                <w:color w:val="auto"/>
                <w:w w:val="98"/>
              </w:rPr>
              <w:t>GHOST MANAGEMENT GROUP,</w:t>
            </w:r>
          </w:p>
        </w:tc>
      </w:tr>
      <w:tr>
        <w:trPr>
          <w:trHeight w:val="216"/>
        </w:trPr>
        <w:tc>
          <w:tcPr>
            <w:tcW w:w="2920" w:type="dxa"/>
            <w:vAlign w:val="bottom"/>
          </w:tcPr>
          <w:p>
            <w:pPr>
              <w:spacing w:after="0"/>
              <w:rPr>
                <w:sz w:val="18"/>
                <w:szCs w:val="18"/>
                <w:color w:val="auto"/>
              </w:rPr>
            </w:pPr>
          </w:p>
        </w:tc>
        <w:tc>
          <w:tcPr>
            <w:tcW w:w="2960" w:type="dxa"/>
            <w:vAlign w:val="bottom"/>
          </w:tcPr>
          <w:p>
            <w:pPr>
              <w:ind w:left="240"/>
              <w:spacing w:after="0"/>
              <w:rPr>
                <w:sz w:val="20"/>
                <w:szCs w:val="20"/>
                <w:color w:val="auto"/>
              </w:rPr>
            </w:pPr>
            <w:r>
              <w:rPr>
                <w:rFonts w:ascii="Arial" w:cs="Arial" w:eastAsia="Arial" w:hAnsi="Arial"/>
                <w:sz w:val="18"/>
                <w:szCs w:val="18"/>
                <w:color w:val="auto"/>
              </w:rPr>
              <w:t>LLC</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Email</w:t>
            </w:r>
          </w:p>
        </w:tc>
        <w:tc>
          <w:tcPr>
            <w:tcW w:w="2960" w:type="dxa"/>
            <w:vAlign w:val="bottom"/>
          </w:tcPr>
          <w:p>
            <w:pPr>
              <w:ind w:left="240"/>
              <w:spacing w:after="0"/>
              <w:rPr>
                <w:sz w:val="20"/>
                <w:szCs w:val="20"/>
                <w:color w:val="auto"/>
              </w:rPr>
            </w:pPr>
            <w:r>
              <w:rPr>
                <w:rFonts w:ascii="Arial" w:cs="Arial" w:eastAsia="Arial" w:hAnsi="Arial"/>
                <w:sz w:val="18"/>
                <w:szCs w:val="18"/>
                <w:color w:val="auto"/>
              </w:rPr>
              <w:t>41 Discovery</w:t>
            </w: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tenantportal@irvinecompany.com</w:t>
            </w:r>
          </w:p>
        </w:tc>
        <w:tc>
          <w:tcPr>
            <w:tcW w:w="2960" w:type="dxa"/>
            <w:vAlign w:val="bottom"/>
          </w:tcPr>
          <w:p>
            <w:pPr>
              <w:ind w:left="240"/>
              <w:spacing w:after="0"/>
              <w:rPr>
                <w:sz w:val="20"/>
                <w:szCs w:val="20"/>
                <w:color w:val="auto"/>
              </w:rPr>
            </w:pPr>
            <w:r>
              <w:rPr>
                <w:rFonts w:ascii="Arial" w:cs="Arial" w:eastAsia="Arial" w:hAnsi="Arial"/>
                <w:sz w:val="18"/>
                <w:szCs w:val="18"/>
                <w:color w:val="auto"/>
              </w:rPr>
              <w:t>Irvine, CA 92618”</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to request an account for the</w:t>
            </w:r>
          </w:p>
        </w:tc>
        <w:tc>
          <w:tcPr>
            <w:tcW w:w="2960" w:type="dxa"/>
            <w:vAlign w:val="bottom"/>
          </w:tcPr>
          <w:p>
            <w:pPr>
              <w:spacing w:after="0"/>
              <w:rPr>
                <w:sz w:val="18"/>
                <w:szCs w:val="18"/>
                <w:color w:val="auto"/>
              </w:rPr>
            </w:pPr>
          </w:p>
        </w:tc>
      </w:tr>
      <w:tr>
        <w:trPr>
          <w:trHeight w:val="239"/>
        </w:trPr>
        <w:tc>
          <w:tcPr>
            <w:tcW w:w="2920" w:type="dxa"/>
            <w:vAlign w:val="bottom"/>
          </w:tcPr>
          <w:p>
            <w:pPr>
              <w:spacing w:after="0"/>
              <w:rPr>
                <w:sz w:val="20"/>
                <w:szCs w:val="20"/>
                <w:color w:val="auto"/>
              </w:rPr>
            </w:pPr>
            <w:r>
              <w:rPr>
                <w:rFonts w:ascii="Arial" w:cs="Arial" w:eastAsia="Arial" w:hAnsi="Arial"/>
                <w:sz w:val="18"/>
                <w:szCs w:val="18"/>
                <w:color w:val="auto"/>
              </w:rPr>
              <w:t>Tenant Payment Portal.</w:t>
            </w:r>
          </w:p>
        </w:tc>
        <w:tc>
          <w:tcPr>
            <w:tcW w:w="2960" w:type="dxa"/>
            <w:vAlign w:val="bottom"/>
          </w:tcPr>
          <w:p>
            <w:pPr>
              <w:spacing w:after="0"/>
              <w:rPr>
                <w:sz w:val="20"/>
                <w:szCs w:val="20"/>
                <w:color w:val="auto"/>
              </w:rPr>
            </w:pP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Notice Address:</w:t>
            </w:r>
          </w:p>
        </w:tc>
        <w:tc>
          <w:tcPr>
            <w:tcW w:w="2960" w:type="dxa"/>
            <w:vAlign w:val="bottom"/>
          </w:tcPr>
          <w:p>
            <w:pPr>
              <w:spacing w:after="0"/>
              <w:rPr>
                <w:sz w:val="24"/>
                <w:szCs w:val="24"/>
                <w:color w:val="auto"/>
              </w:rPr>
            </w:pPr>
          </w:p>
        </w:tc>
      </w:tr>
    </w:tbl>
    <w:p>
      <w:pPr>
        <w:spacing w:after="0" w:line="22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IRVINE COMPANY LLC</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550 Newport Center Drive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Newport Beach, CA 92660</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Attn: Senior Vice President,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Property Operations, Irvine Office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Properties</w:t>
      </w:r>
    </w:p>
    <w:p>
      <w:pPr>
        <w:spacing w:after="0" w:line="153" w:lineRule="exact"/>
        <w:rPr>
          <w:sz w:val="20"/>
          <w:szCs w:val="20"/>
          <w:color w:val="auto"/>
        </w:rPr>
      </w:pPr>
    </w:p>
    <w:p>
      <w:pPr>
        <w:ind w:firstLine="656"/>
        <w:spacing w:after="0" w:line="296" w:lineRule="auto"/>
        <w:tabs>
          <w:tab w:leader="none" w:pos="128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Floor Plan</w:t>
      </w:r>
      <w:r>
        <w:rPr>
          <w:rFonts w:ascii="Arial" w:cs="Arial" w:eastAsia="Arial" w:hAnsi="Arial"/>
          <w:sz w:val="18"/>
          <w:szCs w:val="18"/>
          <w:color w:val="auto"/>
        </w:rPr>
        <w:t xml:space="preserve">. Effective as of November 1, 2024,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Lease will be deleted in its entirety and </w:t>
      </w:r>
      <w:r>
        <w:rPr>
          <w:rFonts w:ascii="Arial" w:cs="Arial" w:eastAsia="Arial" w:hAnsi="Arial"/>
          <w:sz w:val="18"/>
          <w:szCs w:val="18"/>
          <w:b w:val="1"/>
          <w:bCs w:val="1"/>
          <w:color w:val="auto"/>
        </w:rPr>
        <w:t>Replacement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attached hereto will be substituted in lieu thereof.</w:t>
      </w:r>
    </w:p>
    <w:p>
      <w:pPr>
        <w:spacing w:after="0" w:line="164" w:lineRule="exact"/>
        <w:rPr>
          <w:rFonts w:ascii="Arial" w:cs="Arial" w:eastAsia="Arial" w:hAnsi="Arial"/>
          <w:sz w:val="18"/>
          <w:szCs w:val="18"/>
          <w:color w:val="auto"/>
        </w:rPr>
      </w:pPr>
    </w:p>
    <w:p>
      <w:pPr>
        <w:jc w:val="both"/>
        <w:ind w:firstLine="656"/>
        <w:spacing w:after="0" w:line="262" w:lineRule="auto"/>
        <w:tabs>
          <w:tab w:leader="none" w:pos="128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Overnight Parking</w:t>
      </w:r>
      <w:r>
        <w:rPr>
          <w:rFonts w:ascii="Arial" w:cs="Arial" w:eastAsia="Arial" w:hAnsi="Arial"/>
          <w:sz w:val="18"/>
          <w:szCs w:val="18"/>
          <w:color w:val="auto"/>
        </w:rPr>
        <w:t>. Notwithstanding anything to the contrary contained in the Lease, Tenant may use up to 5 of its allotted parking spaces for overnight parking of its company vehicles (which may include light commercial vans) so long as such vehicles are kept operational and in a presentable manner, and are parked behind the 41 Discovery Building; provided, however, Landlord will have the right to terminate Tenant’s right to overnight parking upon 60 days’ prior written notice to Tenant.</w:t>
      </w:r>
    </w:p>
    <w:p>
      <w:pPr>
        <w:spacing w:after="0" w:line="203" w:lineRule="exact"/>
        <w:rPr>
          <w:rFonts w:ascii="Arial" w:cs="Arial" w:eastAsia="Arial" w:hAnsi="Arial"/>
          <w:sz w:val="18"/>
          <w:szCs w:val="18"/>
          <w:color w:val="auto"/>
        </w:rPr>
      </w:pPr>
    </w:p>
    <w:p>
      <w:pPr>
        <w:ind w:firstLine="656"/>
        <w:spacing w:after="0" w:line="287" w:lineRule="auto"/>
        <w:tabs>
          <w:tab w:leader="none" w:pos="129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Right to Extend the Lease</w:t>
      </w:r>
      <w:r>
        <w:rPr>
          <w:rFonts w:ascii="Arial" w:cs="Arial" w:eastAsia="Arial" w:hAnsi="Arial"/>
          <w:sz w:val="18"/>
          <w:szCs w:val="18"/>
          <w:color w:val="auto"/>
        </w:rPr>
        <w:t xml:space="preserve">. The provisions of Section 1 of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attached to the Lease, “Right to Extend this Lease”, as amended, will remain in full force and effect and exercisable by Tenant during the Term, as extended herein.</w:t>
      </w:r>
    </w:p>
    <w:p>
      <w:pPr>
        <w:spacing w:after="0" w:line="179" w:lineRule="exact"/>
        <w:rPr>
          <w:rFonts w:ascii="Arial" w:cs="Arial" w:eastAsia="Arial" w:hAnsi="Arial"/>
          <w:sz w:val="18"/>
          <w:szCs w:val="18"/>
          <w:color w:val="auto"/>
        </w:rPr>
      </w:pPr>
    </w:p>
    <w:p>
      <w:pPr>
        <w:ind w:firstLine="656"/>
        <w:spacing w:after="0" w:line="287" w:lineRule="auto"/>
        <w:tabs>
          <w:tab w:leader="none" w:pos="127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Right to First Refusal</w:t>
      </w:r>
      <w:r>
        <w:rPr>
          <w:rFonts w:ascii="Arial" w:cs="Arial" w:eastAsia="Arial" w:hAnsi="Arial"/>
          <w:sz w:val="18"/>
          <w:szCs w:val="18"/>
          <w:color w:val="auto"/>
        </w:rPr>
        <w:t>. Section III.H of the Third Amendment to Lease, “Right of First Refusal”, is hereby deleted in its entirety and of no further force or effect.</w:t>
      </w:r>
    </w:p>
    <w:p>
      <w:pPr>
        <w:spacing w:after="0" w:line="179" w:lineRule="exact"/>
        <w:rPr>
          <w:rFonts w:ascii="Arial" w:cs="Arial" w:eastAsia="Arial" w:hAnsi="Arial"/>
          <w:sz w:val="18"/>
          <w:szCs w:val="18"/>
          <w:color w:val="auto"/>
        </w:rPr>
      </w:pPr>
    </w:p>
    <w:p>
      <w:pPr>
        <w:ind w:firstLine="656"/>
        <w:spacing w:after="0" w:line="296" w:lineRule="auto"/>
        <w:tabs>
          <w:tab w:leader="none" w:pos="128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 xml:space="preserve">. Landlord hereby agrees to complete the Fifth Amendment Tenant Improvements in accordance with the provisions of </w:t>
      </w:r>
      <w:r>
        <w:rPr>
          <w:rFonts w:ascii="Arial" w:cs="Arial" w:eastAsia="Arial" w:hAnsi="Arial"/>
          <w:sz w:val="18"/>
          <w:szCs w:val="18"/>
          <w:b w:val="1"/>
          <w:bCs w:val="1"/>
          <w:color w:val="auto"/>
        </w:rPr>
        <w:t>Exhibit X</w:t>
      </w:r>
      <w:r>
        <w:rPr>
          <w:rFonts w:ascii="Arial" w:cs="Arial" w:eastAsia="Arial" w:hAnsi="Arial"/>
          <w:sz w:val="18"/>
          <w:szCs w:val="18"/>
          <w:color w:val="auto"/>
        </w:rPr>
        <w:t xml:space="preserve"> attached hereto.</w:t>
      </w:r>
    </w:p>
    <w:p>
      <w:pPr>
        <w:spacing w:after="0" w:line="1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7"/>
          <w:szCs w:val="17"/>
          <w:b w:val="1"/>
          <w:bCs w:val="1"/>
          <w:color w:val="auto"/>
        </w:rPr>
        <w:t>GENERAL.</w:t>
      </w:r>
    </w:p>
    <w:p>
      <w:pPr>
        <w:spacing w:after="0" w:line="252" w:lineRule="exact"/>
        <w:rPr>
          <w:sz w:val="20"/>
          <w:szCs w:val="20"/>
          <w:color w:val="auto"/>
        </w:rPr>
      </w:pPr>
    </w:p>
    <w:p>
      <w:pPr>
        <w:ind w:firstLine="656"/>
        <w:spacing w:after="0" w:line="287" w:lineRule="auto"/>
        <w:tabs>
          <w:tab w:leader="none" w:pos="129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The Lease will remain in full force and effect and unmodified except to the extent that it is modified by this Amendment.</w:t>
      </w:r>
    </w:p>
    <w:p>
      <w:pPr>
        <w:sectPr>
          <w:pgSz w:w="11900" w:h="16838" w:orient="portrait"/>
          <w:cols w:equalWidth="0" w:num="1">
            <w:col w:w="11240"/>
          </w:cols>
          <w:pgMar w:left="320" w:top="1440" w:right="339" w:bottom="605" w:gutter="0" w:footer="0" w:header="0"/>
        </w:sectPr>
      </w:pPr>
    </w:p>
    <w:bookmarkStart w:id="70" w:name="page71"/>
    <w:bookmarkEnd w:id="70"/>
    <w:p>
      <w:pPr>
        <w:spacing w:after="0"/>
        <w:tabs>
          <w:tab w:leader="none" w:pos="3340" w:val="left"/>
        </w:tabs>
        <w:rPr>
          <w:sz w:val="20"/>
          <w:szCs w:val="20"/>
          <w:color w:val="auto"/>
        </w:rPr>
      </w:pPr>
      <w:r>
        <w:rPr>
          <w:rFonts w:ascii="Arial" w:cs="Arial" w:eastAsia="Arial" w:hAnsi="Arial"/>
          <w:sz w:val="13"/>
          <w:szCs w:val="13"/>
          <w:color w:val="auto"/>
        </w:rPr>
        <w:t>GHOST MANAGEMENT GROUP, LLC-41 Discovery-5A7</w:t>
      </w:r>
      <w:r>
        <w:rPr>
          <w:sz w:val="20"/>
          <w:szCs w:val="20"/>
          <w:color w:val="auto"/>
        </w:rPr>
        <w:tab/>
      </w:r>
      <w:r>
        <w:rPr>
          <w:rFonts w:ascii="Arial" w:cs="Arial" w:eastAsia="Arial" w:hAnsi="Arial"/>
          <w:sz w:val="12"/>
          <w:szCs w:val="12"/>
          <w:color w:val="auto"/>
        </w:rPr>
        <w:t>9/27/2024-Opp-050257</w:t>
      </w:r>
    </w:p>
    <w:p>
      <w:pPr>
        <w:spacing w:after="0" w:line="21"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39"/>
          </w:cols>
          <w:pgMar w:left="320" w:top="243" w:right="1440" w:bottom="1440" w:gutter="0" w:footer="0" w:header="0"/>
        </w:sectPr>
      </w:pPr>
    </w:p>
    <w:bookmarkStart w:id="71" w:name="page72"/>
    <w:bookmarkEnd w:id="71"/>
    <w:p>
      <w:pPr>
        <w:ind w:firstLine="656"/>
        <w:spacing w:after="0" w:line="287" w:lineRule="auto"/>
        <w:tabs>
          <w:tab w:leader="none" w:pos="129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embodies the entire understanding between Landlord and Tenant with respect to the modifications set forth in "III. MODIFICATIONS" above and can be changed only by a writing signed by Landlord and Tenant.</w:t>
      </w:r>
    </w:p>
    <w:p>
      <w:pPr>
        <w:spacing w:after="0" w:line="179" w:lineRule="exact"/>
        <w:rPr>
          <w:rFonts w:ascii="Arial" w:cs="Arial" w:eastAsia="Arial" w:hAnsi="Arial"/>
          <w:sz w:val="18"/>
          <w:szCs w:val="18"/>
          <w:color w:val="auto"/>
        </w:rPr>
      </w:pPr>
    </w:p>
    <w:p>
      <w:pPr>
        <w:ind w:firstLine="656"/>
        <w:spacing w:after="0" w:line="287" w:lineRule="auto"/>
        <w:tabs>
          <w:tab w:leader="none" w:pos="128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words commencing with initial capital letters in this Amendment and defined in the Lease will have the same meaning in this Amendment as in the Lease, unless they are otherwise defined in this Amendment.</w:t>
      </w:r>
    </w:p>
    <w:p>
      <w:pPr>
        <w:spacing w:after="0" w:line="179" w:lineRule="exact"/>
        <w:rPr>
          <w:rFonts w:ascii="Arial" w:cs="Arial" w:eastAsia="Arial" w:hAnsi="Arial"/>
          <w:sz w:val="18"/>
          <w:szCs w:val="18"/>
          <w:color w:val="auto"/>
        </w:rPr>
      </w:pPr>
    </w:p>
    <w:p>
      <w:pPr>
        <w:jc w:val="both"/>
        <w:ind w:firstLine="656"/>
        <w:spacing w:after="0" w:line="262" w:lineRule="auto"/>
        <w:tabs>
          <w:tab w:leader="none" w:pos="128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Corporate and Partnership Authority</w:t>
      </w:r>
      <w:r>
        <w:rPr>
          <w:rFonts w:ascii="Arial" w:cs="Arial" w:eastAsia="Arial" w:hAnsi="Arial"/>
          <w:sz w:val="18"/>
          <w:szCs w:val="18"/>
          <w:color w:val="auto"/>
        </w:rPr>
        <w:t>. If Tenant is a corporation or partnership, or is comprised of either or both of them, each individual executing this Amendment for the corporation or partnership represents that he or she is duly authorized to execute and deliver this Amendment on behalf of the corporation or partnership and that this Amendment is binding upon the corporation or partnership in accordance with its terms.</w:t>
      </w:r>
    </w:p>
    <w:p>
      <w:pPr>
        <w:spacing w:after="0" w:line="203" w:lineRule="exact"/>
        <w:rPr>
          <w:rFonts w:ascii="Arial" w:cs="Arial" w:eastAsia="Arial" w:hAnsi="Arial"/>
          <w:sz w:val="18"/>
          <w:szCs w:val="18"/>
          <w:color w:val="auto"/>
        </w:rPr>
      </w:pPr>
    </w:p>
    <w:p>
      <w:pPr>
        <w:jc w:val="both"/>
        <w:ind w:firstLine="656"/>
        <w:spacing w:after="0" w:line="255" w:lineRule="auto"/>
        <w:tabs>
          <w:tab w:leader="none" w:pos="129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Counterparts; Digital Signatures</w:t>
      </w:r>
      <w:r>
        <w:rPr>
          <w:rFonts w:ascii="Arial" w:cs="Arial" w:eastAsia="Arial" w:hAnsi="Arial"/>
          <w:sz w:val="18"/>
          <w:szCs w:val="18"/>
          <w:color w:val="auto"/>
        </w:rPr>
        <w:t>. This Amendment may be executed in one or more counterparts, each of which will constitute an original and all of which will be one and the same agreement. The parties expressly agree that one or each of the parties may execute and deliver this Amendment electronically using a certificate-based electronic signature and delivery software service approved and initiated by Landlord that provides an audit trail and method for authenticating signers (the “</w:t>
      </w:r>
      <w:r>
        <w:rPr>
          <w:rFonts w:ascii="Arial" w:cs="Arial" w:eastAsia="Arial" w:hAnsi="Arial"/>
          <w:sz w:val="18"/>
          <w:szCs w:val="18"/>
          <w:b w:val="1"/>
          <w:bCs w:val="1"/>
          <w:color w:val="auto"/>
        </w:rPr>
        <w:t>Approved Service</w:t>
      </w:r>
      <w:r>
        <w:rPr>
          <w:rFonts w:ascii="Arial" w:cs="Arial" w:eastAsia="Arial" w:hAnsi="Arial"/>
          <w:sz w:val="18"/>
          <w:szCs w:val="18"/>
          <w:color w:val="auto"/>
        </w:rPr>
        <w:t>”). The Approved Service will have the same legal effect as a handwritten signature and will be admissible evidence of the parties' mutual intent to be legally bound by this Amendment. The parties declare that they have received all of the information required to be fully aware of the certificate-based electronic signature software process and each party hereby waives any claim which it may have against the enforceability of this Amendment based on the use of the Approved Service.</w:t>
      </w:r>
    </w:p>
    <w:p>
      <w:pPr>
        <w:spacing w:after="0" w:line="211" w:lineRule="exact"/>
        <w:rPr>
          <w:rFonts w:ascii="Arial" w:cs="Arial" w:eastAsia="Arial" w:hAnsi="Arial"/>
          <w:sz w:val="18"/>
          <w:szCs w:val="18"/>
          <w:color w:val="auto"/>
        </w:rPr>
      </w:pPr>
    </w:p>
    <w:p>
      <w:pPr>
        <w:jc w:val="both"/>
        <w:ind w:firstLine="656"/>
        <w:spacing w:after="0" w:line="255" w:lineRule="auto"/>
        <w:tabs>
          <w:tab w:leader="none" w:pos="127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California Certified Access Specialist Inspection</w:t>
      </w:r>
      <w:r>
        <w:rPr>
          <w:rFonts w:ascii="Arial" w:cs="Arial" w:eastAsia="Arial" w:hAnsi="Arial"/>
          <w:sz w:val="18"/>
          <w:szCs w:val="18"/>
          <w:color w:val="auto"/>
        </w:rPr>
        <w:t>. Pursuant to California Civil Code § 1938, Landlord hereby states that the Premises have not undergone inspection by a Certified Access Specialist (CASp) (defined in California Civil Code § 55.52(a)(3)). Pursuant to Section 1938 of the California Civil Code, Landlord hereby provides the following notification to Tenant: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w:t>
      </w:r>
    </w:p>
    <w:p>
      <w:pPr>
        <w:spacing w:after="0" w:line="207" w:lineRule="exact"/>
        <w:rPr>
          <w:rFonts w:ascii="Arial" w:cs="Arial" w:eastAsia="Arial" w:hAnsi="Arial"/>
          <w:sz w:val="18"/>
          <w:szCs w:val="18"/>
          <w:color w:val="auto"/>
        </w:rPr>
      </w:pPr>
    </w:p>
    <w:p>
      <w:pPr>
        <w:jc w:val="both"/>
        <w:ind w:firstLine="656"/>
        <w:spacing w:after="0" w:line="254" w:lineRule="auto"/>
        <w:tabs>
          <w:tab w:leader="none" w:pos="128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Article 18 of the Lease is amended to provide that the parties recognize the following parties as the brokers who negotiated this Amendment, and agree that Landlord will be responsible for payment of brokerage commissions to such brokers pursuant to its separate agreements with such brokers: Irvine Management Company (“</w:t>
      </w:r>
      <w:r>
        <w:rPr>
          <w:rFonts w:ascii="Arial" w:cs="Arial" w:eastAsia="Arial" w:hAnsi="Arial"/>
          <w:sz w:val="18"/>
          <w:szCs w:val="18"/>
          <w:b w:val="1"/>
          <w:bCs w:val="1"/>
          <w:color w:val="auto"/>
        </w:rPr>
        <w:t>Landlord’s Broker</w:t>
      </w:r>
      <w:r>
        <w:rPr>
          <w:rFonts w:ascii="Arial" w:cs="Arial" w:eastAsia="Arial" w:hAnsi="Arial"/>
          <w:sz w:val="18"/>
          <w:szCs w:val="18"/>
          <w:color w:val="auto"/>
        </w:rPr>
        <w:t>”) is the agent of Landlord exclusively and CBRE, Inc. (“</w:t>
      </w:r>
      <w:r>
        <w:rPr>
          <w:rFonts w:ascii="Arial" w:cs="Arial" w:eastAsia="Arial" w:hAnsi="Arial"/>
          <w:sz w:val="18"/>
          <w:szCs w:val="18"/>
          <w:b w:val="1"/>
          <w:bCs w:val="1"/>
          <w:color w:val="auto"/>
        </w:rPr>
        <w:t>Tenant’s Broker</w:t>
      </w:r>
      <w:r>
        <w:rPr>
          <w:rFonts w:ascii="Arial" w:cs="Arial" w:eastAsia="Arial" w:hAnsi="Arial"/>
          <w:sz w:val="18"/>
          <w:szCs w:val="18"/>
          <w:color w:val="auto"/>
        </w:rPr>
        <w:t>”) is the agent of Tenant exclusively. By the execution of this Amendment, each of Landlord and Tenant hereby acknowledge and confirm (a) receipt of a copy of a Disclosure Regarding Real Estate Agency Relationship conforming to the requirements of California Civil Code 2079.16, and (b) the agency relationships specified herein, which acknowledgement and confirmation is expressly made for the benefit of Tenant’s Broker. If there is no Tenant’s Broker so identified herein, then such acknowledgement and confirmation is expressly made for the benefit of Landlord’s Broker. By the execution of this Amendment, Landlord and Tenant are executing the confirmation of the agency relationships set forth herein. The warranty and indemnity provisions of Article 18 of the Lease, as amended hereby, will be binding and enforceable in connection with the negotiation of this Amendment.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340" w:val="left"/>
        </w:tabs>
        <w:rPr>
          <w:sz w:val="20"/>
          <w:szCs w:val="20"/>
          <w:color w:val="auto"/>
        </w:rPr>
      </w:pPr>
      <w:r>
        <w:rPr>
          <w:rFonts w:ascii="Arial" w:cs="Arial" w:eastAsia="Arial" w:hAnsi="Arial"/>
          <w:sz w:val="13"/>
          <w:szCs w:val="13"/>
          <w:color w:val="auto"/>
        </w:rPr>
        <w:t>GHOST MANAGEMENT GROUP, LLC-41 Discovery-5A7</w:t>
      </w:r>
      <w:r>
        <w:rPr>
          <w:sz w:val="20"/>
          <w:szCs w:val="20"/>
          <w:color w:val="auto"/>
        </w:rPr>
        <w:tab/>
      </w:r>
      <w:r>
        <w:rPr>
          <w:rFonts w:ascii="Arial" w:cs="Arial" w:eastAsia="Arial" w:hAnsi="Arial"/>
          <w:sz w:val="12"/>
          <w:szCs w:val="12"/>
          <w:color w:val="auto"/>
        </w:rPr>
        <w:t>9/27/2024-Opp-050257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17" w:right="339" w:bottom="1440" w:gutter="0" w:footer="0" w:header="0"/>
        </w:sectPr>
      </w:pPr>
    </w:p>
    <w:bookmarkStart w:id="72" w:name="page73"/>
    <w:bookmarkEnd w:id="72"/>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Landlord and Tenant executed this Amendment on the date as set forth in “I. PARTIES AND DATE.” above.</w:t>
      </w:r>
    </w:p>
    <w:p>
      <w:pPr>
        <w:sectPr>
          <w:pgSz w:w="11900" w:h="16838" w:orient="portrait"/>
          <w:cols w:equalWidth="0" w:num="1">
            <w:col w:w="10139"/>
          </w:cols>
          <w:pgMar w:left="320" w:top="141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LANDLORD:</w:t>
      </w:r>
    </w:p>
    <w:p>
      <w:pPr>
        <w:spacing w:after="0" w:line="252" w:lineRule="exact"/>
        <w:rPr>
          <w:sz w:val="20"/>
          <w:szCs w:val="20"/>
          <w:color w:val="auto"/>
        </w:rPr>
      </w:pPr>
    </w:p>
    <w:p>
      <w:pPr>
        <w:ind w:left="80" w:right="1660"/>
        <w:spacing w:after="0" w:line="318" w:lineRule="auto"/>
        <w:rPr>
          <w:sz w:val="20"/>
          <w:szCs w:val="20"/>
          <w:color w:val="auto"/>
        </w:rPr>
      </w:pPr>
      <w:r>
        <w:rPr>
          <w:rFonts w:ascii="Arial" w:cs="Arial" w:eastAsia="Arial" w:hAnsi="Arial"/>
          <w:sz w:val="17"/>
          <w:szCs w:val="17"/>
          <w:color w:val="auto"/>
        </w:rPr>
        <w:t>DISCOVERY BUSINESS CENTER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Steven M. Case</w:t>
      </w:r>
      <w:r>
        <w:rPr>
          <w:rFonts w:ascii="Arial" w:cs="Arial" w:eastAsia="Arial" w:hAnsi="Arial"/>
          <w:sz w:val="18"/>
          <w:szCs w:val="18"/>
          <w:color w:val="auto"/>
        </w:rPr>
        <w:t xml:space="preserve"> </w:t>
      </w:r>
      <w:r>
        <w:rPr>
          <w:rFonts w:ascii="Arial" w:cs="Arial" w:eastAsia="Arial" w:hAnsi="Arial"/>
          <w:sz w:val="18"/>
          <w:szCs w:val="18"/>
          <w:i w:val="1"/>
          <w:iCs w:val="1"/>
          <w:color w:val="FFFFFF"/>
        </w:rPr>
        <w:t>si6</w:t>
      </w:r>
      <w:r>
        <w:rPr>
          <w:rFonts w:ascii="Arial" w:cs="Arial" w:eastAsia="Arial" w:hAnsi="Arial"/>
          <w:sz w:val="18"/>
          <w:szCs w:val="18"/>
          <w:color w:val="FFFFFF"/>
        </w:rPr>
        <w:t>\</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Steven M. Case</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Office Properties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Holly McManus</w:t>
      </w:r>
      <w:r>
        <w:rPr>
          <w:rFonts w:ascii="Arial" w:cs="Arial" w:eastAsia="Arial" w:hAnsi="Arial"/>
          <w:sz w:val="18"/>
          <w:szCs w:val="18"/>
          <w:color w:val="auto"/>
        </w:rPr>
        <w:t xml:space="preserve"> </w:t>
      </w:r>
      <w:r>
        <w:rPr>
          <w:rFonts w:ascii="Arial" w:cs="Arial" w:eastAsia="Arial" w:hAnsi="Arial"/>
          <w:sz w:val="18"/>
          <w:szCs w:val="18"/>
          <w:i w:val="1"/>
          <w:iCs w:val="1"/>
          <w:color w:val="FFFFFF"/>
        </w:rPr>
        <w:t>si6</w:t>
      </w:r>
      <w:r>
        <w:rPr>
          <w:rFonts w:ascii="Arial" w:cs="Arial" w:eastAsia="Arial" w:hAnsi="Arial"/>
          <w:sz w:val="18"/>
          <w:szCs w:val="18"/>
          <w:color w:val="FFFFFF"/>
        </w:rPr>
        <w:t>\si5\</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Holly McManus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Regional Vice President, Operations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Office Properties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GHOST MANAGEMENT GROUP, LLC,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439"/>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u w:val="single" w:color="auto"/>
          <w:color w:val="auto"/>
        </w:rPr>
        <w:t>/s/ Doug Francis</w:t>
      </w:r>
      <w:r>
        <w:rPr>
          <w:rFonts w:ascii="Arial" w:cs="Arial" w:eastAsia="Arial" w:hAnsi="Arial"/>
          <w:sz w:val="17"/>
          <w:szCs w:val="17"/>
          <w:color w:val="auto"/>
        </w:rPr>
        <w:t xml:space="preserve"> </w:t>
      </w:r>
      <w:r>
        <w:rPr>
          <w:rFonts w:ascii="Arial" w:cs="Arial" w:eastAsia="Arial" w:hAnsi="Arial"/>
          <w:sz w:val="17"/>
          <w:szCs w:val="17"/>
          <w:color w:val="FFFFFF"/>
        </w:rPr>
        <w:t>\si1\</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Doug Francis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Chief Executive Officer</w:t>
      </w:r>
      <w:r>
        <w:rPr>
          <w:rFonts w:ascii="Arial" w:cs="Arial" w:eastAsia="Arial" w:hAnsi="Arial"/>
          <w:sz w:val="18"/>
          <w:szCs w:val="18"/>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Brian Camire</w:t>
      </w:r>
      <w:r>
        <w:rPr>
          <w:rFonts w:ascii="Arial" w:cs="Arial" w:eastAsia="Arial" w:hAnsi="Arial"/>
          <w:sz w:val="18"/>
          <w:szCs w:val="18"/>
          <w:color w:val="auto"/>
        </w:rPr>
        <w:t xml:space="preserve"> </w:t>
      </w:r>
      <w:r>
        <w:rPr>
          <w:rFonts w:ascii="Arial" w:cs="Arial" w:eastAsia="Arial" w:hAnsi="Arial"/>
          <w:sz w:val="18"/>
          <w:szCs w:val="18"/>
          <w:color w:val="FFFFFF"/>
        </w:rPr>
        <w: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Brian Camire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General Counsel</w:t>
      </w:r>
      <w:r>
        <w:rPr>
          <w:rFonts w:ascii="Arial" w:cs="Arial" w:eastAsia="Arial" w:hAnsi="Arial"/>
          <w:sz w:val="18"/>
          <w:szCs w:val="18"/>
          <w:color w:val="FFFFFF"/>
        </w:rPr>
        <w:t>\</w:t>
      </w:r>
    </w:p>
    <w:p>
      <w:pPr>
        <w:spacing w:after="0" w:line="389" w:lineRule="exact"/>
        <w:rPr>
          <w:sz w:val="20"/>
          <w:szCs w:val="20"/>
          <w:color w:val="auto"/>
        </w:rPr>
      </w:pPr>
    </w:p>
    <w:p>
      <w:pPr>
        <w:sectPr>
          <w:pgSz w:w="11900" w:h="16838" w:orient="portrait"/>
          <w:cols w:equalWidth="0" w:num="2">
            <w:col w:w="4980" w:space="720"/>
            <w:col w:w="4439"/>
          </w:cols>
          <w:pgMar w:left="320" w:top="14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spacing w:after="0"/>
        <w:rPr>
          <w:sz w:val="20"/>
          <w:szCs w:val="20"/>
          <w:color w:val="auto"/>
        </w:rPr>
      </w:pPr>
      <w:r>
        <w:rPr>
          <w:rFonts w:ascii="Arial" w:cs="Arial" w:eastAsia="Arial" w:hAnsi="Arial"/>
          <w:sz w:val="18"/>
          <w:szCs w:val="18"/>
          <w:color w:val="FFFFFF"/>
        </w:rPr>
        <w:t>\in9\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3340" w:val="left"/>
        </w:tabs>
        <w:rPr>
          <w:sz w:val="20"/>
          <w:szCs w:val="20"/>
          <w:color w:val="auto"/>
        </w:rPr>
      </w:pPr>
      <w:r>
        <w:rPr>
          <w:rFonts w:ascii="Arial" w:cs="Arial" w:eastAsia="Arial" w:hAnsi="Arial"/>
          <w:sz w:val="13"/>
          <w:szCs w:val="13"/>
          <w:color w:val="auto"/>
        </w:rPr>
        <w:t>GHOST MANAGEMENT GROUP, LLC-41 Discovery-5A7</w:t>
      </w:r>
      <w:r>
        <w:rPr>
          <w:sz w:val="20"/>
          <w:szCs w:val="20"/>
          <w:color w:val="auto"/>
        </w:rPr>
        <w:tab/>
      </w:r>
      <w:r>
        <w:rPr>
          <w:rFonts w:ascii="Arial" w:cs="Arial" w:eastAsia="Arial" w:hAnsi="Arial"/>
          <w:sz w:val="12"/>
          <w:szCs w:val="12"/>
          <w:color w:val="auto"/>
        </w:rPr>
        <w:t>9/27/2024-Opp-050257</w:t>
      </w:r>
    </w:p>
    <w:p>
      <w:pPr>
        <w:spacing w:after="0" w:line="16"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39"/>
          </w:cols>
          <w:pgMar w:left="320" w:top="1417" w:right="1440" w:bottom="1440" w:gutter="0" w:footer="0" w:header="0"/>
          <w:type w:val="continuous"/>
        </w:sectPr>
      </w:pPr>
    </w:p>
    <w:bookmarkStart w:id="73" w:name="page74"/>
    <w:bookmarkEnd w:id="73"/>
    <w:p>
      <w:pPr>
        <w:jc w:val="center"/>
        <w:ind w:right="-1100"/>
        <w:spacing w:after="0"/>
        <w:rPr>
          <w:sz w:val="20"/>
          <w:szCs w:val="20"/>
          <w:color w:val="auto"/>
        </w:rPr>
      </w:pPr>
      <w:r>
        <w:rPr>
          <w:rFonts w:ascii="Arial" w:cs="Arial" w:eastAsia="Arial" w:hAnsi="Arial"/>
          <w:sz w:val="18"/>
          <w:szCs w:val="18"/>
          <w:b w:val="1"/>
          <w:bCs w:val="1"/>
          <w:color w:val="auto"/>
        </w:rPr>
        <w:t>REPLACEMENT EXHIBIT A</w:t>
      </w:r>
    </w:p>
    <w:p>
      <w:pPr>
        <w:spacing w:after="0" w:line="252"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color w:val="auto"/>
        </w:rPr>
        <w:t>DESCRIPTION OF PREMISES</w:t>
      </w: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41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326390</wp:posOffset>
            </wp:positionV>
            <wp:extent cx="5040630" cy="6231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040630" cy="623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3340" w:val="left"/>
        </w:tabs>
        <w:rPr>
          <w:sz w:val="20"/>
          <w:szCs w:val="20"/>
          <w:color w:val="auto"/>
        </w:rPr>
      </w:pPr>
      <w:r>
        <w:rPr>
          <w:rFonts w:ascii="Arial" w:cs="Arial" w:eastAsia="Arial" w:hAnsi="Arial"/>
          <w:sz w:val="13"/>
          <w:szCs w:val="13"/>
          <w:color w:val="auto"/>
        </w:rPr>
        <w:t>GHOST MANAGEMENT GROUP, LLC-41 Discovery-5A7</w:t>
      </w:r>
      <w:r>
        <w:rPr>
          <w:sz w:val="20"/>
          <w:szCs w:val="20"/>
          <w:color w:val="auto"/>
        </w:rPr>
        <w:tab/>
      </w:r>
      <w:r>
        <w:rPr>
          <w:rFonts w:ascii="Arial" w:cs="Arial" w:eastAsia="Arial" w:hAnsi="Arial"/>
          <w:sz w:val="12"/>
          <w:szCs w:val="12"/>
          <w:color w:val="auto"/>
        </w:rPr>
        <w:t>9/27/2024-Opp-050257</w:t>
      </w:r>
    </w:p>
    <w:p>
      <w:pPr>
        <w:sectPr>
          <w:pgSz w:w="11900" w:h="16838" w:orient="portrait"/>
          <w:cols w:equalWidth="0" w:num="1">
            <w:col w:w="10139"/>
          </w:cols>
          <w:pgMar w:left="320" w:top="1417" w:right="1440" w:bottom="570" w:gutter="0" w:footer="0" w:header="0"/>
        </w:sectPr>
      </w:pPr>
    </w:p>
    <w:p>
      <w:pPr>
        <w:spacing w:after="0" w:line="1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39"/>
          </w:cols>
          <w:pgMar w:left="320" w:top="1417" w:right="1440" w:bottom="57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EXHIBIT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WORK LETTER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 TO SUIT</w:t>
      </w:r>
    </w:p>
    <w:p>
      <w:pPr>
        <w:spacing w:after="0" w:line="200" w:lineRule="exact"/>
        <w:rPr>
          <w:sz w:val="20"/>
          <w:szCs w:val="20"/>
          <w:color w:val="auto"/>
        </w:rPr>
      </w:pPr>
    </w:p>
    <w:p>
      <w:pPr>
        <w:spacing w:after="0" w:line="277"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Landlord, at Landlord’s sole cost, will cause its contractor to modify the HVAC controls in the Renewal Space to Landlord’s DDC system and upgrade the lighting within the Renewal Space with new LED fixtures (with a Kelvin temperature specified at 3500K) and controls (collectively, the “</w:t>
      </w:r>
      <w:r>
        <w:rPr>
          <w:rFonts w:ascii="Arial" w:cs="Arial" w:eastAsia="Arial" w:hAnsi="Arial"/>
          <w:sz w:val="18"/>
          <w:szCs w:val="18"/>
          <w:b w:val="1"/>
          <w:bCs w:val="1"/>
          <w:color w:val="auto"/>
        </w:rPr>
        <w:t>Fifth Amendment Tenant Improvements</w:t>
      </w:r>
      <w:r>
        <w:rPr>
          <w:rFonts w:ascii="Arial" w:cs="Arial" w:eastAsia="Arial" w:hAnsi="Arial"/>
          <w:sz w:val="18"/>
          <w:szCs w:val="18"/>
          <w:color w:val="auto"/>
        </w:rPr>
        <w:t>”) as shown in the space plan (the “</w:t>
      </w:r>
      <w:r>
        <w:rPr>
          <w:rFonts w:ascii="Arial" w:cs="Arial" w:eastAsia="Arial" w:hAnsi="Arial"/>
          <w:sz w:val="18"/>
          <w:szCs w:val="18"/>
          <w:b w:val="1"/>
          <w:bCs w:val="1"/>
          <w:color w:val="auto"/>
        </w:rPr>
        <w:t>Fifth Amendment Plan</w:t>
      </w:r>
      <w:r>
        <w:rPr>
          <w:rFonts w:ascii="Arial" w:cs="Arial" w:eastAsia="Arial" w:hAnsi="Arial"/>
          <w:sz w:val="18"/>
          <w:szCs w:val="18"/>
          <w:color w:val="auto"/>
        </w:rPr>
        <w:t>”) prepared by LPA, Inc. and dated June 24, 2024. Any additional cost resulting solely and directly from changes requested by Tenant will be borne solely by Tenant and paid to Landlord as set forth below for a change request. Unless otherwise specified in the Fifth Amendment Plan or hereafter agreed in writing by Landlord, all materials and finishes utilized in constructing the Fifth Amendment Tenant Improvements will be Landlord's building standard. If Landlord submits any additional plans, equipment specification sheets, or other matters to Tenant for approval or completion, Tenant will respond in writing, as appropriate, within 5 business days unless a shorter period is provided herein. Tenant will not unreasonably withhold its approval of any matter, and any disapproval will be limited to items not previously approved by Tenant in the Fifth Amendment Plan or otherwise.</w:t>
      </w:r>
    </w:p>
    <w:p>
      <w:pPr>
        <w:spacing w:after="0" w:line="212"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In the event that Tenant requests in writing a revision in the Fifth Amendment Plan or in any other plans hereafter approved by Tenant, then provided such change request is acceptable to Landlord, Landlord will advise Tenant by written change order of any additional cost such change would cause. Tenant will approve or disapprove such change order in writing within 2 business days following its receipt. Tenant's approval of a change order will not be effective unless accompanied by payment in full of the additional cost of the tenant improvement work resulting from the change order (unless such additional cost is less than $25,000.00 in which case 50% of the additional cost will be due within 21 days of Tenant’s approval of the change order, and the remaining 50% will be due within 30 days of Landlord’s substantial completion of all the work required to be completed by Landlord pursuant to this Fifth Amendment Work Letter (but for minor punch list matters, and Landlord obtaining any requisite governmental approvals for Tenant’s occupancy in connection with such work). It is understood that Landlord will have no obligation to interrupt or modify the tenant improvement work pending Tenant's approval of a change order.</w:t>
      </w:r>
    </w:p>
    <w:p>
      <w:pPr>
        <w:spacing w:after="0" w:line="201" w:lineRule="exact"/>
        <w:rPr>
          <w:sz w:val="20"/>
          <w:szCs w:val="20"/>
          <w:color w:val="auto"/>
        </w:rPr>
      </w:pPr>
    </w:p>
    <w:p>
      <w:pPr>
        <w:jc w:val="both"/>
        <w:ind w:firstLine="389"/>
        <w:spacing w:after="0" w:line="262" w:lineRule="auto"/>
        <w:rPr>
          <w:sz w:val="20"/>
          <w:szCs w:val="20"/>
          <w:color w:val="auto"/>
        </w:rPr>
      </w:pPr>
      <w:r>
        <w:rPr>
          <w:rFonts w:ascii="Arial" w:cs="Arial" w:eastAsia="Arial" w:hAnsi="Arial"/>
          <w:sz w:val="18"/>
          <w:szCs w:val="18"/>
          <w:color w:val="auto"/>
        </w:rPr>
        <w:t>It is understood that all of the Fifth Amendment Tenant Improvements will be done during Tenant’s occupancy of the Renewal Space; provided, however, that Landlord will provide Tenant with reasonable notice prior to commencing construction, and shall cause its contractor to work with Patrick McGraw prior to commencement of construction to create a daily work plan reasonably acceptable to each party. Such notice may be effectuated in accordance with Article 16 of this Lease, or via email or telephone to Patrick McGraw as described below.</w:t>
      </w:r>
    </w:p>
    <w:p>
      <w:pPr>
        <w:spacing w:after="0" w:line="203"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Tenant further agrees that it will be solely responsible for relocating its office equipment and furniture in the Renewal Space in order for Landlord to complete the work in the Renewal Space and that no rental abatement will result while the Fifth Amendment Tenant Improvements are completed in the Renewal Space.</w:t>
      </w:r>
    </w:p>
    <w:p>
      <w:pPr>
        <w:spacing w:after="0" w:line="198" w:lineRule="exact"/>
        <w:rPr>
          <w:sz w:val="20"/>
          <w:szCs w:val="20"/>
          <w:color w:val="auto"/>
        </w:rPr>
      </w:pPr>
    </w:p>
    <w:p>
      <w:pPr>
        <w:jc w:val="both"/>
        <w:ind w:firstLine="389"/>
        <w:spacing w:after="0" w:line="262" w:lineRule="auto"/>
        <w:rPr>
          <w:sz w:val="20"/>
          <w:szCs w:val="20"/>
          <w:color w:val="auto"/>
        </w:rPr>
      </w:pPr>
      <w:r>
        <w:rPr>
          <w:rFonts w:ascii="Arial" w:cs="Arial" w:eastAsia="Arial" w:hAnsi="Arial"/>
          <w:sz w:val="18"/>
          <w:szCs w:val="18"/>
          <w:color w:val="auto"/>
        </w:rPr>
        <w:t>Tenant hereby designates Patrick McGraw, Telephone No. (714) 305-0203, Email: pmcgraw@weedmaps.com, as its representative, agent and attorney-in-fact for the purpose of receiving notices, approving submittals and issuing requests for changes, and Landlord will be entitled to rely upon authorizations and directives of such person(s) as if given by Tenant. Tenant may amend the designation of its construction representative(s) at any time upon delivery of written notice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3340" w:val="left"/>
        </w:tabs>
        <w:rPr>
          <w:sz w:val="20"/>
          <w:szCs w:val="20"/>
          <w:color w:val="auto"/>
        </w:rPr>
      </w:pPr>
      <w:r>
        <w:rPr>
          <w:rFonts w:ascii="Arial" w:cs="Arial" w:eastAsia="Arial" w:hAnsi="Arial"/>
          <w:sz w:val="13"/>
          <w:szCs w:val="13"/>
          <w:color w:val="auto"/>
        </w:rPr>
        <w:t>GHOST MANAGEMENT GROUP, LLC-41 Discovery-5A7</w:t>
      </w:r>
      <w:r>
        <w:rPr>
          <w:sz w:val="20"/>
          <w:szCs w:val="20"/>
          <w:color w:val="auto"/>
        </w:rPr>
        <w:tab/>
      </w:r>
      <w:r>
        <w:rPr>
          <w:rFonts w:ascii="Arial" w:cs="Arial" w:eastAsia="Arial" w:hAnsi="Arial"/>
          <w:sz w:val="12"/>
          <w:szCs w:val="12"/>
          <w:color w:val="auto"/>
        </w:rPr>
        <w:t>9/27/2024-Opp-050257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1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Ghost Management Group, LLC</w:t>
      </w:r>
    </w:p>
    <w:p>
      <w:pPr>
        <w:spacing w:after="0" w:line="21" w:lineRule="exact"/>
        <w:rPr>
          <w:sz w:val="20"/>
          <w:szCs w:val="20"/>
          <w:color w:val="auto"/>
        </w:rPr>
      </w:pPr>
    </w:p>
    <w:p>
      <w:pPr>
        <w:ind w:left="5360" w:hanging="256"/>
        <w:spacing w:after="0"/>
        <w:tabs>
          <w:tab w:leader="none" w:pos="5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Discovery</w:t>
      </w:r>
    </w:p>
    <w:p>
      <w:pPr>
        <w:spacing w:after="0" w:line="9" w:lineRule="exact"/>
        <w:rPr>
          <w:rFonts w:ascii="Arial" w:cs="Arial" w:eastAsia="Arial" w:hAnsi="Arial"/>
          <w:sz w:val="18"/>
          <w:szCs w:val="18"/>
          <w:color w:val="auto"/>
        </w:rPr>
      </w:pPr>
    </w:p>
    <w:p>
      <w:pPr>
        <w:ind w:left="4700"/>
        <w:spacing w:after="0"/>
        <w:rPr>
          <w:rFonts w:ascii="Arial" w:cs="Arial" w:eastAsia="Arial" w:hAnsi="Arial"/>
          <w:sz w:val="18"/>
          <w:szCs w:val="18"/>
          <w:color w:val="auto"/>
        </w:rPr>
      </w:pPr>
      <w:r>
        <w:rPr>
          <w:rFonts w:ascii="Arial" w:cs="Arial" w:eastAsia="Arial" w:hAnsi="Arial"/>
          <w:sz w:val="18"/>
          <w:szCs w:val="18"/>
          <w:color w:val="auto"/>
        </w:rPr>
        <w:t>Irvine, California 92618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7, 2024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Doug Francis:</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This letter is to memorialize the offer of continued employment (this “</w:t>
      </w:r>
      <w:r>
        <w:rPr>
          <w:rFonts w:ascii="Times New Roman" w:cs="Times New Roman" w:eastAsia="Times New Roman" w:hAnsi="Times New Roman"/>
          <w:sz w:val="22"/>
          <w:szCs w:val="22"/>
          <w:b w:val="1"/>
          <w:bCs w:val="1"/>
          <w:u w:val="single" w:color="auto"/>
          <w:color w:val="auto"/>
        </w:rPr>
        <w:t>Offer</w:t>
      </w:r>
      <w:r>
        <w:rPr>
          <w:rFonts w:ascii="Times New Roman" w:cs="Times New Roman" w:eastAsia="Times New Roman" w:hAnsi="Times New Roman"/>
          <w:sz w:val="22"/>
          <w:szCs w:val="22"/>
          <w:color w:val="auto"/>
        </w:rPr>
        <w:t>”) made to you by Ghost Management Group, LLC, a subsidiary of WM Technology, Inc. (collectively,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and to set forth the specific terms and conditions of your employment with the Company.</w:t>
      </w:r>
    </w:p>
    <w:p>
      <w:pPr>
        <w:spacing w:after="0" w:line="161" w:lineRule="exact"/>
        <w:rPr>
          <w:sz w:val="20"/>
          <w:szCs w:val="20"/>
          <w:color w:val="auto"/>
        </w:rPr>
      </w:pPr>
    </w:p>
    <w:p>
      <w:pPr>
        <w:jc w:val="both"/>
        <w:ind w:left="660" w:hanging="652"/>
        <w:spacing w:after="0" w:line="259" w:lineRule="auto"/>
        <w:tabs>
          <w:tab w:leader="none" w:pos="65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The Company hereby offers you the full-time, exempt position of Chief Executive Officer (“</w:t>
      </w:r>
      <w:r>
        <w:rPr>
          <w:rFonts w:ascii="Times New Roman" w:cs="Times New Roman" w:eastAsia="Times New Roman" w:hAnsi="Times New Roman"/>
          <w:sz w:val="22"/>
          <w:szCs w:val="22"/>
          <w:b w:val="1"/>
          <w:bCs w:val="1"/>
          <w:u w:val="single" w:color="auto"/>
          <w:color w:val="auto"/>
        </w:rPr>
        <w:t>CEO</w:t>
      </w:r>
      <w:r>
        <w:rPr>
          <w:rFonts w:ascii="Times New Roman" w:cs="Times New Roman" w:eastAsia="Times New Roman" w:hAnsi="Times New Roman"/>
          <w:sz w:val="22"/>
          <w:szCs w:val="22"/>
          <w:color w:val="auto"/>
        </w:rPr>
        <w:t>”). In this position, you will report to the Board of Directors of WM Technology, Inc. (the “</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You will work as necessary and appropriate from your home or in the Company’s Austin, Texas location.</w:t>
      </w:r>
    </w:p>
    <w:p>
      <w:pPr>
        <w:spacing w:after="0" w:line="183" w:lineRule="exact"/>
        <w:rPr>
          <w:rFonts w:ascii="Times New Roman" w:cs="Times New Roman" w:eastAsia="Times New Roman" w:hAnsi="Times New Roman"/>
          <w:sz w:val="22"/>
          <w:szCs w:val="22"/>
          <w:color w:val="auto"/>
        </w:rPr>
      </w:pPr>
    </w:p>
    <w:p>
      <w:pPr>
        <w:jc w:val="both"/>
        <w:ind w:left="660" w:hanging="652"/>
        <w:spacing w:after="0" w:line="261" w:lineRule="auto"/>
        <w:tabs>
          <w:tab w:leader="none" w:pos="65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Subject to the terms and conditions of this Offer, the Company agrees to employ you and, subject to your acceptance, you agree to continue your employment with the Company in the CEO role commencing immediately. You shall remain employed on an at-will basis, meaning that either the Company or you may, at any time, with or without cause and with or without advance notice, terminate the employment relationship; provided that the termination of your employment in of itself shall not constitute your removal or resignation from the Board. You and the Company agree that it is the express intent of each that your employment shall be at-will. Nothing in this Offer or the relationship between you and the Company now or in the future may be construed or interpreted to create an employment relationship for a specific length of time or any right to continued employment. No employee or representative of the Company has the authority to modify the at-will nature of this Offer, except for the Board, and any such modification to the at-will employment status must be in a written agreement signed by both you and an authorized representative of the Board. This Offer constitutes an integrated agreement with respect to the at-will nature of the employment relationship, and there may be no implied or oral agreements that in any way modify this at-will employment policy.</w:t>
      </w:r>
    </w:p>
    <w:p>
      <w:pPr>
        <w:spacing w:after="0" w:line="169" w:lineRule="exact"/>
        <w:rPr>
          <w:rFonts w:ascii="Times New Roman" w:cs="Times New Roman" w:eastAsia="Times New Roman" w:hAnsi="Times New Roman"/>
          <w:sz w:val="21"/>
          <w:szCs w:val="21"/>
          <w:color w:val="auto"/>
        </w:rPr>
      </w:pPr>
    </w:p>
    <w:p>
      <w:pPr>
        <w:jc w:val="both"/>
        <w:ind w:left="660" w:hanging="652"/>
        <w:spacing w:after="0" w:line="251" w:lineRule="auto"/>
        <w:tabs>
          <w:tab w:leader="none" w:pos="65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In your role as CEO, you shall be the Company’s principal executive officer, with responsibilities commensurate with those generally expected of your title as well as any set forth in the Company’s Bylaws and other governing documents, as modified from time to time by you and the Board. While you remain employed in such role, you agree to use good faith efforts to discharge your obligations under this Offer. You represent and warrant to the Company that you are not party to any contract, understanding, agreement or policy, written or otherwise, that would be breached by your entering into, or performing services under, this Offer.</w:t>
      </w:r>
    </w:p>
    <w:p>
      <w:pPr>
        <w:spacing w:after="0" w:line="181" w:lineRule="exact"/>
        <w:rPr>
          <w:rFonts w:ascii="Times New Roman" w:cs="Times New Roman" w:eastAsia="Times New Roman" w:hAnsi="Times New Roman"/>
          <w:sz w:val="22"/>
          <w:szCs w:val="22"/>
          <w:color w:val="auto"/>
        </w:rPr>
      </w:pPr>
    </w:p>
    <w:p>
      <w:pPr>
        <w:jc w:val="both"/>
        <w:ind w:left="660" w:hanging="652"/>
        <w:spacing w:after="0" w:line="257" w:lineRule="auto"/>
        <w:tabs>
          <w:tab w:leader="none" w:pos="65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 Interests</w:t>
      </w:r>
      <w:r>
        <w:rPr>
          <w:rFonts w:ascii="Times New Roman" w:cs="Times New Roman" w:eastAsia="Times New Roman" w:hAnsi="Times New Roman"/>
          <w:sz w:val="22"/>
          <w:szCs w:val="22"/>
          <w:color w:val="auto"/>
        </w:rPr>
        <w:t>. The Company acknowledges that you have other business interests, including employment and/or ownership of certain businesses in or related to the cannabis industry, which may take up a substantial portion of your time.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w:t>
      </w:r>
    </w:p>
    <w:p>
      <w:pPr>
        <w:sectPr>
          <w:pgSz w:w="11900" w:h="16838" w:orient="portrait"/>
          <w:cols w:equalWidth="0" w:num="1">
            <w:col w:w="11240"/>
          </w:cols>
          <w:pgMar w:left="320" w:top="125" w:right="339" w:bottom="1440" w:gutter="0" w:footer="0" w:header="0"/>
        </w:sectPr>
      </w:pPr>
    </w:p>
    <w:bookmarkStart w:id="76" w:name="page77"/>
    <w:bookmarkEnd w:id="76"/>
    <w:p>
      <w:pPr>
        <w:spacing w:after="0" w:line="293"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acknowledging these interests, the Company expects you to devote the amount of time and attention as is reasonably required to adequately and appropriately discharge your duties as CEO.</w:t>
      </w:r>
    </w:p>
    <w:p>
      <w:pPr>
        <w:spacing w:after="0" w:line="158" w:lineRule="exact"/>
        <w:rPr>
          <w:sz w:val="20"/>
          <w:szCs w:val="20"/>
          <w:color w:val="auto"/>
        </w:rPr>
      </w:pPr>
    </w:p>
    <w:p>
      <w:pPr>
        <w:ind w:left="640" w:hanging="632"/>
        <w:spacing w:after="0"/>
        <w:tabs>
          <w:tab w:leader="none" w:pos="6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jc w:val="both"/>
        <w:ind w:left="1300" w:hanging="644"/>
        <w:spacing w:after="0" w:line="259" w:lineRule="auto"/>
        <w:tabs>
          <w:tab w:leader="none" w:pos="128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xml:space="preserve">. Upon commencement of your role as CEO, you will receive a base salary at the rate of </w:t>
      </w:r>
      <w:r>
        <w:rPr>
          <w:rFonts w:ascii="Times New Roman" w:cs="Times New Roman" w:eastAsia="Times New Roman" w:hAnsi="Times New Roman"/>
          <w:sz w:val="22"/>
          <w:szCs w:val="22"/>
          <w:b w:val="1"/>
          <w:bCs w:val="1"/>
          <w:color w:val="auto"/>
        </w:rPr>
        <w:t>Seven Hundred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Fifty Thousand Dollars ($750,000)</w:t>
      </w:r>
      <w:r>
        <w:rPr>
          <w:rFonts w:ascii="Times New Roman" w:cs="Times New Roman" w:eastAsia="Times New Roman" w:hAnsi="Times New Roman"/>
          <w:sz w:val="22"/>
          <w:szCs w:val="22"/>
          <w:color w:val="auto"/>
        </w:rPr>
        <w:t>, annualized, payable in accordance with the Company’s normal payroll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practices, which currently operates on a biweekly pay period basis.</w:t>
      </w:r>
    </w:p>
    <w:p>
      <w:pPr>
        <w:spacing w:after="0" w:line="170"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30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xml:space="preserve"> In addition, you will be eligible to earn an annual bonus for each calendar year of employment with a bonus target of one hundred percent (100%) of your annual base salary. The attainment of such bonus, and the amount of such bonus, will be based upon the achievement of certain performance goals established annually by the Compensation Committee of the Board (the “</w:t>
      </w:r>
      <w:r>
        <w:rPr>
          <w:rFonts w:ascii="Times New Roman" w:cs="Times New Roman" w:eastAsia="Times New Roman" w:hAnsi="Times New Roman"/>
          <w:sz w:val="21"/>
          <w:szCs w:val="21"/>
          <w:b w:val="1"/>
          <w:bCs w:val="1"/>
          <w:color w:val="auto"/>
        </w:rPr>
        <w:t>Compensation Committee</w:t>
      </w:r>
      <w:r>
        <w:rPr>
          <w:rFonts w:ascii="Times New Roman" w:cs="Times New Roman" w:eastAsia="Times New Roman" w:hAnsi="Times New Roman"/>
          <w:sz w:val="21"/>
          <w:szCs w:val="21"/>
          <w:color w:val="auto"/>
        </w:rPr>
        <w:t>”). Except as may be applicable and set forth in the Severance Plan (as defined below), the bonus is not earned until paid and no prorated amount will be paid if your employment terminates prior to the bonus payment date. Any bonus payable hereunder shall be paid within the “short-term deferral” period provided under Treasury Regulation Section 1.409A-1(b)(4).</w:t>
      </w:r>
    </w:p>
    <w:p>
      <w:pPr>
        <w:spacing w:after="0" w:line="172" w:lineRule="exact"/>
        <w:rPr>
          <w:rFonts w:ascii="Times New Roman" w:cs="Times New Roman" w:eastAsia="Times New Roman" w:hAnsi="Times New Roman"/>
          <w:sz w:val="21"/>
          <w:szCs w:val="21"/>
          <w:color w:val="auto"/>
        </w:rPr>
      </w:pPr>
    </w:p>
    <w:p>
      <w:pPr>
        <w:jc w:val="both"/>
        <w:ind w:left="1300" w:hanging="644"/>
        <w:spacing w:after="0" w:line="252" w:lineRule="auto"/>
        <w:tabs>
          <w:tab w:leader="none" w:pos="128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Contingent upon the approval of the Board, you will be granted incentive equity compensation pursuant to the terms of the Company’s 2021 Equity Incentive Plan (the “</w:t>
      </w:r>
      <w:r>
        <w:rPr>
          <w:rFonts w:ascii="Times New Roman" w:cs="Times New Roman" w:eastAsia="Times New Roman" w:hAnsi="Times New Roman"/>
          <w:sz w:val="22"/>
          <w:szCs w:val="22"/>
          <w:b w:val="1"/>
          <w:bCs w:val="1"/>
          <w:color w:val="auto"/>
        </w:rPr>
        <w:t>Incentive Plan</w:t>
      </w:r>
      <w:r>
        <w:rPr>
          <w:rFonts w:ascii="Times New Roman" w:cs="Times New Roman" w:eastAsia="Times New Roman" w:hAnsi="Times New Roman"/>
          <w:sz w:val="22"/>
          <w:szCs w:val="22"/>
          <w:color w:val="auto"/>
        </w:rPr>
        <w:t>”) of (i) service-based vesting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with a grant date fair value of $3,995,000.00, and (ii) performance-based vesting restricted stock units (“</w:t>
      </w:r>
      <w:r>
        <w:rPr>
          <w:rFonts w:ascii="Times New Roman" w:cs="Times New Roman" w:eastAsia="Times New Roman" w:hAnsi="Times New Roman"/>
          <w:sz w:val="22"/>
          <w:szCs w:val="22"/>
          <w:b w:val="1"/>
          <w:bCs w:val="1"/>
          <w:color w:val="auto"/>
        </w:rPr>
        <w:t>PRSUs</w:t>
      </w:r>
      <w:r>
        <w:rPr>
          <w:rFonts w:ascii="Times New Roman" w:cs="Times New Roman" w:eastAsia="Times New Roman" w:hAnsi="Times New Roman"/>
          <w:sz w:val="22"/>
          <w:szCs w:val="22"/>
          <w:color w:val="auto"/>
        </w:rPr>
        <w:t>”) with a grant date fair value of $3,995,000.00, the terms of which shall be set forth in the Incentive Plan, and an RSU Grant Notice and Award Agreement in the case of the RSUs and a PRSU Grant Notice and Award Agreement in the case of the PRSUs. You may receive additional equity compensation at the discretion of the Board.</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Contingent upon approval of the Board, you will be (i) an “Eligible Employee” as described in the Company’s Severance and Change in Control Plan (the “</w:t>
      </w:r>
      <w:r>
        <w:rPr>
          <w:rFonts w:ascii="Times New Roman" w:cs="Times New Roman" w:eastAsia="Times New Roman" w:hAnsi="Times New Roman"/>
          <w:sz w:val="22"/>
          <w:szCs w:val="22"/>
          <w:b w:val="1"/>
          <w:bCs w:val="1"/>
          <w:color w:val="auto"/>
        </w:rPr>
        <w:t>Severance Plan</w:t>
      </w:r>
      <w:r>
        <w:rPr>
          <w:rFonts w:ascii="Times New Roman" w:cs="Times New Roman" w:eastAsia="Times New Roman" w:hAnsi="Times New Roman"/>
          <w:sz w:val="22"/>
          <w:szCs w:val="22"/>
          <w:color w:val="auto"/>
        </w:rPr>
        <w:t>”) and (ii) offered the opportunity to enter into a Participation Agreement (as defined in the Severance Plan).</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309" w:lineRule="auto"/>
        <w:tabs>
          <w:tab w:leader="none" w:pos="128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Withholdings and Deductions</w:t>
      </w:r>
      <w:r>
        <w:rPr>
          <w:rFonts w:ascii="Times New Roman" w:cs="Times New Roman" w:eastAsia="Times New Roman" w:hAnsi="Times New Roman"/>
          <w:sz w:val="21"/>
          <w:szCs w:val="21"/>
          <w:color w:val="auto"/>
        </w:rPr>
        <w:t>. All payments made under this Offer by the Company shall be subject to all required federal, state, and local withholdings and such other deductions as you may properly instruct the Company to take.</w:t>
      </w:r>
    </w:p>
    <w:p>
      <w:pPr>
        <w:spacing w:after="0" w:line="120" w:lineRule="exact"/>
        <w:rPr>
          <w:rFonts w:ascii="Times New Roman" w:cs="Times New Roman" w:eastAsia="Times New Roman" w:hAnsi="Times New Roman"/>
          <w:sz w:val="21"/>
          <w:szCs w:val="21"/>
          <w:color w:val="auto"/>
        </w:rPr>
      </w:pPr>
    </w:p>
    <w:p>
      <w:pPr>
        <w:jc w:val="both"/>
        <w:ind w:left="1300" w:hanging="644"/>
        <w:spacing w:after="0" w:line="257" w:lineRule="auto"/>
        <w:tabs>
          <w:tab w:leader="none" w:pos="129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93" w:lineRule="exact"/>
        <w:rPr>
          <w:sz w:val="20"/>
          <w:szCs w:val="20"/>
          <w:color w:val="auto"/>
        </w:rPr>
      </w:pPr>
    </w:p>
    <w:p>
      <w:pPr>
        <w:jc w:val="both"/>
        <w:ind w:left="644"/>
        <w:spacing w:after="0" w:line="253" w:lineRule="auto"/>
        <w:rPr>
          <w:sz w:val="20"/>
          <w:szCs w:val="20"/>
          <w:color w:val="auto"/>
        </w:rPr>
      </w:pPr>
      <w:r>
        <w:rPr>
          <w:rFonts w:ascii="Times New Roman" w:cs="Times New Roman" w:eastAsia="Times New Roman" w:hAnsi="Times New Roman"/>
          <w:sz w:val="22"/>
          <w:szCs w:val="22"/>
          <w:color w:val="auto"/>
        </w:rPr>
        <w:t>itself or its designated administrator the exclusive authority and discretion to determine all issues of eligibility, interpretation and administration of each such benefit plan or policy. Subject to the terms and conditions of the benefit plans, Company or its designated administrator reserves the right to modify or terminate each Company benefit plan or program with or without prior notice to employees. Details about current benefit plans and programs are available in the office of the Company’s benefits administrator.</w:t>
      </w:r>
    </w:p>
    <w:p>
      <w:pPr>
        <w:spacing w:after="0" w:line="179" w:lineRule="exact"/>
        <w:rPr>
          <w:sz w:val="20"/>
          <w:szCs w:val="20"/>
          <w:color w:val="auto"/>
        </w:rPr>
      </w:pPr>
    </w:p>
    <w:p>
      <w:pPr>
        <w:jc w:val="both"/>
        <w:ind w:left="644" w:hanging="644"/>
        <w:spacing w:after="0" w:line="256" w:lineRule="auto"/>
        <w:tabs>
          <w:tab w:leader="none" w:pos="6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You will receive paid vacation according to the Company’s Vacation policy set forth in the Company’s Employee Handbook as may be amended from time to time (the “</w:t>
      </w:r>
      <w:r>
        <w:rPr>
          <w:rFonts w:ascii="Times New Roman" w:cs="Times New Roman" w:eastAsia="Times New Roman" w:hAnsi="Times New Roman"/>
          <w:sz w:val="22"/>
          <w:szCs w:val="22"/>
          <w:b w:val="1"/>
          <w:bCs w:val="1"/>
          <w:u w:val="single" w:color="auto"/>
          <w:color w:val="auto"/>
        </w:rPr>
        <w:t>Employee Handbook</w:t>
      </w:r>
      <w:r>
        <w:rPr>
          <w:rFonts w:ascii="Times New Roman" w:cs="Times New Roman" w:eastAsia="Times New Roman" w:hAnsi="Times New Roman"/>
          <w:sz w:val="22"/>
          <w:szCs w:val="22"/>
          <w:color w:val="auto"/>
        </w:rPr>
        <w:t>”). You will be eligible to accrue paid vacation at the rate set forth in the Employee Handbook. Payment of any accrued but unused vacation will be made upon termination of employment.</w:t>
      </w:r>
    </w:p>
    <w:p>
      <w:pPr>
        <w:spacing w:after="0" w:line="176"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Sick Leave</w:t>
      </w:r>
      <w:r>
        <w:rPr>
          <w:rFonts w:ascii="Times New Roman" w:cs="Times New Roman" w:eastAsia="Times New Roman" w:hAnsi="Times New Roman"/>
          <w:sz w:val="22"/>
          <w:szCs w:val="22"/>
          <w:color w:val="auto"/>
        </w:rPr>
        <w:t>. You will be eligible for paid sick leave according to the Company’s Sick Leave policy set forth in the Employee Handbook.</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0" w:lineRule="auto"/>
        <w:tabs>
          <w:tab w:leader="none" w:pos="63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 Benefits</w:t>
      </w:r>
      <w:r>
        <w:rPr>
          <w:rFonts w:ascii="Times New Roman" w:cs="Times New Roman" w:eastAsia="Times New Roman" w:hAnsi="Times New Roman"/>
          <w:sz w:val="22"/>
          <w:szCs w:val="22"/>
          <w:color w:val="auto"/>
        </w:rPr>
        <w:t>. The Company shall directly pay or reimburse you the annual membership fee for a concierge medical care plan selected by you (the “Plan”), subject to a maximum yearly amount of Twenty-Four Thousand Dollars ($24,000). However, to the extent that you are required to pay or have withheld any Federal, state or local income, FICA, FUTA and other similar taxes (the “Taxes”) with respect to the payment or reimbursement for the Plan, the Company shall provide you with a gross-up payment so that the net amount received and retained by you, after taking into account withholdings and payments for the Taxes, equals the amount that you would have received had there been no Taxes on the Plan.</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63" w:lineRule="auto"/>
        <w:tabs>
          <w:tab w:leader="none" w:pos="63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Compensation</w:t>
      </w:r>
      <w:r>
        <w:rPr>
          <w:rFonts w:ascii="Times New Roman" w:cs="Times New Roman" w:eastAsia="Times New Roman" w:hAnsi="Times New Roman"/>
          <w:sz w:val="22"/>
          <w:szCs w:val="22"/>
          <w:color w:val="auto"/>
        </w:rPr>
        <w:t>. You agree that your compensation under this Compensation and Benefits Section constitutes the full and exclusive consideration and compensation for all services rendered by you as CEO under this Offer.</w:t>
      </w:r>
    </w:p>
    <w:p>
      <w:pPr>
        <w:spacing w:after="0" w:line="167" w:lineRule="exact"/>
        <w:rPr>
          <w:rFonts w:ascii="Times New Roman" w:cs="Times New Roman" w:eastAsia="Times New Roman" w:hAnsi="Times New Roman"/>
          <w:sz w:val="22"/>
          <w:szCs w:val="22"/>
          <w:color w:val="auto"/>
        </w:rPr>
      </w:pPr>
    </w:p>
    <w:p>
      <w:pPr>
        <w:jc w:val="both"/>
        <w:ind w:left="644" w:hanging="644"/>
        <w:spacing w:after="0" w:line="250" w:lineRule="auto"/>
        <w:tabs>
          <w:tab w:leader="none" w:pos="6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Provisions</w:t>
      </w:r>
      <w:r>
        <w:rPr>
          <w:rFonts w:ascii="Times New Roman" w:cs="Times New Roman" w:eastAsia="Times New Roman" w:hAnsi="Times New Roman"/>
          <w:sz w:val="22"/>
          <w:szCs w:val="22"/>
          <w:color w:val="auto"/>
        </w:rPr>
        <w:t>. Notwithstanding any other provisions in this Offer to the contrary, any incentive-based compensation paid to you pursuant to this Offer or any other agreement or arrangement with the Company or any of its affiliates, which is subject to recovery under the Company’s Incentive Compensation Recoupment Policy or any law, government regulation or stock exchange listing requirement, will be subject to such recovery as may be required to be made pursuant to such policy, law, government regulation or stock exchange listing requirement (or any other policy adopted by the Company or any of its affiliates pursuant to any such law, government regulation or stock exchange listing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22"/>
          <w:szCs w:val="22"/>
          <w:color w:val="auto"/>
        </w:rPr>
        <w:t>Page 3</w:t>
      </w:r>
    </w:p>
    <w:p>
      <w:pPr>
        <w:sectPr>
          <w:pgSz w:w="11900" w:h="16838" w:orient="portrait"/>
          <w:cols w:equalWidth="0" w:num="1">
            <w:col w:w="10584"/>
          </w:cols>
          <w:pgMar w:left="976" w:top="1440" w:right="339" w:bottom="1440" w:gutter="0" w:footer="0" w:header="0"/>
        </w:sectPr>
      </w:pPr>
    </w:p>
    <w:bookmarkStart w:id="78" w:name="page79"/>
    <w:bookmarkEnd w:id="78"/>
    <w:p>
      <w:pPr>
        <w:spacing w:after="0" w:line="293" w:lineRule="exact"/>
        <w:rPr>
          <w:sz w:val="20"/>
          <w:szCs w:val="20"/>
          <w:color w:val="auto"/>
        </w:rPr>
      </w:pPr>
    </w:p>
    <w:p>
      <w:pPr>
        <w:ind w:left="640" w:hanging="632"/>
        <w:spacing w:after="0"/>
        <w:tabs>
          <w:tab w:leader="none" w:pos="6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8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Policies and Procedures</w:t>
      </w:r>
      <w:r>
        <w:rPr>
          <w:rFonts w:ascii="Times New Roman" w:cs="Times New Roman" w:eastAsia="Times New Roman" w:hAnsi="Times New Roman"/>
          <w:sz w:val="22"/>
          <w:szCs w:val="22"/>
          <w:color w:val="auto"/>
        </w:rPr>
        <w:t>. You agree to adhere to Company policies and procedures, including the policies contained in the Employee Handbook, which you received when you began employment. From time to time, Company policies and procedures may be amended by the Company and will be called to your attention.</w:t>
      </w:r>
    </w:p>
    <w:p>
      <w:pPr>
        <w:spacing w:after="0" w:line="167" w:lineRule="exact"/>
        <w:rPr>
          <w:rFonts w:ascii="Times New Roman" w:cs="Times New Roman" w:eastAsia="Times New Roman" w:hAnsi="Times New Roman"/>
          <w:sz w:val="22"/>
          <w:szCs w:val="22"/>
          <w:color w:val="auto"/>
        </w:rPr>
      </w:pPr>
    </w:p>
    <w:p>
      <w:pPr>
        <w:jc w:val="both"/>
        <w:ind w:left="1300" w:hanging="644"/>
        <w:spacing w:after="0" w:line="295" w:lineRule="auto"/>
        <w:tabs>
          <w:tab w:leader="none" w:pos="130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Work</w:t>
      </w:r>
      <w:r>
        <w:rPr>
          <w:rFonts w:ascii="Times New Roman" w:cs="Times New Roman" w:eastAsia="Times New Roman" w:hAnsi="Times New Roman"/>
          <w:sz w:val="21"/>
          <w:szCs w:val="21"/>
          <w:color w:val="auto"/>
        </w:rPr>
        <w:t xml:space="preserve">. This Offer is conditional upon your having the unrestricted right to work in the United States. The Company is in receipt of your completed federal Form I-9. For further information, see </w:t>
      </w:r>
      <w:r>
        <w:rPr>
          <w:rFonts w:ascii="Times New Roman" w:cs="Times New Roman" w:eastAsia="Times New Roman" w:hAnsi="Times New Roman"/>
          <w:sz w:val="21"/>
          <w:szCs w:val="21"/>
          <w:u w:val="single" w:color="auto"/>
          <w:color w:val="0000FF"/>
        </w:rPr>
        <w:t>https://www.uscis.gov/i-9</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ind w:left="1300" w:hanging="644"/>
        <w:spacing w:after="0" w:line="271" w:lineRule="auto"/>
        <w:tabs>
          <w:tab w:leader="none" w:pos="128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and Inventions Assignment Agreement</w:t>
      </w:r>
      <w:r>
        <w:rPr>
          <w:rFonts w:ascii="Times New Roman" w:cs="Times New Roman" w:eastAsia="Times New Roman" w:hAnsi="Times New Roman"/>
          <w:sz w:val="22"/>
          <w:szCs w:val="22"/>
          <w:color w:val="auto"/>
        </w:rPr>
        <w:t>. The Confidential Information and Inventions Assignment Agreement, which you executed on August 15, 2023 will continue in full force and effect.</w:t>
      </w:r>
    </w:p>
    <w:p>
      <w:pPr>
        <w:spacing w:after="0" w:line="171"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Agreement</w:t>
      </w:r>
      <w:r>
        <w:rPr>
          <w:rFonts w:ascii="Times New Roman" w:cs="Times New Roman" w:eastAsia="Times New Roman" w:hAnsi="Times New Roman"/>
          <w:sz w:val="22"/>
          <w:szCs w:val="22"/>
          <w:color w:val="auto"/>
        </w:rPr>
        <w:t>. The Mutual Agreement to Arbitrate All Disputes, which you executed on August 15, 2023 will continue in full force and effect.</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8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Reliance</w:t>
      </w:r>
      <w:r>
        <w:rPr>
          <w:rFonts w:ascii="Times New Roman" w:cs="Times New Roman" w:eastAsia="Times New Roman" w:hAnsi="Times New Roman"/>
          <w:sz w:val="22"/>
          <w:szCs w:val="22"/>
          <w:color w:val="auto"/>
        </w:rPr>
        <w:t>. You acknowledge that you are not resigning any employment in reliance on any promise or representation by the Company regarding the kind, character, or existence of such work, or the length of time such work will last, or the compensation therefore.</w:t>
      </w:r>
    </w:p>
    <w:p>
      <w:pPr>
        <w:spacing w:after="0" w:line="172"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9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 Agreements</w:t>
      </w:r>
      <w:r>
        <w:rPr>
          <w:rFonts w:ascii="Times New Roman" w:cs="Times New Roman" w:eastAsia="Times New Roman" w:hAnsi="Times New Roman"/>
          <w:sz w:val="22"/>
          <w:szCs w:val="22"/>
          <w:color w:val="auto"/>
        </w:rPr>
        <w:t>. This Offer supersedes all previous offers of employment, including the offer letter dated August 15, 2023, between you and the Company. Nothing in this Offer shall amend, supplement, modify or supersede any other agreement that you or your affiliates have entered into with the Company or its affiliates, or any right, privilege or remedy available to you under the governing documents of the Company or its affiliates.</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3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The validity, interpretation, construction and performance of this Offer will be governed by the laws of the State of Texas, without regard for the state’s conflict of laws provisions. The invalidity or unenforceability of any provision or provisions of this Offer will not affect the validity or enforceability of any other provision hereof, which will remain in full force and effect.</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Offer will be binding upon and inure to the benefit of (i) your heirs, executors and legal representatives upon your death and (ii) any successor of the Company. Any successor of the Company will be deemed substituted for the Company under the terms of this Offer for all purposes.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9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you accept the terms of the foregoing offer of employment, please so indicate by signing and dating below and returning it to the Company’s attention.</w:t>
      </w: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GHOST MANAGEMENT GROUP, LLC</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WM Holding Company, LLC, its Manager</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By: WM Technology, Inc., its Managing Member</w:t>
      </w:r>
    </w:p>
    <w:p>
      <w:pPr>
        <w:spacing w:after="0" w:line="200" w:lineRule="exact"/>
        <w:rPr>
          <w:sz w:val="20"/>
          <w:szCs w:val="20"/>
          <w:color w:val="auto"/>
        </w:rPr>
      </w:pPr>
    </w:p>
    <w:p>
      <w:pPr>
        <w:spacing w:after="0" w:line="26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Brenda Freeman</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Brenda Freeman, Director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Doug Francis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Doug Francis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Nov 7 ,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5</w:t>
      </w:r>
    </w:p>
    <w:p>
      <w:pPr>
        <w:sectPr>
          <w:pgSz w:w="11900" w:h="16838" w:orient="portrait"/>
          <w:cols w:equalWidth="0" w:num="1">
            <w:col w:w="11220"/>
          </w:cols>
          <w:pgMar w:left="320" w:top="1440" w:right="3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Francis, certify that: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Rules 13a-15(f) and 15d-15(f)) for the registrant and have:</w:t>
      </w:r>
    </w:p>
    <w:p>
      <w:pPr>
        <w:spacing w:after="0" w:line="122" w:lineRule="exact"/>
        <w:rPr>
          <w:sz w:val="20"/>
          <w:szCs w:val="20"/>
          <w:color w:val="auto"/>
        </w:rPr>
      </w:pPr>
    </w:p>
    <w:p>
      <w:pPr>
        <w:jc w:val="both"/>
        <w:ind w:left="340" w:hanging="332"/>
        <w:spacing w:after="0" w:line="266" w:lineRule="auto"/>
        <w:tabs>
          <w:tab w:leader="none" w:pos="33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340" w:hanging="332"/>
        <w:spacing w:after="0" w:line="282" w:lineRule="auto"/>
        <w:tabs>
          <w:tab w:leader="none" w:pos="40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9" w:right="339" w:bottom="812" w:gutter="0" w:footer="0" w:header="0"/>
        </w:sectPr>
      </w:pPr>
    </w:p>
    <w:p>
      <w:pPr>
        <w:spacing w:after="0" w:line="200" w:lineRule="exact"/>
        <w:rPr>
          <w:sz w:val="20"/>
          <w:szCs w:val="20"/>
          <w:color w:val="auto"/>
        </w:rPr>
      </w:pPr>
    </w:p>
    <w:p>
      <w:pPr>
        <w:spacing w:after="0" w:line="36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089" w:right="339" w:bottom="812" w:gutter="0" w:footer="0" w:header="0"/>
          <w:type w:val="continuous"/>
        </w:sectPr>
      </w:pPr>
    </w:p>
    <w:bookmarkStart w:id="81" w:name="page82"/>
    <w:bookmarkEnd w:id="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Echard, certify that: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Rules 13a-15(f) and 15d-15(f)) for the registrant and have:</w:t>
      </w:r>
    </w:p>
    <w:p>
      <w:pPr>
        <w:spacing w:after="0" w:line="122" w:lineRule="exact"/>
        <w:rPr>
          <w:sz w:val="20"/>
          <w:szCs w:val="20"/>
          <w:color w:val="auto"/>
        </w:rPr>
      </w:pPr>
    </w:p>
    <w:p>
      <w:pPr>
        <w:jc w:val="both"/>
        <w:ind w:left="340" w:hanging="332"/>
        <w:spacing w:after="0" w:line="266" w:lineRule="auto"/>
        <w:tabs>
          <w:tab w:leader="none" w:pos="3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340" w:hanging="332"/>
        <w:spacing w:after="0" w:line="282" w:lineRule="auto"/>
        <w:tabs>
          <w:tab w:leader="none" w:pos="4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Susan Echard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ectPr>
          <w:pgSz w:w="11900" w:h="16838" w:orient="portrait"/>
          <w:cols w:equalWidth="0" w:num="1">
            <w:col w:w="11240"/>
          </w:cols>
          <w:pgMar w:left="320" w:top="1089" w:right="339" w:bottom="1440" w:gutter="0" w:footer="0" w:header="0"/>
          <w:type w:val="continuous"/>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EXECUTIVE CHAIR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Douglas Francis, the Chief Executive Officer of WM Technology, Inc., certify, pursuant to 18 U.S.C. Section 1350, as adopted pursuant to Section 906 of the Sarbanes-Oxley Act of 2002, that the Quarterly Report on Form 10-Q of WM Technology, Inc. for the quarterly period ended September 30, 2024,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820" w:val="left"/>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68580</wp:posOffset>
            </wp:positionV>
            <wp:extent cx="23317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9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Susan Echard, the Chief Financial Officer of WM Technology, Inc., certify, pursuant to 18 U.S.C. Section 1350, as adopted pursuant to Section 906 of the Sarbanes-Oxley Act of 2002, that the Quarterly Report on Form 10-Q of WM Technology, Inc. for the quarterly period ended September 30, 2024,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spacing w:after="0" w:line="261" w:lineRule="exact"/>
        <w:rPr>
          <w:sz w:val="20"/>
          <w:szCs w:val="20"/>
          <w:color w:val="auto"/>
        </w:rPr>
      </w:pPr>
    </w:p>
    <w:p>
      <w:pPr>
        <w:ind w:left="60"/>
        <w:spacing w:after="0"/>
        <w:tabs>
          <w:tab w:leader="none" w:pos="820" w:val="left"/>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68580</wp:posOffset>
            </wp:positionV>
            <wp:extent cx="23399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Susan Echard</w:t>
      </w:r>
    </w:p>
    <w:p>
      <w:pPr>
        <w:spacing w:after="0" w:line="10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0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lvl w:ilvl="1">
      <w:lvlJc w:val="left"/>
      <w:lvlText w:val="◦"/>
      <w:numFmt w:val="bullet"/>
      <w:start w:val="1"/>
    </w:lvl>
  </w:abstractNum>
  <w:abstractNum w:abstractNumId="7">
    <w:nsid w:val="5072367"/>
    <w:multiLevelType w:val="hybridMultilevel"/>
    <w:lvl w:ilvl="0">
      <w:lvlJc w:val="left"/>
      <w:lvlText w:val="1"/>
      <w:numFmt w:val="bullet"/>
      <w:start w:val="1"/>
    </w:lvl>
  </w:abstractNum>
  <w:abstractNum w:abstractNumId="8">
    <w:nsid w:val="3804823E"/>
    <w:multiLevelType w:val="hybridMultilevel"/>
    <w:lvl w:ilvl="0">
      <w:lvlJc w:val="left"/>
      <w:lvlText w:val="2"/>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decimal"/>
      <w:start w:val="7"/>
    </w:lvl>
  </w:abstractNum>
  <w:abstractNum w:abstractNumId="11">
    <w:nsid w:val="5C482A97"/>
    <w:multiLevelType w:val="hybridMultilevel"/>
    <w:lvl w:ilvl="0">
      <w:lvlJc w:val="left"/>
      <w:lvlText w:val="%1."/>
      <w:numFmt w:val="decimal"/>
      <w:start w:val="8"/>
    </w:lvl>
  </w:abstractNum>
  <w:abstractNum w:abstractNumId="12">
    <w:nsid w:val="2463B9EA"/>
    <w:multiLevelType w:val="hybridMultilevel"/>
    <w:lvl w:ilvl="0">
      <w:lvlJc w:val="left"/>
      <w:lvlText w:val="%1."/>
      <w:numFmt w:val="decimal"/>
      <w:start w:val="9"/>
    </w:lvl>
  </w:abstractNum>
  <w:abstractNum w:abstractNumId="13">
    <w:nsid w:val="5E884ADC"/>
    <w:multiLevelType w:val="hybridMultilevel"/>
    <w:lvl w:ilvl="0">
      <w:lvlJc w:val="left"/>
      <w:lvlText w:val="%1."/>
      <w:numFmt w:val="decimal"/>
      <w:start w:val="10"/>
    </w:lvl>
  </w:abstractNum>
  <w:abstractNum w:abstractNumId="14">
    <w:nsid w:val="51EAD36B"/>
    <w:multiLevelType w:val="hybridMultilevel"/>
    <w:lvl w:ilvl="0">
      <w:lvlJc w:val="left"/>
      <w:lvlText w:val="%1."/>
      <w:numFmt w:val="decimal"/>
      <w:start w:val="11"/>
    </w:lvl>
  </w:abstractNum>
  <w:abstractNum w:abstractNumId="15">
    <w:nsid w:val="2D517796"/>
    <w:multiLevelType w:val="hybridMultilevel"/>
    <w:lvl w:ilvl="0">
      <w:lvlJc w:val="left"/>
      <w:lvlText w:val="%1."/>
      <w:numFmt w:val="decimal"/>
      <w:start w:val="13"/>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
    <w:nsid w:val="38437FD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1">
    <w:nsid w:val="7644A45C"/>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32">
    <w:nsid w:val="32FFF902"/>
    <w:multiLevelType w:val="hybridMultilevel"/>
    <w:lvl w:ilvl="0">
      <w:lvlJc w:val="left"/>
      <w:lvlText w:val="%1"/>
      <w:numFmt w:val="decimal"/>
      <w:start w:val="1"/>
    </w:lvl>
    <w:lvl w:ilvl="1">
      <w:lvlJc w:val="left"/>
      <w:lvlText w:val="(%2)"/>
      <w:numFmt w:val="lowerLetter"/>
      <w:start w:val="2"/>
    </w:lvl>
  </w:abstractNum>
  <w:abstractNum w:abstractNumId="33">
    <w:nsid w:val="684A481A"/>
    <w:multiLevelType w:val="hybridMultilevel"/>
    <w:lvl w:ilvl="0">
      <w:lvlJc w:val="left"/>
      <w:lvlText w:val="%1."/>
      <w:numFmt w:val="decimal"/>
      <w:start w:val="2"/>
    </w:lvl>
    <w:lvl w:ilvl="1">
      <w:lvlJc w:val="left"/>
      <w:lvlText w:val="(%2)"/>
      <w:numFmt w:val="lowerLetter"/>
      <w:start w:val="1"/>
    </w:lvl>
  </w:abstractNum>
  <w:abstractNum w:abstractNumId="34">
    <w:nsid w:val="579478FE"/>
    <w:multiLevelType w:val="hybridMultilevel"/>
    <w:lvl w:ilvl="0">
      <w:lvlJc w:val="left"/>
      <w:lvlText w:val="%1"/>
      <w:numFmt w:val="decimal"/>
      <w:start w:val="1"/>
    </w:lvl>
    <w:lvl w:ilvl="1">
      <w:lvlJc w:val="left"/>
      <w:lvlText w:val="(%2)"/>
      <w:numFmt w:val="lowerLetter"/>
      <w:start w:val="2"/>
    </w:lvl>
  </w:abstractNum>
  <w:abstractNum w:abstractNumId="35">
    <w:nsid w:val="749ABB43"/>
    <w:multiLevelType w:val="hybridMultilevel"/>
    <w:lvl w:ilvl="0">
      <w:lvlJc w:val="left"/>
      <w:lvlText w:val="%1."/>
      <w:numFmt w:val="decimal"/>
      <w:start w:val="3"/>
    </w:lvl>
    <w:lvl w:ilvl="1">
      <w:lvlJc w:val="left"/>
      <w:lvlText w:val="%2"/>
      <w:numFmt w:val="lowerLetter"/>
      <w:start w:val="1"/>
    </w:lvl>
  </w:abstractNum>
  <w:abstractNum w:abstractNumId="36">
    <w:nsid w:val="3DC240FB"/>
    <w:multiLevelType w:val="hybridMultilevel"/>
    <w:lvl w:ilvl="0">
      <w:lvlJc w:val="left"/>
      <w:lvlText w:val="(%1)"/>
      <w:numFmt w:val="lowerRoman"/>
      <w:start w:val="1"/>
    </w:lvl>
  </w:abstractNum>
  <w:abstractNum w:abstractNumId="37">
    <w:nsid w:val="1BA026FA"/>
    <w:multiLevelType w:val="hybridMultilevel"/>
    <w:lvl w:ilvl="0">
      <w:lvlJc w:val="left"/>
      <w:lvlText w:val="%1."/>
      <w:numFmt w:val="decimal"/>
      <w:start w:val="5"/>
    </w:lvl>
  </w:abstractNum>
  <w:abstractNum w:abstractNumId="38">
    <w:nsid w:val="79A1DEAA"/>
    <w:multiLevelType w:val="hybridMultilevel"/>
    <w:lvl w:ilvl="0">
      <w:lvlJc w:val="left"/>
      <w:lvlText w:val="%1."/>
      <w:numFmt w:val="decimal"/>
      <w:start w:val="6"/>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decimal"/>
      <w:start w:val="9"/>
    </w:lvl>
  </w:abstractNum>
  <w:abstractNum w:abstractNumId="41">
    <w:nsid w:val="70C6A529"/>
    <w:multiLevelType w:val="hybridMultilevel"/>
    <w:lvl w:ilvl="0">
      <w:lvlJc w:val="left"/>
      <w:lvlText w:val="%1."/>
      <w:numFmt w:val="decimal"/>
      <w:start w:val="11"/>
    </w:lvl>
  </w:abstractNum>
  <w:abstractNum w:abstractNumId="42">
    <w:nsid w:val="520EEDD1"/>
    <w:multiLevelType w:val="hybridMultilevel"/>
    <w:lvl w:ilvl="0">
      <w:lvlJc w:val="left"/>
      <w:lvlText w:val="%1."/>
      <w:numFmt w:val="decimal"/>
      <w:start w:val="12"/>
    </w:lvl>
  </w:abstractNum>
  <w:abstractNum w:abstractNumId="43">
    <w:nsid w:val="374A3FE6"/>
    <w:multiLevelType w:val="hybridMultilevel"/>
    <w:lvl w:ilvl="0">
      <w:lvlJc w:val="left"/>
      <w:lvlText w:val="%1."/>
      <w:numFmt w:val="decimal"/>
      <w:start w:val="18"/>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5"/>
    </w:lvl>
  </w:abstractNum>
  <w:abstractNum w:abstractNumId="46">
    <w:nsid w:val="649BB77C"/>
    <w:multiLevelType w:val="hybridMultilevel"/>
    <w:lvl w:ilvl="0">
      <w:lvlJc w:val="left"/>
      <w:lvlText w:val="%1."/>
      <w:numFmt w:val="decimal"/>
      <w:start w:val="6"/>
    </w:lvl>
  </w:abstractNum>
  <w:abstractNum w:abstractNumId="47">
    <w:nsid w:val="275AC794"/>
    <w:multiLevelType w:val="hybridMultilevel"/>
    <w:lvl w:ilvl="0">
      <w:lvlJc w:val="left"/>
      <w:lvlText w:val="%1."/>
      <w:numFmt w:val="upperLetter"/>
      <w:start w:val="9"/>
    </w:lvl>
  </w:abstractNum>
  <w:abstractNum w:abstractNumId="48">
    <w:nsid w:val="39386575"/>
    <w:multiLevelType w:val="hybridMultilevel"/>
    <w:lvl w:ilvl="0">
      <w:lvlJc w:val="left"/>
      <w:lvlText w:val="%1."/>
      <w:numFmt w:val="upperLetter"/>
      <w:start w:val="35"/>
    </w:lvl>
    <w:lvl w:ilvl="1">
      <w:lvlJc w:val="left"/>
      <w:lvlText w:val="%2."/>
      <w:numFmt w:val="upperLetter"/>
      <w:start w:val="1"/>
    </w:lvl>
  </w:abstractNum>
  <w:abstractNum w:abstractNumId="49">
    <w:nsid w:val="1CF10FD8"/>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50">
    <w:nsid w:val="180115BE"/>
    <w:multiLevelType w:val="hybridMultilevel"/>
    <w:lvl w:ilvl="0">
      <w:lvlJc w:val="left"/>
      <w:lvlText w:val="%1."/>
      <w:numFmt w:val="decimal"/>
      <w:start w:val="4"/>
    </w:lvl>
  </w:abstractNum>
  <w:abstractNum w:abstractNumId="51">
    <w:nsid w:val="235BA861"/>
    <w:multiLevelType w:val="hybridMultilevel"/>
    <w:lvl w:ilvl="0">
      <w:lvlJc w:val="left"/>
      <w:lvlText w:val="%1."/>
      <w:numFmt w:val="upperLetter"/>
      <w:start w:val="3"/>
    </w:lvl>
  </w:abstractNum>
  <w:abstractNum w:abstractNumId="52">
    <w:nsid w:val="47398C89"/>
    <w:multiLevelType w:val="hybridMultilevel"/>
    <w:lvl w:ilvl="0">
      <w:lvlJc w:val="left"/>
      <w:lvlText w:val="%1."/>
      <w:numFmt w:val="upperLetter"/>
      <w:start w:val="1"/>
    </w:lvl>
  </w:abstractNum>
  <w:abstractNum w:abstractNumId="53">
    <w:nsid w:val="354FE9F9"/>
    <w:multiLevelType w:val="hybridMultilevel"/>
    <w:lvl w:ilvl="0">
      <w:lvlJc w:val="left"/>
      <w:lvlText w:val="%1."/>
      <w:numFmt w:val="upperLetter"/>
      <w:start w:val="2"/>
    </w:lvl>
  </w:abstractNum>
  <w:abstractNum w:abstractNumId="54">
    <w:nsid w:val="15B5AF5C"/>
    <w:multiLevelType w:val="hybridMultilevel"/>
    <w:lvl w:ilvl="0">
      <w:lvlJc w:val="left"/>
      <w:lvlText w:val="%1."/>
      <w:numFmt w:val="upperLetter"/>
      <w:start w:val="22"/>
    </w:lvl>
  </w:abstractNum>
  <w:abstractNum w:abstractNumId="55">
    <w:nsid w:val="741226BB"/>
    <w:multiLevelType w:val="hybridMultilevel"/>
    <w:lvl w:ilvl="0">
      <w:lvlJc w:val="left"/>
      <w:lvlText w:val="%1"/>
      <w:numFmt w:val="decimal"/>
      <w:start w:val="4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5"/>
    </w:lvl>
    <w:lvl w:ilvl="1">
      <w:lvlJc w:val="left"/>
      <w:lvlText w:val="%2."/>
      <w:numFmt w:val="lowerLetter"/>
      <w:start w:val="1"/>
    </w:lvl>
  </w:abstractNum>
  <w:abstractNum w:abstractNumId="58">
    <w:nsid w:val="3F6AB60F"/>
    <w:multiLevelType w:val="hybridMultilevel"/>
    <w:lvl w:ilvl="0">
      <w:lvlJc w:val="left"/>
      <w:lvlText w:val="%1."/>
      <w:numFmt w:val="lowerLetter"/>
      <w:start w:val="7"/>
    </w:lvl>
  </w:abstractNum>
  <w:abstractNum w:abstractNumId="59">
    <w:nsid w:val="61574095"/>
    <w:multiLevelType w:val="hybridMultilevel"/>
    <w:lvl w:ilvl="0">
      <w:lvlJc w:val="left"/>
      <w:lvlText w:val="%1)"/>
      <w:numFmt w:val="decimal"/>
      <w:start w:val="6"/>
    </w:lvl>
    <w:lvl w:ilvl="1">
      <w:lvlJc w:val="left"/>
      <w:lvlText w:val="%2."/>
      <w:numFmt w:val="lowerLetter"/>
      <w:start w:val="1"/>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lowerLetter"/>
      <w:start w:val="1"/>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jpe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90" Type="http://schemas.openxmlformats.org/officeDocument/2006/relationships/hyperlink" Target="https://www.sec.gov/Archives/edgar/data/0001779474/000114036121021785/brhc10025756_ex3-1.htm" TargetMode="External"/><Relationship Id="rId91" Type="http://schemas.openxmlformats.org/officeDocument/2006/relationships/hyperlink" Target="https://www.sec.gov/Archives/edgar/data/0001779474/000114036121021785/brhc1002575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2024-11-12T16:43:37Z</dcterms:created>
  <dcterms:modified xsi:type="dcterms:W3CDTF">2024-11-12T16:43:37Z</dcterms:modified>
</cp:coreProperties>
</file>